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val="en-US" w:eastAsia="zh-CN"/>
        </w:rPr>
        <w:t>留家庄</w:t>
      </w:r>
      <w:r>
        <w:rPr>
          <w:rFonts w:hint="eastAsia" w:ascii="宋体" w:hAnsi="宋体" w:eastAsia="宋体" w:cs="宋体"/>
          <w:b/>
          <w:bCs/>
          <w:sz w:val="44"/>
          <w:szCs w:val="44"/>
        </w:rPr>
        <w:t>乡人民政府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金家井乡行政处罚事项清单》，结合金家井乡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金家井乡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涞源县留家庄</w:t>
      </w:r>
      <w:bookmarkStart w:id="0" w:name="_GoBack"/>
      <w:bookmarkEnd w:id="0"/>
      <w:r>
        <w:rPr>
          <w:rFonts w:hint="eastAsia" w:ascii="仿宋" w:hAnsi="仿宋" w:eastAsia="仿宋" w:cs="仿宋"/>
          <w:sz w:val="30"/>
          <w:szCs w:val="30"/>
          <w:lang w:val="en-US" w:eastAsia="zh-CN"/>
        </w:rPr>
        <w:t>乡人民政府综合行政执法队作为检查主体，负责具体实施涉企行政执法检查工作。执法队成员需具备相应执法资质，熟悉相关法律法规和业务知识，确保执法检查的专业性和规范性。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金家井乡辖区内从事车辆清洗、维修经营的企业；农业经营企业；生产、经营清真食品的企业。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1D17A14"/>
    <w:rsid w:val="12B91B6C"/>
    <w:rsid w:val="1CCE0104"/>
    <w:rsid w:val="1F9A4E7E"/>
    <w:rsid w:val="36CA2905"/>
    <w:rsid w:val="3EB2032C"/>
    <w:rsid w:val="3EF3106E"/>
    <w:rsid w:val="684C53AD"/>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985</Words>
  <Characters>1003</Characters>
  <Lines>0</Lines>
  <Paragraphs>0</Paragraphs>
  <TotalTime>126</TotalTime>
  <ScaleCrop>false</ScaleCrop>
  <LinksUpToDate>false</LinksUpToDate>
  <CharactersWithSpaces>1003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Administrator</cp:lastModifiedBy>
  <dcterms:modified xsi:type="dcterms:W3CDTF">2026-04-08T02:24:53Z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F0C7C07C952B48188E0F004227C50103_13</vt:lpwstr>
  </property>
  <property fmtid="{D5CDD505-2E9C-101B-9397-08002B2CF9AE}" pid="4" name="KSOTemplateDocerSaveRecord">
    <vt:lpwstr>eyJoZGlkIjoiYjAwZDg0YjBiYjk5OGM2MDAyMjY4ZDJjZGRiMWYwMjAifQ==</vt:lpwstr>
  </property>
</Properties>
</file>