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docProps/custom.xml" ContentType="application/vnd.openxmlformats-officedocument.custom-properties+xml"/>
  <Override PartName="/word/charts/colors5.xml" ContentType="application/vnd.ms-office.chartcolorstyle+xml"/>
  <Override PartName="/word/charts/colors6.xml" ContentType="application/vnd.ms-office.chartcolorstyle+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style6.xml" ContentType="application/vnd.ms-office.chartstyle+xml"/>
  <Override PartName="/word/charts/colors4.xml" ContentType="application/vnd.ms-office.chartcolorstyle+xml"/>
  <Override PartName="/word/charts/colors3.xml" ContentType="application/vnd.ms-office.chartcolorstyl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charts/style5.xml" ContentType="application/vnd.ms-office.chartstyle+xml"/>
  <Override PartName="/word/charts/colors1.xml" ContentType="application/vnd.ms-office.chartcolorstyle+xml"/>
  <Override PartName="/word/charts/style4.xml" ContentType="application/vnd.ms-office.chartstyle+xml"/>
  <Override PartName="/word/charts/style3.xml" ContentType="application/vnd.ms-office.chartstyle+xml"/>
  <Override PartName="/word/charts/colors2.xml" ContentType="application/vnd.ms-office.chartcolorsty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Default Extension="odttf" ContentType="application/vnd.openxmlformats-officedocument.obfuscatedFont"/>
  <Override PartName="/docProps/core.xml" ContentType="application/vnd.openxmlformats-package.core-properties+xml"/>
  <Override PartName="/word/charts/style1.xml" ContentType="application/vnd.ms-office.chartstyle+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535" w:rsidRDefault="00C23125">
      <w:pPr>
        <w:spacing w:line="600" w:lineRule="auto"/>
        <w:rPr>
          <w:rFonts w:ascii="楷体_GB2312" w:eastAsia="楷体_GB2312" w:hAnsi="楷体_GB2312" w:cs="楷体_GB2312"/>
          <w:color w:val="000000"/>
          <w:sz w:val="40"/>
          <w:szCs w:val="40"/>
        </w:rPr>
      </w:pPr>
      <w:r>
        <w:rPr>
          <w:noProof/>
        </w:rP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8">
                      <a:lum bright="6000"/>
                    </a:blip>
                    <a:srcRect t="559" b="3637"/>
                    <a:stretch>
                      <a:fillRect/>
                    </a:stretch>
                  </pic:blipFill>
                  <pic:spPr>
                    <a:xfrm>
                      <a:off x="0" y="0"/>
                      <a:ext cx="8646795" cy="11107420"/>
                    </a:xfrm>
                    <a:prstGeom prst="rect">
                      <a:avLst/>
                    </a:prstGeom>
                  </pic:spPr>
                </pic:pic>
              </a:graphicData>
            </a:graphic>
          </wp:anchor>
        </w:drawing>
      </w:r>
      <w:r w:rsidR="005B130D" w:rsidRPr="005B130D">
        <w:pict>
          <v:shapetype id="_x0000_t202" coordsize="21600,21600" o:spt="202" path="m,l,21600r21600,l21600,xe">
            <v:stroke joinstyle="miter"/>
            <v:path gradientshapeok="t" o:connecttype="rect"/>
          </v:shapetype>
          <v:shape id="_x0000_s1026" type="#_x0000_t202" alt="7b0a2020202022776f7264617274223a20227b5c2269645c223a32353030323136362c5c227469645c223a5c225c227d220a7d0a" style="position:absolute;left:0;text-align:left;margin-left:-43.05pt;margin-top:19.95pt;width:506.4pt;height:225.4pt;z-index:251660288;mso-position-horizontal-relative:text;mso-position-vertical-relative:text;mso-width-relative:page;mso-height-relative:page" o:gfxdata="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2yz97YAAAACgEAAA8AAAAAAAAAAQAgAAAAIgAAAGRycy9kb3ducmV2LnhtbFBL&#10;AQIUABQAAAAIAIdO4kCjWvfx9gEAAM4DAAAOAAAAAAAAAAEAIAAAACcBAABkcnMvZTJvRG9jLnht&#10;bFBLBQYAAAAABgAGAFkBAACPBQAAAAA=&#10;" filled="f" stroked="f">
            <v:textbox>
              <w:txbxContent>
                <w:p w:rsidR="00C23125" w:rsidRDefault="00C23125">
                  <w:pPr>
                    <w:spacing w:line="1400" w:lineRule="exact"/>
                    <w:jc w:val="left"/>
                    <w:rPr>
                      <w:rFonts w:ascii="方正小标宋_GBK" w:eastAsia="方正小标宋_GBK" w:hAnsi="方正小标宋_GBK" w:cs="方正小标宋_GBK"/>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2024年度</w:t>
                  </w:r>
                </w:p>
                <w:p w:rsidR="00C23125" w:rsidRDefault="00C23125">
                  <w:pPr>
                    <w:spacing w:line="1400" w:lineRule="exact"/>
                    <w:jc w:val="left"/>
                    <w:rPr>
                      <w:rFonts w:ascii="方正小标宋_GBK" w:eastAsia="方正小标宋_GBK" w:hAnsi="方正小标宋_GBK" w:cs="方正小标宋_GBK"/>
                      <w:b/>
                      <w:bCs/>
                      <w:color w:val="0D0D0D" w:themeColor="text1" w:themeTint="F2"/>
                      <w:sz w:val="112"/>
                      <w:szCs w:val="112"/>
                    </w:rPr>
                  </w:pPr>
                  <w:r>
                    <w:rPr>
                      <w:rFonts w:ascii="方正小标宋_GBK" w:eastAsia="方正小标宋_GBK" w:hAnsi="方正小标宋_GBK" w:cs="方正小标宋_GBK" w:hint="eastAsia"/>
                      <w:b/>
                      <w:bCs/>
                      <w:color w:val="0D0D0D" w:themeColor="text1" w:themeTint="F2"/>
                      <w:sz w:val="112"/>
                      <w:szCs w:val="112"/>
                    </w:rPr>
                    <w:t>部门决算公开文本</w:t>
                  </w:r>
                </w:p>
              </w:txbxContent>
            </v:textbox>
          </v:shape>
        </w:pict>
      </w: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B23535">
      <w:pPr>
        <w:spacing w:line="600" w:lineRule="auto"/>
        <w:rPr>
          <w:rFonts w:ascii="楷体_GB2312" w:eastAsia="楷体_GB2312" w:hAnsi="楷体_GB2312" w:cs="楷体_GB2312"/>
          <w:color w:val="000000"/>
          <w:sz w:val="40"/>
          <w:szCs w:val="40"/>
        </w:rPr>
      </w:pPr>
    </w:p>
    <w:p w:rsidR="00B23535" w:rsidRDefault="00C23125">
      <w:pPr>
        <w:spacing w:line="600" w:lineRule="auto"/>
        <w:jc w:val="left"/>
        <w:rPr>
          <w:rFonts w:ascii="楷体_GB2312" w:eastAsia="楷体_GB2312" w:hAnsi="楷体_GB2312" w:cs="楷体_GB2312"/>
          <w:color w:val="000000"/>
          <w:sz w:val="40"/>
          <w:szCs w:val="40"/>
        </w:rPr>
      </w:pPr>
      <w:r>
        <w:rPr>
          <w:rFonts w:ascii="黑体" w:eastAsia="黑体" w:hAnsi="黑体" w:cs="黑体" w:hint="eastAsia"/>
          <w:color w:val="000000"/>
          <w:sz w:val="40"/>
          <w:szCs w:val="40"/>
        </w:rPr>
        <w:t>预算代码</w:t>
      </w:r>
      <w:r>
        <w:rPr>
          <w:rFonts w:ascii="楷体_GB2312" w:eastAsia="楷体_GB2312" w:hAnsi="楷体_GB2312" w:cs="楷体_GB2312" w:hint="eastAsia"/>
          <w:color w:val="000000"/>
          <w:sz w:val="40"/>
          <w:szCs w:val="40"/>
        </w:rPr>
        <w:t>：410</w:t>
      </w:r>
    </w:p>
    <w:p w:rsidR="00B23535" w:rsidRDefault="00C23125">
      <w:pPr>
        <w:spacing w:line="600" w:lineRule="auto"/>
        <w:jc w:val="left"/>
        <w:rPr>
          <w:rFonts w:ascii="楷体_GB2312" w:eastAsia="楷体_GB2312" w:hAnsi="楷体_GB2312" w:cs="楷体_GB2312"/>
          <w:color w:val="000000"/>
          <w:sz w:val="40"/>
          <w:szCs w:val="40"/>
        </w:rPr>
      </w:pPr>
      <w:r>
        <w:rPr>
          <w:rFonts w:ascii="黑体" w:eastAsia="黑体" w:hAnsi="黑体" w:cs="黑体" w:hint="eastAsia"/>
          <w:color w:val="000000"/>
          <w:sz w:val="40"/>
          <w:szCs w:val="40"/>
        </w:rPr>
        <w:t>单位名称</w:t>
      </w:r>
      <w:r>
        <w:rPr>
          <w:rFonts w:ascii="楷体_GB2312" w:eastAsia="楷体_GB2312" w:hAnsi="楷体_GB2312" w:cs="楷体_GB2312" w:hint="eastAsia"/>
          <w:color w:val="000000"/>
          <w:sz w:val="40"/>
          <w:szCs w:val="40"/>
        </w:rPr>
        <w:t>：涞源县统计局</w:t>
      </w:r>
    </w:p>
    <w:p w:rsidR="00B23535" w:rsidRDefault="00B23535">
      <w:pPr>
        <w:spacing w:line="600" w:lineRule="auto"/>
        <w:rPr>
          <w:rFonts w:ascii="楷体_GB2312" w:eastAsia="楷体_GB2312" w:hAnsi="楷体_GB2312" w:cs="楷体_GB2312"/>
          <w:color w:val="000000"/>
          <w:sz w:val="40"/>
          <w:szCs w:val="40"/>
        </w:rPr>
        <w:sectPr w:rsidR="00B23535">
          <w:footerReference w:type="default" r:id="rId9"/>
          <w:pgSz w:w="11906" w:h="16838"/>
          <w:pgMar w:top="2098" w:right="1417" w:bottom="1871" w:left="1417" w:header="851" w:footer="992" w:gutter="0"/>
          <w:pgNumType w:start="1"/>
          <w:cols w:space="720"/>
          <w:docGrid w:type="lines" w:linePitch="312"/>
        </w:sectPr>
      </w:pPr>
    </w:p>
    <w:p w:rsidR="00B23535" w:rsidRDefault="00B23535">
      <w:pPr>
        <w:spacing w:line="600" w:lineRule="auto"/>
        <w:jc w:val="center"/>
        <w:rPr>
          <w:rFonts w:ascii="楷体_GB2312" w:eastAsia="楷体_GB2312" w:hAnsi="楷体_GB2312" w:cs="楷体_GB2312"/>
          <w:color w:val="000000"/>
          <w:sz w:val="40"/>
          <w:szCs w:val="40"/>
        </w:rPr>
      </w:pPr>
    </w:p>
    <w:p w:rsidR="00B23535" w:rsidRDefault="00B23535">
      <w:pPr>
        <w:rPr>
          <w:rFonts w:ascii="黑体" w:eastAsia="黑体" w:hAnsi="黑体" w:cs="黑体"/>
          <w:b/>
          <w:bCs/>
          <w:sz w:val="32"/>
          <w:szCs w:val="36"/>
          <w:highlight w:val="yellow"/>
        </w:rPr>
      </w:pPr>
    </w:p>
    <w:p w:rsidR="00B23535" w:rsidRPr="00AB044E" w:rsidRDefault="00C23125">
      <w:pPr>
        <w:widowControl/>
        <w:spacing w:line="360" w:lineRule="auto"/>
        <w:jc w:val="center"/>
        <w:rPr>
          <w:rFonts w:ascii="方正小标宋简体" w:eastAsia="方正小标宋简体"/>
          <w:sz w:val="72"/>
          <w:szCs w:val="72"/>
        </w:rPr>
      </w:pPr>
      <w:r w:rsidRPr="00AB044E">
        <w:rPr>
          <w:rFonts w:ascii="方正小标宋简体" w:eastAsia="方正小标宋简体" w:hint="eastAsia"/>
          <w:sz w:val="72"/>
          <w:szCs w:val="72"/>
        </w:rPr>
        <w:t>涞源县统计局</w:t>
      </w:r>
    </w:p>
    <w:p w:rsidR="00B23535" w:rsidRPr="00AB044E" w:rsidRDefault="00C23125">
      <w:pPr>
        <w:widowControl/>
        <w:spacing w:line="360" w:lineRule="auto"/>
        <w:jc w:val="center"/>
        <w:rPr>
          <w:rFonts w:ascii="方正小标宋简体" w:eastAsia="方正小标宋简体"/>
          <w:sz w:val="72"/>
          <w:szCs w:val="72"/>
        </w:rPr>
      </w:pPr>
      <w:r w:rsidRPr="00AB044E">
        <w:rPr>
          <w:rFonts w:ascii="方正小标宋简体" w:eastAsia="方正小标宋简体" w:hint="eastAsia"/>
          <w:sz w:val="72"/>
          <w:szCs w:val="72"/>
        </w:rPr>
        <w:t>2024年度部门决算公开文本</w:t>
      </w:r>
    </w:p>
    <w:p w:rsidR="00B23535" w:rsidRDefault="00B23535">
      <w:pPr>
        <w:spacing w:line="360" w:lineRule="auto"/>
        <w:jc w:val="center"/>
        <w:rPr>
          <w:rFonts w:ascii="黑体" w:eastAsia="黑体" w:hAnsi="黑体" w:cs="黑体"/>
          <w:sz w:val="56"/>
          <w:szCs w:val="72"/>
        </w:rPr>
      </w:pPr>
    </w:p>
    <w:p w:rsidR="00B23535" w:rsidRDefault="00B23535">
      <w:pPr>
        <w:spacing w:line="600" w:lineRule="auto"/>
        <w:jc w:val="center"/>
        <w:rPr>
          <w:rFonts w:ascii="黑体" w:eastAsia="黑体" w:hAnsi="黑体" w:cs="黑体"/>
          <w:sz w:val="56"/>
          <w:szCs w:val="72"/>
        </w:rPr>
      </w:pPr>
    </w:p>
    <w:p w:rsidR="00B23535" w:rsidRDefault="00B23535">
      <w:pPr>
        <w:spacing w:line="600" w:lineRule="auto"/>
        <w:jc w:val="center"/>
        <w:rPr>
          <w:rFonts w:ascii="黑体" w:eastAsia="黑体" w:hAnsi="黑体" w:cs="黑体"/>
          <w:sz w:val="56"/>
          <w:szCs w:val="72"/>
        </w:rPr>
      </w:pPr>
    </w:p>
    <w:p w:rsidR="00B23535" w:rsidRDefault="00B23535">
      <w:pPr>
        <w:spacing w:line="480" w:lineRule="auto"/>
        <w:rPr>
          <w:rFonts w:ascii="黑体" w:eastAsia="黑体" w:hAnsi="黑体" w:cs="黑体"/>
          <w:sz w:val="56"/>
          <w:szCs w:val="72"/>
        </w:rPr>
      </w:pPr>
    </w:p>
    <w:p w:rsidR="00AB044E" w:rsidRDefault="00AB044E">
      <w:pPr>
        <w:spacing w:line="480" w:lineRule="auto"/>
        <w:rPr>
          <w:rFonts w:ascii="黑体" w:eastAsia="黑体" w:hAnsi="黑体" w:cs="黑体"/>
          <w:sz w:val="56"/>
          <w:szCs w:val="72"/>
        </w:rPr>
      </w:pPr>
    </w:p>
    <w:p w:rsidR="00AB044E" w:rsidRDefault="00AB044E">
      <w:pPr>
        <w:spacing w:line="480" w:lineRule="auto"/>
        <w:rPr>
          <w:rFonts w:ascii="黑体" w:eastAsia="黑体" w:hAnsi="黑体" w:cs="黑体"/>
          <w:sz w:val="56"/>
          <w:szCs w:val="72"/>
        </w:rPr>
      </w:pPr>
    </w:p>
    <w:p w:rsidR="00B23535" w:rsidRDefault="00C23125">
      <w:pPr>
        <w:widowControl/>
        <w:spacing w:line="360" w:lineRule="auto"/>
        <w:jc w:val="center"/>
        <w:rPr>
          <w:rFonts w:ascii="Times New Roman" w:eastAsia="楷体_GB2312"/>
          <w:sz w:val="44"/>
          <w:szCs w:val="44"/>
        </w:rPr>
      </w:pPr>
      <w:r>
        <w:rPr>
          <w:rFonts w:ascii="Times New Roman" w:eastAsia="楷体_GB2312"/>
          <w:sz w:val="44"/>
          <w:szCs w:val="44"/>
        </w:rPr>
        <w:t>涞源县统计局</w:t>
      </w:r>
    </w:p>
    <w:p w:rsidR="00B23535" w:rsidRDefault="00C23125">
      <w:pPr>
        <w:widowControl/>
        <w:spacing w:line="360" w:lineRule="auto"/>
        <w:jc w:val="center"/>
        <w:rPr>
          <w:rFonts w:ascii="Times New Roman" w:eastAsia="楷体_GB2312"/>
          <w:sz w:val="44"/>
          <w:szCs w:val="44"/>
        </w:rPr>
      </w:pPr>
      <w:r>
        <w:rPr>
          <w:rFonts w:ascii="Times New Roman" w:eastAsia="楷体_GB2312"/>
          <w:sz w:val="44"/>
          <w:szCs w:val="44"/>
        </w:rPr>
        <w:t>二〇二五年</w:t>
      </w:r>
      <w:r>
        <w:rPr>
          <w:rFonts w:ascii="Times New Roman" w:eastAsia="楷体_GB2312" w:hint="eastAsia"/>
          <w:sz w:val="44"/>
          <w:szCs w:val="44"/>
        </w:rPr>
        <w:t>十一</w:t>
      </w:r>
      <w:r>
        <w:rPr>
          <w:rFonts w:ascii="Times New Roman" w:eastAsia="楷体_GB2312"/>
          <w:sz w:val="44"/>
          <w:szCs w:val="44"/>
        </w:rPr>
        <w:t>月</w:t>
      </w:r>
    </w:p>
    <w:p w:rsidR="00B23535" w:rsidRDefault="00B23535">
      <w:pPr>
        <w:snapToGrid w:val="0"/>
        <w:jc w:val="left"/>
        <w:rPr>
          <w:rFonts w:ascii="楷体_GB2312" w:eastAsia="楷体_GB2312" w:hAnsi="楷体_GB2312" w:cs="楷体_GB2312"/>
          <w:color w:val="000000" w:themeColor="text1"/>
          <w:sz w:val="44"/>
          <w:szCs w:val="44"/>
        </w:rPr>
      </w:pPr>
    </w:p>
    <w:p w:rsidR="00B23535" w:rsidRDefault="00B23535">
      <w:pPr>
        <w:snapToGrid w:val="0"/>
        <w:jc w:val="left"/>
        <w:rPr>
          <w:rFonts w:ascii="楷体_GB2312" w:eastAsia="楷体_GB2312" w:hAnsi="楷体_GB2312" w:cs="楷体_GB2312"/>
          <w:color w:val="000000" w:themeColor="text1"/>
          <w:sz w:val="44"/>
          <w:szCs w:val="44"/>
        </w:rPr>
        <w:sectPr w:rsidR="00B23535">
          <w:footerReference w:type="default" r:id="rId10"/>
          <w:pgSz w:w="11906" w:h="16838"/>
          <w:pgMar w:top="1531" w:right="1984" w:bottom="1531" w:left="2098" w:header="851" w:footer="992" w:gutter="0"/>
          <w:cols w:space="720"/>
          <w:docGrid w:type="lines" w:linePitch="312"/>
        </w:sectPr>
      </w:pPr>
    </w:p>
    <w:p w:rsidR="00B23535" w:rsidRDefault="00B23535">
      <w:pPr>
        <w:tabs>
          <w:tab w:val="left" w:pos="2728"/>
        </w:tabs>
        <w:jc w:val="center"/>
        <w:rPr>
          <w:rFonts w:ascii="黑体" w:eastAsia="黑体" w:hAnsi="Times New Roman" w:cs="Times New Roman"/>
          <w:sz w:val="48"/>
          <w:szCs w:val="48"/>
        </w:rPr>
      </w:pPr>
    </w:p>
    <w:p w:rsidR="00B23535" w:rsidRDefault="00C23125">
      <w:pPr>
        <w:widowControl/>
        <w:spacing w:line="360" w:lineRule="auto"/>
        <w:jc w:val="center"/>
        <w:outlineLvl w:val="0"/>
        <w:rPr>
          <w:rFonts w:ascii="Times New Roman" w:eastAsia="黑体"/>
          <w:sz w:val="44"/>
          <w:szCs w:val="44"/>
        </w:rPr>
      </w:pPr>
      <w:r>
        <w:rPr>
          <w:rFonts w:ascii="Times New Roman" w:eastAsia="黑体"/>
          <w:sz w:val="44"/>
          <w:szCs w:val="44"/>
        </w:rPr>
        <w:t>目</w:t>
      </w:r>
      <w:r>
        <w:rPr>
          <w:rFonts w:ascii="Times New Roman" w:eastAsia="黑体"/>
          <w:sz w:val="44"/>
          <w:szCs w:val="44"/>
        </w:rPr>
        <w:t xml:space="preserve">  </w:t>
      </w:r>
      <w:r>
        <w:rPr>
          <w:rFonts w:ascii="Times New Roman" w:eastAsia="黑体"/>
          <w:sz w:val="44"/>
          <w:szCs w:val="44"/>
        </w:rPr>
        <w:t>录</w:t>
      </w:r>
    </w:p>
    <w:p w:rsidR="00B23535" w:rsidRDefault="00B23535">
      <w:pPr>
        <w:widowControl/>
        <w:spacing w:after="160" w:line="580" w:lineRule="exact"/>
        <w:ind w:firstLineChars="200" w:firstLine="640"/>
        <w:rPr>
          <w:rFonts w:ascii="Times New Roman" w:eastAsia="黑体" w:hAnsi="Times New Roman" w:cs="Times New Roman"/>
          <w:sz w:val="32"/>
          <w:szCs w:val="32"/>
        </w:rPr>
      </w:pPr>
    </w:p>
    <w:p w:rsidR="00B23535" w:rsidRDefault="00C23125">
      <w:pPr>
        <w:widowControl/>
        <w:spacing w:line="360" w:lineRule="auto"/>
        <w:jc w:val="left"/>
        <w:rPr>
          <w:rFonts w:ascii="Times New Roman" w:eastAsia="黑体"/>
          <w:sz w:val="32"/>
          <w:szCs w:val="32"/>
        </w:rPr>
      </w:pPr>
      <w:r>
        <w:rPr>
          <w:rFonts w:ascii="Times New Roman" w:eastAsia="黑体"/>
          <w:sz w:val="32"/>
          <w:szCs w:val="32"/>
        </w:rPr>
        <w:t>第一部分部门概况</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一、部门职责</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二、机构设置</w:t>
      </w:r>
    </w:p>
    <w:p w:rsidR="00B23535" w:rsidRDefault="00C23125">
      <w:pPr>
        <w:widowControl/>
        <w:spacing w:line="360" w:lineRule="auto"/>
        <w:jc w:val="left"/>
        <w:outlineLvl w:val="0"/>
        <w:rPr>
          <w:rFonts w:ascii="Times New Roman" w:eastAsia="黑体"/>
          <w:sz w:val="32"/>
          <w:szCs w:val="32"/>
        </w:rPr>
      </w:pPr>
      <w:r>
        <w:rPr>
          <w:rFonts w:ascii="Times New Roman" w:eastAsia="黑体"/>
          <w:sz w:val="32"/>
          <w:szCs w:val="32"/>
        </w:rPr>
        <w:t>第二部分</w:t>
      </w:r>
      <w:r>
        <w:rPr>
          <w:rFonts w:ascii="Times New Roman" w:eastAsia="黑体"/>
          <w:sz w:val="32"/>
          <w:szCs w:val="32"/>
        </w:rPr>
        <w:t xml:space="preserve"> 2024</w:t>
      </w:r>
      <w:r>
        <w:rPr>
          <w:rFonts w:ascii="Times New Roman" w:eastAsia="黑体"/>
          <w:sz w:val="32"/>
          <w:szCs w:val="32"/>
        </w:rPr>
        <w:t>年度部门决算报表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五、一般公共预算财政拨款支出决算表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六、一般公共预算财政拨款基本支出决算明细表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七、政府性基金预算财政拨款收入支出决算表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八、国有资本经营预算财政拨款支出决算表</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经费支出决算表</w:t>
      </w:r>
    </w:p>
    <w:p w:rsidR="00B23535" w:rsidRDefault="00C23125">
      <w:pPr>
        <w:widowControl/>
        <w:spacing w:line="360" w:lineRule="auto"/>
        <w:jc w:val="left"/>
        <w:rPr>
          <w:rFonts w:ascii="Times New Roman" w:eastAsia="黑体"/>
          <w:sz w:val="32"/>
          <w:szCs w:val="32"/>
        </w:rPr>
      </w:pPr>
      <w:r>
        <w:rPr>
          <w:rFonts w:ascii="Times New Roman" w:eastAsia="黑体"/>
          <w:sz w:val="32"/>
          <w:szCs w:val="32"/>
        </w:rPr>
        <w:t>第三部分</w:t>
      </w:r>
      <w:r>
        <w:rPr>
          <w:rFonts w:ascii="Times New Roman" w:eastAsia="黑体"/>
          <w:sz w:val="32"/>
          <w:szCs w:val="32"/>
        </w:rPr>
        <w:t xml:space="preserve"> 2024</w:t>
      </w:r>
      <w:r>
        <w:rPr>
          <w:rFonts w:ascii="Times New Roman" w:eastAsia="黑体"/>
          <w:sz w:val="32"/>
          <w:szCs w:val="32"/>
        </w:rPr>
        <w:t>年度部门决算情况说明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一、收入支出决算总体情况说明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二、收入决算情况说明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三、支出决算情况说明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四、财政拨款收入支出决算总体情况说明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五、财政拨款</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经费支出决算情况说明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六、机关运行经费支出说明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七、政府采购支出说明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八、国有资产占用情况说明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九、关于</w:t>
      </w:r>
      <w:r>
        <w:rPr>
          <w:rFonts w:ascii="Times New Roman" w:eastAsia="仿宋_GB2312"/>
          <w:sz w:val="32"/>
          <w:szCs w:val="32"/>
        </w:rPr>
        <w:t>2024</w:t>
      </w:r>
      <w:r>
        <w:rPr>
          <w:rFonts w:ascii="Times New Roman" w:eastAsia="仿宋_GB2312"/>
          <w:sz w:val="32"/>
          <w:szCs w:val="32"/>
        </w:rPr>
        <w:t>年度绩效评价情况的说明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十、其他需要说明的情况</w:t>
      </w:r>
    </w:p>
    <w:p w:rsidR="00B23535" w:rsidRDefault="00C23125">
      <w:pPr>
        <w:widowControl/>
        <w:spacing w:line="360" w:lineRule="auto"/>
        <w:jc w:val="left"/>
        <w:rPr>
          <w:rFonts w:ascii="Times New Roman" w:eastAsia="黑体"/>
          <w:sz w:val="32"/>
          <w:szCs w:val="32"/>
        </w:rPr>
      </w:pPr>
      <w:r>
        <w:rPr>
          <w:rFonts w:ascii="Times New Roman" w:eastAsia="黑体"/>
          <w:sz w:val="32"/>
          <w:szCs w:val="32"/>
        </w:rPr>
        <w:t>第四部分</w:t>
      </w:r>
      <w:r>
        <w:rPr>
          <w:rFonts w:ascii="Times New Roman" w:eastAsia="黑体"/>
          <w:sz w:val="32"/>
          <w:szCs w:val="32"/>
        </w:rPr>
        <w:t xml:space="preserve"> </w:t>
      </w:r>
      <w:r>
        <w:rPr>
          <w:rFonts w:ascii="Times New Roman" w:eastAsia="黑体"/>
          <w:sz w:val="32"/>
          <w:szCs w:val="32"/>
        </w:rPr>
        <w:t>名词解释</w:t>
      </w:r>
    </w:p>
    <w:p w:rsidR="00B23535" w:rsidRDefault="00B23535">
      <w:pPr>
        <w:widowControl/>
        <w:spacing w:after="160" w:line="580" w:lineRule="exact"/>
        <w:rPr>
          <w:rFonts w:ascii="Times New Roman" w:eastAsia="黑体" w:hAnsi="Times New Roman" w:cs="Times New Roman"/>
          <w:sz w:val="32"/>
          <w:szCs w:val="32"/>
        </w:rPr>
        <w:sectPr w:rsidR="00B23535">
          <w:headerReference w:type="default" r:id="rId11"/>
          <w:footerReference w:type="default" r:id="rId12"/>
          <w:headerReference w:type="first" r:id="rId13"/>
          <w:footerReference w:type="first" r:id="rId14"/>
          <w:pgSz w:w="11906" w:h="16838"/>
          <w:pgMar w:top="1474" w:right="1531" w:bottom="1474" w:left="1531" w:header="851" w:footer="992" w:gutter="0"/>
          <w:cols w:space="0"/>
          <w:titlePg/>
          <w:docGrid w:type="lines" w:linePitch="312"/>
        </w:sectPr>
      </w:pPr>
    </w:p>
    <w:p w:rsidR="00AB044E" w:rsidRDefault="00AB044E">
      <w:pPr>
        <w:widowControl/>
        <w:spacing w:line="360" w:lineRule="auto"/>
        <w:jc w:val="center"/>
        <w:outlineLvl w:val="0"/>
        <w:rPr>
          <w:rFonts w:ascii="Times New Roman" w:eastAsia="黑体"/>
          <w:sz w:val="44"/>
          <w:szCs w:val="44"/>
        </w:rPr>
      </w:pPr>
    </w:p>
    <w:p w:rsidR="00AB044E" w:rsidRDefault="00AB044E">
      <w:pPr>
        <w:widowControl/>
        <w:spacing w:line="360" w:lineRule="auto"/>
        <w:jc w:val="center"/>
        <w:outlineLvl w:val="0"/>
        <w:rPr>
          <w:rFonts w:ascii="Times New Roman" w:eastAsia="黑体"/>
          <w:sz w:val="44"/>
          <w:szCs w:val="44"/>
        </w:rPr>
      </w:pPr>
    </w:p>
    <w:p w:rsidR="00B23535" w:rsidRDefault="00C23125">
      <w:pPr>
        <w:widowControl/>
        <w:spacing w:line="360" w:lineRule="auto"/>
        <w:jc w:val="center"/>
        <w:outlineLvl w:val="0"/>
        <w:rPr>
          <w:rFonts w:ascii="Times New Roman" w:eastAsia="黑体"/>
          <w:sz w:val="44"/>
          <w:szCs w:val="44"/>
        </w:rPr>
      </w:pPr>
      <w:r>
        <w:rPr>
          <w:rFonts w:ascii="Times New Roman" w:eastAsia="黑体"/>
          <w:sz w:val="44"/>
          <w:szCs w:val="44"/>
        </w:rPr>
        <w:t>第一部分</w:t>
      </w:r>
      <w:r w:rsidR="00AB044E">
        <w:rPr>
          <w:rFonts w:ascii="Times New Roman" w:eastAsia="黑体" w:hint="eastAsia"/>
          <w:sz w:val="44"/>
          <w:szCs w:val="44"/>
        </w:rPr>
        <w:t xml:space="preserve"> </w:t>
      </w:r>
      <w:r>
        <w:rPr>
          <w:rFonts w:ascii="Times New Roman" w:eastAsia="黑体"/>
          <w:sz w:val="44"/>
          <w:szCs w:val="44"/>
        </w:rPr>
        <w:t>部门概况</w:t>
      </w:r>
    </w:p>
    <w:p w:rsidR="00B23535" w:rsidRDefault="00AB044E">
      <w:pPr>
        <w:widowControl/>
        <w:spacing w:line="360" w:lineRule="auto"/>
        <w:jc w:val="left"/>
        <w:outlineLvl w:val="1"/>
        <w:rPr>
          <w:rFonts w:ascii="Times New Roman" w:eastAsia="黑体"/>
          <w:sz w:val="32"/>
          <w:szCs w:val="32"/>
        </w:rPr>
      </w:pPr>
      <w:r>
        <w:rPr>
          <w:rFonts w:ascii="Times New Roman" w:eastAsia="黑体" w:hint="eastAsia"/>
          <w:sz w:val="32"/>
          <w:szCs w:val="32"/>
        </w:rPr>
        <w:t xml:space="preserve">    </w:t>
      </w:r>
      <w:r w:rsidR="00C23125">
        <w:rPr>
          <w:rFonts w:ascii="Times New Roman" w:eastAsia="黑体"/>
          <w:sz w:val="32"/>
          <w:szCs w:val="32"/>
        </w:rPr>
        <w:t>一、部门职责</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1</w:t>
      </w:r>
      <w:r>
        <w:rPr>
          <w:rFonts w:ascii="Times New Roman" w:eastAsia="仿宋_GB2312" w:hint="eastAsia"/>
          <w:sz w:val="32"/>
          <w:szCs w:val="32"/>
        </w:rPr>
        <w:t>、</w:t>
      </w:r>
      <w:r>
        <w:rPr>
          <w:rFonts w:ascii="Times New Roman" w:eastAsia="仿宋_GB2312"/>
          <w:sz w:val="32"/>
          <w:szCs w:val="32"/>
        </w:rPr>
        <w:t>完成全县年度数据的测算审核认定工作</w:t>
      </w:r>
      <w:r>
        <w:rPr>
          <w:rFonts w:ascii="Times New Roman" w:eastAsia="仿宋_GB2312"/>
          <w:sz w:val="32"/>
          <w:szCs w:val="32"/>
        </w:rPr>
        <w:t>;</w:t>
      </w:r>
      <w:r>
        <w:rPr>
          <w:rFonts w:ascii="Times New Roman" w:eastAsia="仿宋_GB2312"/>
          <w:sz w:val="32"/>
          <w:szCs w:val="32"/>
        </w:rPr>
        <w:t>完成全</w:t>
      </w:r>
      <w:r>
        <w:rPr>
          <w:rFonts w:ascii="Times New Roman" w:eastAsia="仿宋_GB2312"/>
          <w:sz w:val="32"/>
          <w:szCs w:val="32"/>
        </w:rPr>
        <w:t xml:space="preserve"> </w:t>
      </w:r>
      <w:r>
        <w:rPr>
          <w:rFonts w:ascii="Times New Roman" w:eastAsia="仿宋_GB2312"/>
          <w:sz w:val="32"/>
          <w:szCs w:val="32"/>
        </w:rPr>
        <w:t>县季度数据的测算审核认定工作</w:t>
      </w:r>
      <w:r>
        <w:rPr>
          <w:rFonts w:ascii="Times New Roman" w:eastAsia="仿宋_GB2312"/>
          <w:sz w:val="32"/>
          <w:szCs w:val="32"/>
        </w:rPr>
        <w:t>;</w:t>
      </w:r>
      <w:r>
        <w:rPr>
          <w:rFonts w:ascii="Times New Roman" w:eastAsia="仿宋_GB2312"/>
          <w:sz w:val="32"/>
          <w:szCs w:val="32"/>
        </w:rPr>
        <w:t>完成必要分析，对相关经济决策提供重要依据。</w:t>
      </w:r>
      <w:r>
        <w:rPr>
          <w:rFonts w:ascii="Times New Roman" w:eastAsia="仿宋_GB2312"/>
          <w:sz w:val="32"/>
          <w:szCs w:val="32"/>
        </w:rPr>
        <w:t>2</w:t>
      </w:r>
      <w:r>
        <w:rPr>
          <w:rFonts w:ascii="Times New Roman" w:eastAsia="仿宋_GB2312"/>
          <w:sz w:val="32"/>
          <w:szCs w:val="32"/>
        </w:rPr>
        <w:t>、研究制定资料开发应用计划，进行业务培训，组织开展深层次课题研究，发布普查主要数据公报，完成普查工作总结和表彰。</w:t>
      </w:r>
      <w:r>
        <w:rPr>
          <w:rFonts w:ascii="Times New Roman" w:eastAsia="仿宋_GB2312"/>
          <w:sz w:val="32"/>
          <w:szCs w:val="32"/>
        </w:rPr>
        <w:t>3</w:t>
      </w:r>
      <w:r>
        <w:rPr>
          <w:rFonts w:ascii="Times New Roman" w:eastAsia="仿宋_GB2312"/>
          <w:sz w:val="32"/>
          <w:szCs w:val="32"/>
        </w:rPr>
        <w:t>、保障统计信息化建设、统计执法、统计人员上岗资</w:t>
      </w:r>
      <w:r>
        <w:rPr>
          <w:rFonts w:ascii="Times New Roman" w:eastAsia="仿宋_GB2312"/>
          <w:sz w:val="32"/>
          <w:szCs w:val="32"/>
        </w:rPr>
        <w:t xml:space="preserve"> </w:t>
      </w:r>
      <w:r>
        <w:rPr>
          <w:rFonts w:ascii="Times New Roman" w:eastAsia="仿宋_GB2312"/>
          <w:sz w:val="32"/>
          <w:szCs w:val="32"/>
        </w:rPr>
        <w:t>格认定、职称考试等全县统计专业技术队伍建设。</w:t>
      </w:r>
      <w:r>
        <w:rPr>
          <w:rFonts w:ascii="Times New Roman" w:eastAsia="仿宋_GB2312"/>
          <w:sz w:val="32"/>
          <w:szCs w:val="32"/>
        </w:rPr>
        <w:t>4</w:t>
      </w:r>
      <w:r>
        <w:rPr>
          <w:rFonts w:ascii="Times New Roman" w:eastAsia="仿宋_GB2312"/>
          <w:sz w:val="32"/>
          <w:szCs w:val="32"/>
        </w:rPr>
        <w:t>、为党委政府和社会提供及时准确的统计数据和资料。</w:t>
      </w:r>
    </w:p>
    <w:p w:rsidR="00B23535" w:rsidRDefault="00AB044E">
      <w:pPr>
        <w:widowControl/>
        <w:spacing w:line="360" w:lineRule="auto"/>
        <w:jc w:val="left"/>
        <w:outlineLvl w:val="1"/>
        <w:rPr>
          <w:rFonts w:ascii="Times New Roman" w:eastAsia="黑体"/>
          <w:sz w:val="32"/>
          <w:szCs w:val="32"/>
        </w:rPr>
      </w:pPr>
      <w:r>
        <w:rPr>
          <w:rFonts w:ascii="Times New Roman" w:eastAsia="黑体" w:hint="eastAsia"/>
          <w:sz w:val="32"/>
          <w:szCs w:val="32"/>
        </w:rPr>
        <w:t xml:space="preserve">    </w:t>
      </w:r>
      <w:r w:rsidR="00C23125">
        <w:rPr>
          <w:rFonts w:ascii="Times New Roman" w:eastAsia="黑体"/>
          <w:sz w:val="32"/>
          <w:szCs w:val="32"/>
        </w:rPr>
        <w:t>二、机构设置</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从决算编报单位构成看，纳入</w:t>
      </w:r>
      <w:r>
        <w:rPr>
          <w:rFonts w:ascii="Times New Roman" w:eastAsia="仿宋_GB2312"/>
          <w:sz w:val="32"/>
          <w:szCs w:val="32"/>
        </w:rPr>
        <w:t>2024</w:t>
      </w:r>
      <w:r>
        <w:rPr>
          <w:rFonts w:ascii="Times New Roman" w:eastAsia="仿宋_GB2312"/>
          <w:sz w:val="32"/>
          <w:szCs w:val="32"/>
        </w:rPr>
        <w:t>年度本部门决算汇编范围的独立核算单位（以下简称</w:t>
      </w:r>
      <w:r>
        <w:rPr>
          <w:rFonts w:ascii="Times New Roman" w:eastAsia="仿宋_GB2312"/>
          <w:sz w:val="32"/>
          <w:szCs w:val="32"/>
        </w:rPr>
        <w:t>“</w:t>
      </w:r>
      <w:r>
        <w:rPr>
          <w:rFonts w:ascii="Times New Roman" w:eastAsia="仿宋_GB2312"/>
          <w:sz w:val="32"/>
          <w:szCs w:val="32"/>
        </w:rPr>
        <w:t>单位</w:t>
      </w:r>
      <w:r>
        <w:rPr>
          <w:rFonts w:ascii="Times New Roman" w:eastAsia="仿宋_GB2312"/>
          <w:sz w:val="32"/>
          <w:szCs w:val="32"/>
        </w:rPr>
        <w:t>”</w:t>
      </w:r>
      <w:r>
        <w:rPr>
          <w:rFonts w:ascii="Times New Roman" w:eastAsia="仿宋_GB2312"/>
          <w:sz w:val="32"/>
          <w:szCs w:val="32"/>
        </w:rPr>
        <w:t>）共</w:t>
      </w:r>
      <w:r>
        <w:rPr>
          <w:rFonts w:ascii="Times New Roman" w:eastAsia="仿宋_GB2312" w:hint="eastAsia"/>
          <w:sz w:val="32"/>
          <w:szCs w:val="32"/>
        </w:rPr>
        <w:t>1</w:t>
      </w:r>
      <w:r>
        <w:rPr>
          <w:rFonts w:ascii="Times New Roman" w:eastAsia="仿宋_GB2312"/>
          <w:sz w:val="32"/>
          <w:szCs w:val="32"/>
        </w:rPr>
        <w:t>个，具体情况如下：</w:t>
      </w:r>
    </w:p>
    <w:tbl>
      <w:tblPr>
        <w:tblpPr w:leftFromText="180" w:rightFromText="180" w:vertAnchor="text" w:horzAnchor="page" w:tblpXSpec="center" w:tblpY="10"/>
        <w:tblOverlap w:val="neve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5"/>
        <w:gridCol w:w="3485"/>
        <w:gridCol w:w="2445"/>
        <w:gridCol w:w="2665"/>
      </w:tblGrid>
      <w:tr w:rsidR="00B23535">
        <w:trPr>
          <w:trHeight w:val="811"/>
          <w:jc w:val="center"/>
        </w:trPr>
        <w:tc>
          <w:tcPr>
            <w:tcW w:w="985" w:type="dxa"/>
            <w:vAlign w:val="center"/>
          </w:tcPr>
          <w:p w:rsidR="00B23535" w:rsidRDefault="00C23125">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序号</w:t>
            </w:r>
          </w:p>
        </w:tc>
        <w:tc>
          <w:tcPr>
            <w:tcW w:w="3485" w:type="dxa"/>
            <w:vAlign w:val="center"/>
          </w:tcPr>
          <w:p w:rsidR="00B23535" w:rsidRDefault="00C23125">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单位名称</w:t>
            </w:r>
          </w:p>
        </w:tc>
        <w:tc>
          <w:tcPr>
            <w:tcW w:w="2445" w:type="dxa"/>
            <w:vAlign w:val="center"/>
          </w:tcPr>
          <w:p w:rsidR="00B23535" w:rsidRDefault="00C23125">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单位基本性质</w:t>
            </w:r>
          </w:p>
        </w:tc>
        <w:tc>
          <w:tcPr>
            <w:tcW w:w="2665" w:type="dxa"/>
            <w:vAlign w:val="center"/>
          </w:tcPr>
          <w:p w:rsidR="00B23535" w:rsidRDefault="00C23125">
            <w:pPr>
              <w:spacing w:line="560" w:lineRule="exact"/>
              <w:jc w:val="center"/>
              <w:rPr>
                <w:rFonts w:ascii="仿宋_GB2312" w:eastAsia="仿宋_GB2312" w:hAnsi="Calibri" w:cs="ArialUnicodeMS"/>
                <w:b/>
                <w:bCs/>
                <w:sz w:val="28"/>
                <w:szCs w:val="28"/>
              </w:rPr>
            </w:pPr>
            <w:r>
              <w:rPr>
                <w:rFonts w:ascii="仿宋_GB2312" w:eastAsia="仿宋_GB2312" w:hAnsi="Calibri" w:cs="ArialUnicodeMS" w:hint="eastAsia"/>
                <w:b/>
                <w:bCs/>
                <w:sz w:val="28"/>
                <w:szCs w:val="28"/>
              </w:rPr>
              <w:t>经费形式</w:t>
            </w:r>
          </w:p>
        </w:tc>
      </w:tr>
      <w:tr w:rsidR="00B23535">
        <w:trPr>
          <w:trHeight w:val="596"/>
          <w:jc w:val="center"/>
        </w:trPr>
        <w:tc>
          <w:tcPr>
            <w:tcW w:w="985" w:type="dxa"/>
          </w:tcPr>
          <w:p w:rsidR="00B23535" w:rsidRDefault="00C23125">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1</w:t>
            </w:r>
          </w:p>
        </w:tc>
        <w:tc>
          <w:tcPr>
            <w:tcW w:w="3485" w:type="dxa"/>
          </w:tcPr>
          <w:p w:rsidR="00B23535" w:rsidRDefault="00C23125">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涞源县统计局(本级)</w:t>
            </w:r>
          </w:p>
        </w:tc>
        <w:tc>
          <w:tcPr>
            <w:tcW w:w="2445" w:type="dxa"/>
          </w:tcPr>
          <w:p w:rsidR="00B23535" w:rsidRDefault="00C23125">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行政机关</w:t>
            </w:r>
          </w:p>
        </w:tc>
        <w:tc>
          <w:tcPr>
            <w:tcW w:w="2665" w:type="dxa"/>
          </w:tcPr>
          <w:p w:rsidR="00B23535" w:rsidRDefault="00C23125">
            <w:pPr>
              <w:spacing w:line="560" w:lineRule="exact"/>
              <w:jc w:val="center"/>
              <w:rPr>
                <w:rFonts w:ascii="仿宋_GB2312" w:eastAsia="仿宋_GB2312" w:hAnsi="Calibri" w:cs="ArialUnicodeMS"/>
                <w:sz w:val="28"/>
                <w:szCs w:val="28"/>
              </w:rPr>
            </w:pPr>
            <w:r>
              <w:rPr>
                <w:rFonts w:ascii="仿宋_GB2312" w:eastAsia="仿宋_GB2312" w:hAnsi="Calibri" w:cs="ArialUnicodeMS" w:hint="eastAsia"/>
                <w:sz w:val="28"/>
                <w:szCs w:val="28"/>
              </w:rPr>
              <w:t>财政拨款</w:t>
            </w: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C23125">
      <w:pPr>
        <w:widowControl/>
        <w:spacing w:line="360" w:lineRule="auto"/>
        <w:ind w:firstLineChars="200" w:firstLine="640"/>
        <w:jc w:val="left"/>
        <w:rPr>
          <w:rFonts w:ascii="Times New Roman" w:eastAsia="仿宋_GB2312"/>
          <w:sz w:val="32"/>
          <w:szCs w:val="32"/>
        </w:rPr>
        <w:sectPr w:rsidR="00B23535">
          <w:pgSz w:w="11906" w:h="16839"/>
          <w:pgMar w:top="400" w:right="1359" w:bottom="0" w:left="1359" w:header="0" w:footer="0" w:gutter="0"/>
          <w:cols w:space="720"/>
        </w:sectPr>
      </w:pPr>
      <w:r>
        <w:rPr>
          <w:rFonts w:ascii="Times New Roman" w:eastAsia="仿宋_GB2312"/>
          <w:sz w:val="32"/>
          <w:szCs w:val="32"/>
        </w:rPr>
        <w:t>我部门无二级预算单位，因此，涞源县统计局</w:t>
      </w:r>
      <w:r>
        <w:rPr>
          <w:rFonts w:ascii="Times New Roman" w:eastAsia="仿宋_GB2312"/>
          <w:sz w:val="32"/>
          <w:szCs w:val="32"/>
        </w:rPr>
        <w:t xml:space="preserve"> 202</w:t>
      </w:r>
      <w:r>
        <w:rPr>
          <w:rFonts w:ascii="Times New Roman" w:eastAsia="仿宋_GB2312" w:hint="eastAsia"/>
          <w:sz w:val="32"/>
          <w:szCs w:val="32"/>
        </w:rPr>
        <w:t>4</w:t>
      </w:r>
      <w:r>
        <w:rPr>
          <w:rFonts w:ascii="Times New Roman" w:eastAsia="仿宋_GB2312"/>
          <w:sz w:val="32"/>
          <w:szCs w:val="32"/>
        </w:rPr>
        <w:t xml:space="preserve"> </w:t>
      </w:r>
      <w:r>
        <w:rPr>
          <w:rFonts w:ascii="Times New Roman" w:eastAsia="仿宋_GB2312"/>
          <w:sz w:val="32"/>
          <w:szCs w:val="32"/>
        </w:rPr>
        <w:t>年度部门决算公开即涞源县统计局（本级）</w:t>
      </w:r>
      <w:r>
        <w:rPr>
          <w:rFonts w:ascii="Times New Roman" w:eastAsia="仿宋_GB2312"/>
          <w:sz w:val="32"/>
          <w:szCs w:val="32"/>
        </w:rPr>
        <w:t xml:space="preserve"> 202</w:t>
      </w:r>
      <w:r>
        <w:rPr>
          <w:rFonts w:ascii="Times New Roman" w:eastAsia="仿宋_GB2312" w:hint="eastAsia"/>
          <w:sz w:val="32"/>
          <w:szCs w:val="32"/>
        </w:rPr>
        <w:t>4</w:t>
      </w:r>
      <w:r>
        <w:rPr>
          <w:rFonts w:ascii="Times New Roman" w:eastAsia="仿宋_GB2312"/>
          <w:sz w:val="32"/>
          <w:szCs w:val="32"/>
        </w:rPr>
        <w:t xml:space="preserve"> </w:t>
      </w:r>
      <w:r>
        <w:rPr>
          <w:rFonts w:ascii="Times New Roman" w:eastAsia="仿宋_GB2312"/>
          <w:sz w:val="32"/>
          <w:szCs w:val="32"/>
        </w:rPr>
        <w:t>年度</w:t>
      </w:r>
      <w:r w:rsidR="00AB044E">
        <w:rPr>
          <w:rFonts w:ascii="Times New Roman" w:eastAsia="仿宋_GB2312" w:hint="eastAsia"/>
          <w:sz w:val="32"/>
          <w:szCs w:val="32"/>
        </w:rPr>
        <w:t>单位</w:t>
      </w:r>
      <w:r>
        <w:rPr>
          <w:rFonts w:ascii="Times New Roman" w:eastAsia="仿宋_GB2312"/>
          <w:sz w:val="32"/>
          <w:szCs w:val="32"/>
        </w:rPr>
        <w:t>决算公开。</w:t>
      </w:r>
    </w:p>
    <w:p w:rsidR="00B23535" w:rsidRDefault="00B23535">
      <w:pPr>
        <w:rPr>
          <w:rFonts w:ascii="Times New Roman" w:eastAsia="黑体" w:hAnsi="Times New Roman" w:cs="Times New Roman"/>
          <w:sz w:val="32"/>
          <w:szCs w:val="32"/>
          <w:highlight w:val="yellow"/>
        </w:rPr>
      </w:pPr>
    </w:p>
    <w:p w:rsidR="00B23535" w:rsidRDefault="00C23125">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W w:w="6575" w:type="pct"/>
        <w:tblInd w:w="-1168" w:type="dxa"/>
        <w:tblLayout w:type="fixed"/>
        <w:tblLook w:val="04A0"/>
      </w:tblPr>
      <w:tblGrid>
        <w:gridCol w:w="2567"/>
        <w:gridCol w:w="601"/>
        <w:gridCol w:w="592"/>
        <w:gridCol w:w="1269"/>
        <w:gridCol w:w="1563"/>
        <w:gridCol w:w="1491"/>
        <w:gridCol w:w="598"/>
        <w:gridCol w:w="1668"/>
        <w:gridCol w:w="224"/>
      </w:tblGrid>
      <w:tr w:rsidR="00B23535" w:rsidTr="008253F5">
        <w:trPr>
          <w:gridAfter w:val="1"/>
          <w:wAfter w:w="106" w:type="pct"/>
          <w:trHeight w:val="360"/>
        </w:trPr>
        <w:tc>
          <w:tcPr>
            <w:tcW w:w="4894" w:type="pct"/>
            <w:gridSpan w:val="8"/>
            <w:tcBorders>
              <w:top w:val="nil"/>
              <w:left w:val="nil"/>
              <w:bottom w:val="nil"/>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收入支出决算总表</w:t>
            </w:r>
          </w:p>
        </w:tc>
      </w:tr>
      <w:tr w:rsidR="00B23535" w:rsidTr="008253F5">
        <w:trPr>
          <w:gridAfter w:val="1"/>
          <w:wAfter w:w="106" w:type="pct"/>
          <w:trHeight w:val="356"/>
        </w:trPr>
        <w:tc>
          <w:tcPr>
            <w:tcW w:w="4894" w:type="pct"/>
            <w:gridSpan w:val="8"/>
            <w:tcBorders>
              <w:top w:val="nil"/>
              <w:left w:val="nil"/>
              <w:bottom w:val="nil"/>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 xml:space="preserve"> 公开</w:t>
            </w:r>
            <w:r>
              <w:rPr>
                <w:rFonts w:ascii="Times New Roman" w:eastAsia="宋体" w:hAnsi="Times New Roman" w:cs="Times New Roman" w:hint="eastAsia"/>
                <w:color w:val="000000"/>
                <w:sz w:val="20"/>
                <w:szCs w:val="20"/>
              </w:rPr>
              <w:t>01</w:t>
            </w:r>
            <w:r>
              <w:rPr>
                <w:rFonts w:ascii="方正仿宋_GB2312" w:eastAsia="方正仿宋_GB2312" w:hAnsi="方正仿宋_GB2312" w:cs="方正仿宋_GB2312" w:hint="eastAsia"/>
                <w:color w:val="000000"/>
                <w:sz w:val="20"/>
                <w:szCs w:val="20"/>
              </w:rPr>
              <w:t>表</w:t>
            </w:r>
          </w:p>
        </w:tc>
      </w:tr>
      <w:tr w:rsidR="00B23535" w:rsidTr="008253F5">
        <w:trPr>
          <w:gridAfter w:val="1"/>
          <w:wAfter w:w="106" w:type="pct"/>
          <w:trHeight w:val="350"/>
        </w:trPr>
        <w:tc>
          <w:tcPr>
            <w:tcW w:w="1778" w:type="pct"/>
            <w:gridSpan w:val="3"/>
            <w:tcBorders>
              <w:top w:val="nil"/>
              <w:left w:val="nil"/>
              <w:bottom w:val="single" w:sz="4" w:space="0" w:color="auto"/>
              <w:right w:val="nil"/>
            </w:tcBorders>
            <w:noWrap/>
            <w:vAlign w:val="bottom"/>
          </w:tcPr>
          <w:p w:rsidR="00B23535" w:rsidRDefault="00C23125">
            <w:pP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部门（单位）：涞源县统计局</w:t>
            </w:r>
          </w:p>
        </w:tc>
        <w:tc>
          <w:tcPr>
            <w:tcW w:w="1339" w:type="pct"/>
            <w:gridSpan w:val="2"/>
            <w:tcBorders>
              <w:top w:val="nil"/>
              <w:left w:val="nil"/>
              <w:bottom w:val="single" w:sz="4" w:space="0" w:color="auto"/>
              <w:right w:val="nil"/>
            </w:tcBorders>
            <w:noWrap/>
            <w:vAlign w:val="bottom"/>
          </w:tcPr>
          <w:p w:rsidR="00B23535" w:rsidRDefault="00C23125">
            <w:pPr>
              <w:jc w:val="center"/>
              <w:rPr>
                <w:rFonts w:ascii="宋体" w:eastAsia="宋体" w:hAnsi="宋体"/>
                <w:color w:val="000000"/>
                <w:sz w:val="20"/>
                <w:szCs w:val="20"/>
              </w:rPr>
            </w:pPr>
            <w:r>
              <w:rPr>
                <w:rFonts w:ascii="Times New Roman" w:eastAsia="宋体" w:hAnsi="Times New Roman" w:cs="Times New Roman" w:hint="eastAsia"/>
                <w:color w:val="000000"/>
                <w:sz w:val="20"/>
                <w:szCs w:val="20"/>
              </w:rPr>
              <w:t>2024</w:t>
            </w:r>
            <w:r>
              <w:rPr>
                <w:rFonts w:ascii="方正仿宋_GB2312" w:eastAsia="方正仿宋_GB2312" w:hAnsi="方正仿宋_GB2312" w:cs="方正仿宋_GB2312" w:hint="eastAsia"/>
                <w:color w:val="000000"/>
                <w:sz w:val="20"/>
                <w:szCs w:val="20"/>
              </w:rPr>
              <w:t>年度</w:t>
            </w:r>
          </w:p>
        </w:tc>
        <w:tc>
          <w:tcPr>
            <w:tcW w:w="1777" w:type="pct"/>
            <w:gridSpan w:val="3"/>
            <w:tcBorders>
              <w:top w:val="nil"/>
              <w:left w:val="nil"/>
              <w:bottom w:val="single" w:sz="4" w:space="0" w:color="auto"/>
              <w:right w:val="nil"/>
            </w:tcBorders>
            <w:noWrap/>
            <w:vAlign w:val="bottom"/>
          </w:tcPr>
          <w:p w:rsidR="00B23535" w:rsidRDefault="00C23125">
            <w:pPr>
              <w:jc w:val="right"/>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B23535" w:rsidTr="008253F5">
        <w:trPr>
          <w:gridAfter w:val="1"/>
          <w:wAfter w:w="106" w:type="pct"/>
          <w:trHeight w:val="543"/>
        </w:trPr>
        <w:tc>
          <w:tcPr>
            <w:tcW w:w="2378" w:type="pct"/>
            <w:gridSpan w:val="4"/>
            <w:tcBorders>
              <w:top w:val="single" w:sz="4" w:space="0" w:color="auto"/>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收入</w:t>
            </w:r>
          </w:p>
        </w:tc>
        <w:tc>
          <w:tcPr>
            <w:tcW w:w="2516" w:type="pct"/>
            <w:gridSpan w:val="4"/>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支出</w:t>
            </w:r>
          </w:p>
        </w:tc>
      </w:tr>
      <w:tr w:rsidR="00B23535" w:rsidTr="008253F5">
        <w:trPr>
          <w:gridAfter w:val="1"/>
          <w:wAfter w:w="106" w:type="pct"/>
          <w:trHeight w:val="307"/>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项目</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行次</w:t>
            </w:r>
          </w:p>
        </w:tc>
        <w:tc>
          <w:tcPr>
            <w:tcW w:w="879"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决算数</w:t>
            </w: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项目</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行次</w:t>
            </w:r>
          </w:p>
        </w:tc>
        <w:tc>
          <w:tcPr>
            <w:tcW w:w="7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决算数</w:t>
            </w: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栏次</w:t>
            </w:r>
          </w:p>
        </w:tc>
        <w:tc>
          <w:tcPr>
            <w:tcW w:w="284" w:type="pct"/>
            <w:tcBorders>
              <w:top w:val="nil"/>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79"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Times New Roman" w:eastAsia="宋体" w:hAnsi="Times New Roman" w:cs="Times New Roman" w:hint="eastAsia"/>
                <w:color w:val="000000"/>
                <w:sz w:val="20"/>
                <w:szCs w:val="20"/>
              </w:rPr>
              <w:t>1</w:t>
            </w: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栏次</w:t>
            </w:r>
          </w:p>
        </w:tc>
        <w:tc>
          <w:tcPr>
            <w:tcW w:w="283" w:type="pct"/>
            <w:tcBorders>
              <w:top w:val="nil"/>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7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Times New Roman" w:eastAsia="宋体" w:hAnsi="Times New Roman" w:cs="Times New Roman" w:hint="eastAsia"/>
                <w:color w:val="000000"/>
                <w:sz w:val="20"/>
                <w:szCs w:val="20"/>
              </w:rPr>
              <w:t>2</w:t>
            </w: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一、一般公共预算财政拨款收入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宋体" w:eastAsia="宋体" w:hAnsi="宋体"/>
                <w:color w:val="000000"/>
                <w:sz w:val="20"/>
                <w:szCs w:val="20"/>
              </w:rPr>
              <w:t>1</w:t>
            </w:r>
          </w:p>
        </w:tc>
        <w:tc>
          <w:tcPr>
            <w:tcW w:w="879"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一、一般公共服务支出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32</w:t>
            </w:r>
          </w:p>
        </w:tc>
        <w:tc>
          <w:tcPr>
            <w:tcW w:w="78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281.09</w:t>
            </w: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二、政府性基金预算财政拨款收入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二、外交支出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三、国有资本经营预算财政拨款收入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三、国防支出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34</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四、上级补助收入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四、公共安全支出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35</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五、事业收入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五、教育支出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六、经营收入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六、科学技术支出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37</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七、附属单位上缴收入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七、文化旅游体育与传媒支出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38</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八、其他收入</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w:t>
            </w:r>
          </w:p>
        </w:tc>
        <w:tc>
          <w:tcPr>
            <w:tcW w:w="879"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7.52</w:t>
            </w: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八、社会保障和就业支出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39</w:t>
            </w:r>
          </w:p>
        </w:tc>
        <w:tc>
          <w:tcPr>
            <w:tcW w:w="78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42.42</w:t>
            </w: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9</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九、卫生健康支出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40</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十、节能环保支出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41</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十一、城乡社区支出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十二、农林水支出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43</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十三、交通运输支出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44</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auto"/>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auto"/>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w:t>
            </w:r>
          </w:p>
        </w:tc>
        <w:tc>
          <w:tcPr>
            <w:tcW w:w="879" w:type="pct"/>
            <w:gridSpan w:val="2"/>
            <w:tcBorders>
              <w:top w:val="nil"/>
              <w:left w:val="nil"/>
              <w:bottom w:val="single" w:sz="4" w:space="0" w:color="auto"/>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auto"/>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十四、资源勘探工业信息等支出</w:t>
            </w:r>
          </w:p>
        </w:tc>
        <w:tc>
          <w:tcPr>
            <w:tcW w:w="283" w:type="pct"/>
            <w:tcBorders>
              <w:top w:val="nil"/>
              <w:left w:val="nil"/>
              <w:bottom w:val="single" w:sz="4" w:space="0" w:color="auto"/>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w:t>
            </w:r>
          </w:p>
        </w:tc>
        <w:tc>
          <w:tcPr>
            <w:tcW w:w="789" w:type="pct"/>
            <w:tcBorders>
              <w:top w:val="nil"/>
              <w:left w:val="nil"/>
              <w:bottom w:val="single" w:sz="4" w:space="0" w:color="auto"/>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4"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15</w:t>
            </w:r>
          </w:p>
        </w:tc>
        <w:tc>
          <w:tcPr>
            <w:tcW w:w="879"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十五、商业服务业等支出</w:t>
            </w:r>
          </w:p>
        </w:tc>
        <w:tc>
          <w:tcPr>
            <w:tcW w:w="28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w:t>
            </w:r>
          </w:p>
        </w:tc>
        <w:tc>
          <w:tcPr>
            <w:tcW w:w="78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4"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w:t>
            </w:r>
          </w:p>
        </w:tc>
        <w:tc>
          <w:tcPr>
            <w:tcW w:w="879"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十六、金融支出</w:t>
            </w:r>
          </w:p>
        </w:tc>
        <w:tc>
          <w:tcPr>
            <w:tcW w:w="28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47</w:t>
            </w:r>
          </w:p>
        </w:tc>
        <w:tc>
          <w:tcPr>
            <w:tcW w:w="78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4"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w:t>
            </w:r>
          </w:p>
        </w:tc>
        <w:tc>
          <w:tcPr>
            <w:tcW w:w="879"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十七、援助其他地区支出</w:t>
            </w:r>
          </w:p>
        </w:tc>
        <w:tc>
          <w:tcPr>
            <w:tcW w:w="28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w:t>
            </w:r>
          </w:p>
        </w:tc>
        <w:tc>
          <w:tcPr>
            <w:tcW w:w="78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4"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18</w:t>
            </w:r>
          </w:p>
        </w:tc>
        <w:tc>
          <w:tcPr>
            <w:tcW w:w="879"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十八、自然资源海洋气象等支出</w:t>
            </w:r>
          </w:p>
        </w:tc>
        <w:tc>
          <w:tcPr>
            <w:tcW w:w="28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w:t>
            </w:r>
          </w:p>
        </w:tc>
        <w:tc>
          <w:tcPr>
            <w:tcW w:w="78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4"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19</w:t>
            </w:r>
          </w:p>
        </w:tc>
        <w:tc>
          <w:tcPr>
            <w:tcW w:w="879"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十九、住房保障支出</w:t>
            </w:r>
          </w:p>
        </w:tc>
        <w:tc>
          <w:tcPr>
            <w:tcW w:w="28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50</w:t>
            </w:r>
          </w:p>
        </w:tc>
        <w:tc>
          <w:tcPr>
            <w:tcW w:w="789"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7.71</w:t>
            </w:r>
          </w:p>
        </w:tc>
      </w:tr>
      <w:tr w:rsidR="00B23535" w:rsidTr="008253F5">
        <w:trPr>
          <w:gridAfter w:val="1"/>
          <w:wAfter w:w="106" w:type="pct"/>
          <w:trHeight w:val="475"/>
        </w:trPr>
        <w:tc>
          <w:tcPr>
            <w:tcW w:w="1214"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4"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w:t>
            </w:r>
          </w:p>
        </w:tc>
        <w:tc>
          <w:tcPr>
            <w:tcW w:w="879"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二十、粮油物资储备支出</w:t>
            </w:r>
          </w:p>
        </w:tc>
        <w:tc>
          <w:tcPr>
            <w:tcW w:w="28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w:t>
            </w:r>
          </w:p>
        </w:tc>
        <w:tc>
          <w:tcPr>
            <w:tcW w:w="78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single" w:sz="4" w:space="0" w:color="auto"/>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21</w:t>
            </w:r>
          </w:p>
        </w:tc>
        <w:tc>
          <w:tcPr>
            <w:tcW w:w="879" w:type="pct"/>
            <w:gridSpan w:val="2"/>
            <w:tcBorders>
              <w:top w:val="single" w:sz="4" w:space="0" w:color="auto"/>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single" w:sz="4" w:space="0" w:color="auto"/>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二十一、国有资本经营预算支出</w:t>
            </w:r>
          </w:p>
        </w:tc>
        <w:tc>
          <w:tcPr>
            <w:tcW w:w="283" w:type="pc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52</w:t>
            </w:r>
          </w:p>
        </w:tc>
        <w:tc>
          <w:tcPr>
            <w:tcW w:w="789" w:type="pct"/>
            <w:tcBorders>
              <w:top w:val="single" w:sz="4" w:space="0" w:color="auto"/>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二十二、灾害防治及应急管理支出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53</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二十三、其他支出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54</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24</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二十四、债务还本支出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二十五、债务付息支出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56</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二十六、抗疫特别国债安排的支出</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57</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本年收入合计</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w:t>
            </w:r>
          </w:p>
        </w:tc>
        <w:tc>
          <w:tcPr>
            <w:tcW w:w="879"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331.22</w:t>
            </w: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本年支出合计</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58</w:t>
            </w:r>
          </w:p>
        </w:tc>
        <w:tc>
          <w:tcPr>
            <w:tcW w:w="78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331.22</w:t>
            </w: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使用非财政拨款结余（含专用结余）</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结余分配</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59</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年初结转和结余</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29</w:t>
            </w:r>
          </w:p>
        </w:tc>
        <w:tc>
          <w:tcPr>
            <w:tcW w:w="879"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0.04</w:t>
            </w: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年末结转和结余</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60</w:t>
            </w:r>
          </w:p>
        </w:tc>
        <w:tc>
          <w:tcPr>
            <w:tcW w:w="78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0.04</w:t>
            </w:r>
          </w:p>
        </w:tc>
      </w:tr>
      <w:tr w:rsidR="00B23535" w:rsidTr="008253F5">
        <w:trPr>
          <w:gridAfter w:val="1"/>
          <w:wAfter w:w="106" w:type="pct"/>
          <w:trHeight w:val="475"/>
        </w:trPr>
        <w:tc>
          <w:tcPr>
            <w:tcW w:w="1214" w:type="pct"/>
            <w:tcBorders>
              <w:top w:val="nil"/>
              <w:left w:val="single" w:sz="4" w:space="0" w:color="000000"/>
              <w:bottom w:val="single" w:sz="4" w:space="0" w:color="000000"/>
              <w:right w:val="single" w:sz="4" w:space="0" w:color="000000"/>
            </w:tcBorders>
            <w:noWrap/>
            <w:vAlign w:val="center"/>
          </w:tcPr>
          <w:p w:rsidR="00B23535" w:rsidRDefault="00B23535">
            <w:pPr>
              <w:widowControl/>
              <w:jc w:val="center"/>
              <w:textAlignment w:val="center"/>
              <w:rPr>
                <w:rFonts w:ascii="方正仿宋_GB2312" w:eastAsia="方正仿宋_GB2312" w:hAnsi="方正仿宋_GB2312" w:cs="方正仿宋_GB2312"/>
                <w:b/>
                <w:bCs/>
                <w:color w:val="000000"/>
                <w:sz w:val="20"/>
                <w:szCs w:val="20"/>
              </w:rPr>
            </w:pP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w:t>
            </w:r>
          </w:p>
        </w:tc>
        <w:tc>
          <w:tcPr>
            <w:tcW w:w="879"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444" w:type="pct"/>
            <w:gridSpan w:val="2"/>
            <w:tcBorders>
              <w:top w:val="nil"/>
              <w:left w:val="nil"/>
              <w:bottom w:val="single" w:sz="4" w:space="0" w:color="000000"/>
              <w:right w:val="single" w:sz="4" w:space="0" w:color="000000"/>
            </w:tcBorders>
            <w:noWrap/>
            <w:vAlign w:val="center"/>
          </w:tcPr>
          <w:p w:rsidR="00B23535" w:rsidRDefault="00B23535">
            <w:pPr>
              <w:widowControl/>
              <w:jc w:val="center"/>
              <w:textAlignment w:val="center"/>
              <w:rPr>
                <w:rFonts w:ascii="方正仿宋_GB2312" w:eastAsia="方正仿宋_GB2312" w:hAnsi="方正仿宋_GB2312" w:cs="方正仿宋_GB2312"/>
                <w:b/>
                <w:bCs/>
                <w:color w:val="000000"/>
                <w:sz w:val="20"/>
                <w:szCs w:val="20"/>
              </w:rPr>
            </w:pP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61</w:t>
            </w:r>
          </w:p>
        </w:tc>
        <w:tc>
          <w:tcPr>
            <w:tcW w:w="7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gridAfter w:val="1"/>
          <w:wAfter w:w="106" w:type="pct"/>
          <w:trHeight w:val="307"/>
        </w:trPr>
        <w:tc>
          <w:tcPr>
            <w:tcW w:w="1214" w:type="pc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84"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31</w:t>
            </w:r>
          </w:p>
        </w:tc>
        <w:tc>
          <w:tcPr>
            <w:tcW w:w="879"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331.25</w:t>
            </w:r>
          </w:p>
        </w:tc>
        <w:tc>
          <w:tcPr>
            <w:tcW w:w="1444"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8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62</w:t>
            </w:r>
          </w:p>
        </w:tc>
        <w:tc>
          <w:tcPr>
            <w:tcW w:w="78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331.25</w:t>
            </w:r>
          </w:p>
        </w:tc>
      </w:tr>
      <w:tr w:rsidR="00B23535" w:rsidTr="008253F5">
        <w:trPr>
          <w:trHeight w:val="307"/>
        </w:trPr>
        <w:tc>
          <w:tcPr>
            <w:tcW w:w="5000" w:type="pct"/>
            <w:gridSpan w:val="9"/>
            <w:tcBorders>
              <w:top w:val="nil"/>
              <w:left w:val="nil"/>
              <w:bottom w:val="nil"/>
              <w:right w:val="nil"/>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注：1.本表反映部门本年度的总收支和年末结转结余情况。</w:t>
            </w:r>
          </w:p>
          <w:p w:rsidR="00B23535" w:rsidRDefault="00C23125">
            <w:pPr>
              <w:widowControl/>
              <w:ind w:firstLineChars="200" w:firstLine="400"/>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2.本套报表金额转换时可能存在尾数误差。</w:t>
            </w:r>
          </w:p>
        </w:tc>
      </w:tr>
    </w:tbl>
    <w:p w:rsidR="00B23535" w:rsidRDefault="00B23535">
      <w:pPr>
        <w:rPr>
          <w:rFonts w:ascii="仿宋_GB2312" w:eastAsia="仿宋_GB2312" w:hAnsi="宋体"/>
          <w:b/>
          <w:sz w:val="32"/>
          <w:szCs w:val="32"/>
        </w:rPr>
      </w:pPr>
    </w:p>
    <w:p w:rsidR="00B23535" w:rsidRDefault="00C23125">
      <w:pPr>
        <w:rPr>
          <w:rFonts w:ascii="仿宋_GB2312" w:eastAsia="仿宋_GB2312" w:hAnsi="宋体"/>
          <w:b/>
          <w:sz w:val="32"/>
          <w:szCs w:val="32"/>
        </w:rPr>
      </w:pPr>
      <w:r>
        <w:rPr>
          <w:rFonts w:ascii="仿宋_GB2312" w:eastAsia="仿宋_GB2312" w:hAnsi="宋体" w:hint="eastAsia"/>
          <w:b/>
          <w:sz w:val="32"/>
          <w:szCs w:val="32"/>
        </w:rPr>
        <w:br w:type="page"/>
      </w:r>
    </w:p>
    <w:tbl>
      <w:tblPr>
        <w:tblW w:w="9492" w:type="dxa"/>
        <w:jc w:val="center"/>
        <w:tblLayout w:type="fixed"/>
        <w:tblLook w:val="04A0"/>
      </w:tblPr>
      <w:tblGrid>
        <w:gridCol w:w="1040"/>
        <w:gridCol w:w="1779"/>
        <w:gridCol w:w="1134"/>
        <w:gridCol w:w="1134"/>
        <w:gridCol w:w="850"/>
        <w:gridCol w:w="705"/>
        <w:gridCol w:w="146"/>
        <w:gridCol w:w="850"/>
        <w:gridCol w:w="851"/>
        <w:gridCol w:w="1003"/>
      </w:tblGrid>
      <w:tr w:rsidR="00B23535" w:rsidTr="008253F5">
        <w:trPr>
          <w:trHeight w:val="550"/>
          <w:jc w:val="center"/>
        </w:trPr>
        <w:tc>
          <w:tcPr>
            <w:tcW w:w="9492" w:type="dxa"/>
            <w:gridSpan w:val="10"/>
            <w:tcBorders>
              <w:top w:val="nil"/>
              <w:left w:val="nil"/>
              <w:bottom w:val="nil"/>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收入决算表</w:t>
            </w:r>
          </w:p>
        </w:tc>
      </w:tr>
      <w:tr w:rsidR="00B23535" w:rsidTr="008253F5">
        <w:trPr>
          <w:trHeight w:val="300"/>
          <w:jc w:val="center"/>
        </w:trPr>
        <w:tc>
          <w:tcPr>
            <w:tcW w:w="9492" w:type="dxa"/>
            <w:gridSpan w:val="10"/>
            <w:tcBorders>
              <w:top w:val="nil"/>
              <w:left w:val="nil"/>
              <w:bottom w:val="nil"/>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宋体" w:hAnsi="Times New Roman" w:cs="Times New Roman" w:hint="eastAsia"/>
                <w:color w:val="000000"/>
                <w:sz w:val="20"/>
                <w:szCs w:val="20"/>
              </w:rPr>
              <w:t>02</w:t>
            </w:r>
            <w:r>
              <w:rPr>
                <w:rFonts w:ascii="方正仿宋_GB2312" w:eastAsia="方正仿宋_GB2312" w:hAnsi="方正仿宋_GB2312" w:cs="方正仿宋_GB2312" w:hint="eastAsia"/>
                <w:color w:val="000000"/>
                <w:sz w:val="20"/>
                <w:szCs w:val="20"/>
              </w:rPr>
              <w:t>表</w:t>
            </w:r>
          </w:p>
        </w:tc>
      </w:tr>
      <w:tr w:rsidR="00B23535" w:rsidTr="008253F5">
        <w:trPr>
          <w:trHeight w:val="300"/>
          <w:jc w:val="center"/>
        </w:trPr>
        <w:tc>
          <w:tcPr>
            <w:tcW w:w="3953" w:type="dxa"/>
            <w:gridSpan w:val="3"/>
            <w:tcBorders>
              <w:top w:val="nil"/>
              <w:left w:val="nil"/>
              <w:bottom w:val="single" w:sz="4" w:space="0" w:color="auto"/>
              <w:right w:val="nil"/>
            </w:tcBorders>
            <w:noWrap/>
            <w:vAlign w:val="bottom"/>
          </w:tcPr>
          <w:p w:rsidR="00B23535" w:rsidRDefault="00C23125">
            <w:pP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 xml:space="preserve">部门（单位）：涞源县统计局                                                                                                         </w:t>
            </w:r>
          </w:p>
        </w:tc>
        <w:tc>
          <w:tcPr>
            <w:tcW w:w="2689" w:type="dxa"/>
            <w:gridSpan w:val="3"/>
            <w:tcBorders>
              <w:top w:val="nil"/>
              <w:left w:val="nil"/>
              <w:bottom w:val="single" w:sz="4" w:space="0" w:color="auto"/>
              <w:right w:val="nil"/>
            </w:tcBorders>
            <w:noWrap/>
            <w:vAlign w:val="bottom"/>
          </w:tcPr>
          <w:p w:rsidR="00B23535" w:rsidRDefault="00C23125">
            <w:pPr>
              <w:jc w:val="center"/>
              <w:rPr>
                <w:rFonts w:ascii="方正仿宋_GB2312" w:eastAsia="方正仿宋_GB2312" w:hAnsi="方正仿宋_GB2312" w:cs="方正仿宋_GB2312"/>
                <w:color w:val="000000"/>
                <w:sz w:val="20"/>
                <w:szCs w:val="20"/>
              </w:rPr>
            </w:pPr>
            <w:r>
              <w:rPr>
                <w:rFonts w:ascii="Times New Roman" w:eastAsia="方正仿宋_GB2312" w:hAnsi="Times New Roman" w:cs="Times New Roman"/>
                <w:color w:val="000000"/>
                <w:sz w:val="20"/>
                <w:szCs w:val="20"/>
              </w:rPr>
              <w:t>202</w:t>
            </w:r>
            <w:r>
              <w:rPr>
                <w:rFonts w:ascii="Times New Roman" w:eastAsia="方正仿宋_GB2312"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2850" w:type="dxa"/>
            <w:gridSpan w:val="4"/>
            <w:tcBorders>
              <w:top w:val="nil"/>
              <w:left w:val="nil"/>
              <w:bottom w:val="single" w:sz="4" w:space="0" w:color="auto"/>
              <w:right w:val="nil"/>
            </w:tcBorders>
            <w:noWrap/>
            <w:vAlign w:val="bottom"/>
          </w:tcPr>
          <w:p w:rsidR="00B23535" w:rsidRDefault="00C23125">
            <w:pPr>
              <w:jc w:val="righ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B23535" w:rsidTr="008253F5">
        <w:trPr>
          <w:trHeight w:val="510"/>
          <w:jc w:val="center"/>
        </w:trPr>
        <w:tc>
          <w:tcPr>
            <w:tcW w:w="2819" w:type="dxa"/>
            <w:gridSpan w:val="2"/>
            <w:tcBorders>
              <w:top w:val="single" w:sz="4" w:space="0" w:color="auto"/>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1134" w:type="dxa"/>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本年收入合计</w:t>
            </w:r>
          </w:p>
        </w:tc>
        <w:tc>
          <w:tcPr>
            <w:tcW w:w="1134" w:type="dxa"/>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财政拨款收入</w:t>
            </w:r>
          </w:p>
        </w:tc>
        <w:tc>
          <w:tcPr>
            <w:tcW w:w="850" w:type="dxa"/>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上级补助收入</w:t>
            </w:r>
          </w:p>
        </w:tc>
        <w:tc>
          <w:tcPr>
            <w:tcW w:w="851" w:type="dxa"/>
            <w:gridSpan w:val="2"/>
            <w:vMerge w:val="restart"/>
            <w:tcBorders>
              <w:top w:val="single" w:sz="4" w:space="0" w:color="auto"/>
              <w:left w:val="nil"/>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事业收入</w:t>
            </w:r>
          </w:p>
        </w:tc>
        <w:tc>
          <w:tcPr>
            <w:tcW w:w="850" w:type="dxa"/>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经营收入</w:t>
            </w:r>
          </w:p>
        </w:tc>
        <w:tc>
          <w:tcPr>
            <w:tcW w:w="851" w:type="dxa"/>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附属单位上缴收入</w:t>
            </w:r>
          </w:p>
        </w:tc>
        <w:tc>
          <w:tcPr>
            <w:tcW w:w="1003" w:type="dxa"/>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其他收入</w:t>
            </w:r>
          </w:p>
        </w:tc>
      </w:tr>
      <w:tr w:rsidR="00B23535" w:rsidTr="008253F5">
        <w:trPr>
          <w:trHeight w:val="312"/>
          <w:jc w:val="center"/>
        </w:trPr>
        <w:tc>
          <w:tcPr>
            <w:tcW w:w="1040" w:type="dxa"/>
            <w:vMerge w:val="restar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1779" w:type="dxa"/>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1134"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1134"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0"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1" w:type="dxa"/>
            <w:gridSpan w:val="2"/>
            <w:vMerge/>
            <w:tcBorders>
              <w:left w:val="nil"/>
              <w:right w:val="single" w:sz="4" w:space="0" w:color="000000"/>
            </w:tcBorders>
            <w:noWrap/>
            <w:vAlign w:val="center"/>
          </w:tcPr>
          <w:p w:rsidR="00B23535" w:rsidRDefault="00B23535">
            <w:pPr>
              <w:widowControl/>
              <w:jc w:val="center"/>
              <w:textAlignment w:val="center"/>
              <w:rPr>
                <w:rFonts w:ascii="宋体" w:eastAsia="宋体" w:hAnsi="宋体"/>
                <w:color w:val="000000"/>
                <w:sz w:val="20"/>
                <w:szCs w:val="20"/>
              </w:rPr>
            </w:pPr>
          </w:p>
        </w:tc>
        <w:tc>
          <w:tcPr>
            <w:tcW w:w="850"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1"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1003"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r>
      <w:tr w:rsidR="00B23535" w:rsidTr="008253F5">
        <w:trPr>
          <w:trHeight w:val="312"/>
          <w:jc w:val="center"/>
        </w:trPr>
        <w:tc>
          <w:tcPr>
            <w:tcW w:w="1040" w:type="dxa"/>
            <w:vMerge/>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1779" w:type="dxa"/>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1134"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1134"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0"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1" w:type="dxa"/>
            <w:gridSpan w:val="2"/>
            <w:vMerge/>
            <w:tcBorders>
              <w:left w:val="nil"/>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0"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1"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1003"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r>
      <w:tr w:rsidR="00B23535" w:rsidTr="008253F5">
        <w:trPr>
          <w:trHeight w:val="312"/>
          <w:jc w:val="center"/>
        </w:trPr>
        <w:tc>
          <w:tcPr>
            <w:tcW w:w="1040" w:type="dxa"/>
            <w:vMerge/>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1779" w:type="dxa"/>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1134"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1134"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0"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1" w:type="dxa"/>
            <w:gridSpan w:val="2"/>
            <w:vMerge/>
            <w:tcBorders>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0"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51"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1003" w:type="dxa"/>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r>
      <w:tr w:rsidR="00B23535" w:rsidTr="008253F5">
        <w:trPr>
          <w:trHeight w:val="454"/>
          <w:jc w:val="center"/>
        </w:trPr>
        <w:tc>
          <w:tcPr>
            <w:tcW w:w="2819" w:type="dxa"/>
            <w:gridSpan w:val="2"/>
            <w:tcBorders>
              <w:top w:val="single" w:sz="4" w:space="0" w:color="000000"/>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1134" w:type="dxa"/>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1</w:t>
            </w:r>
          </w:p>
        </w:tc>
        <w:tc>
          <w:tcPr>
            <w:tcW w:w="1134" w:type="dxa"/>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2</w:t>
            </w:r>
          </w:p>
        </w:tc>
        <w:tc>
          <w:tcPr>
            <w:tcW w:w="850" w:type="dxa"/>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3</w:t>
            </w:r>
          </w:p>
        </w:tc>
        <w:tc>
          <w:tcPr>
            <w:tcW w:w="851" w:type="dxa"/>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4</w:t>
            </w:r>
          </w:p>
        </w:tc>
        <w:tc>
          <w:tcPr>
            <w:tcW w:w="850" w:type="dxa"/>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5</w:t>
            </w:r>
          </w:p>
        </w:tc>
        <w:tc>
          <w:tcPr>
            <w:tcW w:w="851" w:type="dxa"/>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6</w:t>
            </w:r>
          </w:p>
        </w:tc>
        <w:tc>
          <w:tcPr>
            <w:tcW w:w="1003" w:type="dxa"/>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7</w:t>
            </w:r>
          </w:p>
        </w:tc>
      </w:tr>
      <w:tr w:rsidR="00B23535" w:rsidTr="008253F5">
        <w:trPr>
          <w:trHeight w:val="567"/>
          <w:jc w:val="center"/>
        </w:trPr>
        <w:tc>
          <w:tcPr>
            <w:tcW w:w="2819" w:type="dxa"/>
            <w:gridSpan w:val="2"/>
            <w:tcBorders>
              <w:top w:val="single" w:sz="4" w:space="0" w:color="000000"/>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331.22</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323.70</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7.52</w:t>
            </w: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一般公共服务支出</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281.09</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273.57</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7.52</w:t>
            </w: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20105</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统计信息事务</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279.09</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271.57</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7.52</w:t>
            </w: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2010501</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行政运行</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211.49</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203.97</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7.52</w:t>
            </w: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2010502</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一般行政管理事务</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4.54</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4.54</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2010507</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专项普查活动</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45.30</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45.30</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2010508</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统计抽样调查</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17.76</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17.76</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20140</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信访事务</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2014004</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信访业务</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2.00</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社会保障和就业支出</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42.42</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42.42</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行政事业单位养老支出</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42.42</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42.42</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2080501</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行政单位离退休</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14.15</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14.15</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2080505</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机关事业单位基本养老保险缴费支出</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16.42</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16.42</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2080506</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机关事业单位职业年金缴费支出</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11.85</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11.85</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221</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住房保障支出</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7.71</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7.71</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22102</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住房改革支出</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7.71</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7.71</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1040" w:type="dxa"/>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2210201</w:t>
            </w:r>
          </w:p>
        </w:tc>
        <w:tc>
          <w:tcPr>
            <w:tcW w:w="1779" w:type="dxa"/>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spacing w:val="-2"/>
                <w:sz w:val="20"/>
                <w:szCs w:val="20"/>
              </w:rPr>
              <w:t>住房公积金</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7.71</w:t>
            </w:r>
          </w:p>
        </w:tc>
        <w:tc>
          <w:tcPr>
            <w:tcW w:w="1134" w:type="dxa"/>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spacing w:val="-2"/>
                <w:sz w:val="20"/>
                <w:szCs w:val="20"/>
              </w:rPr>
              <w:t>7.71</w:t>
            </w: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0"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851"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003" w:type="dxa"/>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8253F5">
        <w:trPr>
          <w:trHeight w:val="308"/>
          <w:jc w:val="center"/>
        </w:trPr>
        <w:tc>
          <w:tcPr>
            <w:tcW w:w="9492" w:type="dxa"/>
            <w:gridSpan w:val="10"/>
            <w:tcBorders>
              <w:top w:val="nil"/>
              <w:left w:val="nil"/>
              <w:bottom w:val="nil"/>
              <w:right w:val="nil"/>
            </w:tcBorders>
            <w:noWrap/>
            <w:vAlign w:val="center"/>
          </w:tcPr>
          <w:p w:rsidR="00B23535" w:rsidRDefault="00C23125">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注：本表反映部门本年度取得的各项收入情况。</w:t>
            </w:r>
          </w:p>
        </w:tc>
      </w:tr>
    </w:tbl>
    <w:p w:rsidR="00B23535" w:rsidRDefault="00B23535">
      <w:pPr>
        <w:rPr>
          <w:rFonts w:ascii="仿宋_GB2312" w:eastAsia="仿宋_GB2312" w:hAnsi="宋体"/>
          <w:b/>
          <w:sz w:val="32"/>
          <w:szCs w:val="32"/>
        </w:rPr>
      </w:pPr>
    </w:p>
    <w:p w:rsidR="00B23535" w:rsidRDefault="00C23125">
      <w:pPr>
        <w:rPr>
          <w:rFonts w:ascii="黑体" w:eastAsia="黑体" w:hAnsi="黑体"/>
          <w:bCs/>
          <w:sz w:val="32"/>
          <w:szCs w:val="32"/>
        </w:rPr>
      </w:pPr>
      <w:r>
        <w:rPr>
          <w:rFonts w:ascii="仿宋_GB2312" w:eastAsia="仿宋_GB2312" w:hAnsi="宋体" w:hint="eastAsia"/>
          <w:b/>
          <w:sz w:val="32"/>
          <w:szCs w:val="32"/>
        </w:rPr>
        <w:br w:type="page"/>
      </w:r>
    </w:p>
    <w:tbl>
      <w:tblPr>
        <w:tblW w:w="5812" w:type="pct"/>
        <w:jc w:val="center"/>
        <w:tblLayout w:type="fixed"/>
        <w:tblLook w:val="04A0"/>
      </w:tblPr>
      <w:tblGrid>
        <w:gridCol w:w="1038"/>
        <w:gridCol w:w="1565"/>
        <w:gridCol w:w="877"/>
        <w:gridCol w:w="116"/>
        <w:gridCol w:w="1275"/>
        <w:gridCol w:w="993"/>
        <w:gridCol w:w="239"/>
        <w:gridCol w:w="1037"/>
        <w:gridCol w:w="993"/>
        <w:gridCol w:w="1213"/>
      </w:tblGrid>
      <w:tr w:rsidR="00B23535">
        <w:trPr>
          <w:trHeight w:val="550"/>
          <w:jc w:val="center"/>
        </w:trPr>
        <w:tc>
          <w:tcPr>
            <w:tcW w:w="5000" w:type="pct"/>
            <w:gridSpan w:val="10"/>
            <w:tcBorders>
              <w:top w:val="nil"/>
              <w:left w:val="nil"/>
              <w:bottom w:val="nil"/>
              <w:right w:val="nil"/>
            </w:tcBorders>
            <w:noWrap/>
            <w:vAlign w:val="bottom"/>
          </w:tcPr>
          <w:p w:rsidR="00B23535" w:rsidRDefault="00C23125">
            <w:pPr>
              <w:jc w:val="center"/>
              <w:outlineLvl w:val="1"/>
              <w:rPr>
                <w:rFonts w:ascii="宋体" w:eastAsia="宋体" w:hAnsi="宋体"/>
                <w:color w:val="000000"/>
                <w:sz w:val="20"/>
                <w:szCs w:val="20"/>
              </w:rPr>
            </w:pPr>
            <w:r>
              <w:rPr>
                <w:rFonts w:ascii="方正仿宋_GB2312" w:eastAsia="方正仿宋_GB2312" w:hAnsi="方正仿宋_GB2312" w:cs="方正仿宋_GB2312" w:hint="eastAsia"/>
                <w:bCs/>
                <w:sz w:val="32"/>
                <w:szCs w:val="32"/>
              </w:rPr>
              <w:br w:type="page"/>
              <w:t>支出决算表</w:t>
            </w:r>
          </w:p>
        </w:tc>
      </w:tr>
      <w:tr w:rsidR="00B23535">
        <w:trPr>
          <w:trHeight w:val="300"/>
          <w:jc w:val="center"/>
        </w:trPr>
        <w:tc>
          <w:tcPr>
            <w:tcW w:w="5000" w:type="pct"/>
            <w:gridSpan w:val="10"/>
            <w:tcBorders>
              <w:top w:val="nil"/>
              <w:left w:val="nil"/>
              <w:bottom w:val="nil"/>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宋体" w:hAnsi="Times New Roman" w:cs="Times New Roman"/>
                <w:color w:val="000000"/>
                <w:sz w:val="20"/>
                <w:szCs w:val="20"/>
              </w:rPr>
              <w:t>03</w:t>
            </w:r>
            <w:r>
              <w:rPr>
                <w:rFonts w:ascii="方正仿宋_GB2312" w:eastAsia="方正仿宋_GB2312" w:hAnsi="方正仿宋_GB2312" w:cs="方正仿宋_GB2312" w:hint="eastAsia"/>
                <w:color w:val="000000"/>
                <w:sz w:val="20"/>
                <w:szCs w:val="20"/>
              </w:rPr>
              <w:t>表</w:t>
            </w:r>
          </w:p>
        </w:tc>
      </w:tr>
      <w:tr w:rsidR="00B23535" w:rsidTr="008253F5">
        <w:trPr>
          <w:trHeight w:val="300"/>
          <w:jc w:val="center"/>
        </w:trPr>
        <w:tc>
          <w:tcPr>
            <w:tcW w:w="1862" w:type="pct"/>
            <w:gridSpan w:val="3"/>
            <w:tcBorders>
              <w:top w:val="nil"/>
              <w:left w:val="nil"/>
              <w:bottom w:val="single" w:sz="4" w:space="0" w:color="auto"/>
              <w:right w:val="nil"/>
            </w:tcBorders>
            <w:noWrap/>
            <w:vAlign w:val="bottom"/>
          </w:tcPr>
          <w:p w:rsidR="00B23535" w:rsidRDefault="00C23125">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 xml:space="preserve">部门（单位）：涞源县统计局 </w:t>
            </w:r>
          </w:p>
        </w:tc>
        <w:tc>
          <w:tcPr>
            <w:tcW w:w="1403" w:type="pct"/>
            <w:gridSpan w:val="4"/>
            <w:tcBorders>
              <w:top w:val="nil"/>
              <w:left w:val="nil"/>
              <w:bottom w:val="single" w:sz="4" w:space="0" w:color="auto"/>
              <w:right w:val="nil"/>
            </w:tcBorders>
            <w:noWrap/>
            <w:vAlign w:val="bottom"/>
          </w:tcPr>
          <w:p w:rsidR="00B23535" w:rsidRDefault="00C23125">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ascii="Times New Roman"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735" w:type="pct"/>
            <w:gridSpan w:val="3"/>
            <w:tcBorders>
              <w:top w:val="nil"/>
              <w:left w:val="nil"/>
              <w:bottom w:val="single" w:sz="4" w:space="0" w:color="auto"/>
              <w:right w:val="nil"/>
            </w:tcBorders>
            <w:noWrap/>
            <w:vAlign w:val="bottom"/>
          </w:tcPr>
          <w:p w:rsidR="00B23535" w:rsidRDefault="00C23125">
            <w:pPr>
              <w:widowControl/>
              <w:jc w:val="right"/>
              <w:textAlignment w:val="bottom"/>
              <w:rPr>
                <w:rFonts w:asciiTheme="minorEastAsia" w:hAnsiTheme="minorEastAsia" w:cstheme="minorEastAsia"/>
                <w:color w:val="000000"/>
                <w:sz w:val="20"/>
                <w:szCs w:val="20"/>
              </w:rPr>
            </w:pPr>
            <w:r>
              <w:rPr>
                <w:rFonts w:ascii="方正仿宋_GB2312" w:eastAsia="方正仿宋_GB2312" w:hAnsi="方正仿宋_GB2312" w:cs="方正仿宋_GB2312" w:hint="eastAsia"/>
                <w:color w:val="000000"/>
                <w:sz w:val="20"/>
                <w:szCs w:val="20"/>
              </w:rPr>
              <w:t xml:space="preserve"> 金额单位：万元</w:t>
            </w:r>
          </w:p>
        </w:tc>
      </w:tr>
      <w:tr w:rsidR="00B23535" w:rsidTr="00C23125">
        <w:trPr>
          <w:trHeight w:val="510"/>
          <w:jc w:val="center"/>
        </w:trPr>
        <w:tc>
          <w:tcPr>
            <w:tcW w:w="1393" w:type="pct"/>
            <w:gridSpan w:val="2"/>
            <w:tcBorders>
              <w:top w:val="single" w:sz="4" w:space="0" w:color="auto"/>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531" w:type="pct"/>
            <w:gridSpan w:val="2"/>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本年支出合计</w:t>
            </w:r>
          </w:p>
        </w:tc>
        <w:tc>
          <w:tcPr>
            <w:tcW w:w="682" w:type="pct"/>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531" w:type="pct"/>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c>
          <w:tcPr>
            <w:tcW w:w="683" w:type="pct"/>
            <w:gridSpan w:val="2"/>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上缴上级支出</w:t>
            </w:r>
          </w:p>
        </w:tc>
        <w:tc>
          <w:tcPr>
            <w:tcW w:w="531" w:type="pct"/>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经营支出</w:t>
            </w:r>
          </w:p>
        </w:tc>
        <w:tc>
          <w:tcPr>
            <w:tcW w:w="649" w:type="pct"/>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对附属单位补助支出</w:t>
            </w:r>
          </w:p>
        </w:tc>
      </w:tr>
      <w:tr w:rsidR="00B23535" w:rsidTr="00C23125">
        <w:trPr>
          <w:trHeight w:val="312"/>
          <w:jc w:val="center"/>
        </w:trPr>
        <w:tc>
          <w:tcPr>
            <w:tcW w:w="556" w:type="pct"/>
            <w:vMerge w:val="restar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837" w:type="pct"/>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531" w:type="pct"/>
            <w:gridSpan w:val="2"/>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82"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83" w:type="pct"/>
            <w:gridSpan w:val="2"/>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49"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r>
      <w:tr w:rsidR="00B23535" w:rsidTr="00C23125">
        <w:trPr>
          <w:trHeight w:val="312"/>
          <w:jc w:val="center"/>
        </w:trPr>
        <w:tc>
          <w:tcPr>
            <w:tcW w:w="556" w:type="pct"/>
            <w:vMerge/>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37" w:type="pct"/>
            <w:vMerge/>
            <w:tcBorders>
              <w:top w:val="nil"/>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gridSpan w:val="2"/>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82"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83" w:type="pct"/>
            <w:gridSpan w:val="2"/>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49"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r>
      <w:tr w:rsidR="00B23535" w:rsidTr="00C23125">
        <w:trPr>
          <w:trHeight w:val="312"/>
          <w:jc w:val="center"/>
        </w:trPr>
        <w:tc>
          <w:tcPr>
            <w:tcW w:w="556" w:type="pct"/>
            <w:vMerge/>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837" w:type="pct"/>
            <w:vMerge/>
            <w:tcBorders>
              <w:top w:val="nil"/>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gridSpan w:val="2"/>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82"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83" w:type="pct"/>
            <w:gridSpan w:val="2"/>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531"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649"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r>
      <w:tr w:rsidR="00B23535" w:rsidTr="00C23125">
        <w:trPr>
          <w:trHeight w:val="454"/>
          <w:jc w:val="center"/>
        </w:trPr>
        <w:tc>
          <w:tcPr>
            <w:tcW w:w="1393" w:type="pct"/>
            <w:gridSpan w:val="2"/>
            <w:tcBorders>
              <w:top w:val="single" w:sz="4" w:space="0" w:color="000000"/>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531"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w:t>
            </w:r>
          </w:p>
        </w:tc>
        <w:tc>
          <w:tcPr>
            <w:tcW w:w="682"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w:t>
            </w:r>
          </w:p>
        </w:tc>
        <w:tc>
          <w:tcPr>
            <w:tcW w:w="531"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w:t>
            </w:r>
          </w:p>
        </w:tc>
        <w:tc>
          <w:tcPr>
            <w:tcW w:w="683"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w:t>
            </w:r>
          </w:p>
        </w:tc>
        <w:tc>
          <w:tcPr>
            <w:tcW w:w="531"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w:t>
            </w:r>
          </w:p>
        </w:tc>
        <w:tc>
          <w:tcPr>
            <w:tcW w:w="64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w:t>
            </w:r>
          </w:p>
        </w:tc>
      </w:tr>
      <w:tr w:rsidR="00B23535" w:rsidTr="00C23125">
        <w:trPr>
          <w:trHeight w:val="308"/>
          <w:jc w:val="center"/>
        </w:trPr>
        <w:tc>
          <w:tcPr>
            <w:tcW w:w="1393" w:type="pct"/>
            <w:gridSpan w:val="2"/>
            <w:tcBorders>
              <w:top w:val="single" w:sz="4" w:space="0" w:color="000000"/>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331.22</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254.12</w:t>
            </w: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77.10</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281.09</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203.99</w:t>
            </w: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77.10</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统计信息事务</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279.09</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203.99</w:t>
            </w: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75.10</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2010501</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行政运行</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211.49</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203.99</w:t>
            </w: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7.50</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2010502</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一般行政管理事务</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4.54</w:t>
            </w:r>
          </w:p>
        </w:tc>
        <w:tc>
          <w:tcPr>
            <w:tcW w:w="68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4.54</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2010507</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专项普查活动</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45.30</w:t>
            </w:r>
          </w:p>
        </w:tc>
        <w:tc>
          <w:tcPr>
            <w:tcW w:w="68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45.30</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2010508</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统计抽样调查</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17.76</w:t>
            </w:r>
          </w:p>
        </w:tc>
        <w:tc>
          <w:tcPr>
            <w:tcW w:w="68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17.76</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20140</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信访事务</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8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2014004</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信访业务</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8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2080501</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14.15</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14.15</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2080505</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16.42</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16.42</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2080506</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机关事业单位职业年金缴费支出</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11.85</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11.85</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jc w:val="center"/>
        </w:trPr>
        <w:tc>
          <w:tcPr>
            <w:tcW w:w="556" w:type="pct"/>
            <w:tcBorders>
              <w:top w:val="nil"/>
              <w:left w:val="single" w:sz="4" w:space="0" w:color="000000"/>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2210201</w:t>
            </w:r>
          </w:p>
        </w:tc>
        <w:tc>
          <w:tcPr>
            <w:tcW w:w="837" w:type="pct"/>
            <w:tcBorders>
              <w:top w:val="nil"/>
              <w:left w:val="nil"/>
              <w:bottom w:val="single" w:sz="4" w:space="0" w:color="000000"/>
              <w:right w:val="single" w:sz="4" w:space="0" w:color="000000"/>
            </w:tcBorders>
            <w:noWrap/>
            <w:vAlign w:val="center"/>
          </w:tcPr>
          <w:p w:rsidR="00B23535" w:rsidRDefault="00C23125">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531"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682"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83"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1"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4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trPr>
          <w:trHeight w:val="308"/>
          <w:jc w:val="center"/>
        </w:trPr>
        <w:tc>
          <w:tcPr>
            <w:tcW w:w="5000" w:type="pct"/>
            <w:gridSpan w:val="10"/>
            <w:tcBorders>
              <w:top w:val="nil"/>
              <w:left w:val="nil"/>
              <w:bottom w:val="nil"/>
              <w:right w:val="nil"/>
            </w:tcBorders>
            <w:noWrap/>
            <w:vAlign w:val="center"/>
          </w:tcPr>
          <w:p w:rsidR="00B23535" w:rsidRDefault="00C23125">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注：本表反映部门本年度各项支出情况。</w:t>
            </w:r>
          </w:p>
        </w:tc>
      </w:tr>
    </w:tbl>
    <w:p w:rsidR="00B23535" w:rsidRDefault="00B23535">
      <w:pPr>
        <w:rPr>
          <w:rFonts w:ascii="仿宋_GB2312" w:eastAsia="仿宋_GB2312" w:hAnsi="宋体"/>
          <w:b/>
          <w:sz w:val="32"/>
          <w:szCs w:val="32"/>
        </w:rPr>
      </w:pPr>
    </w:p>
    <w:p w:rsidR="00B23535" w:rsidRDefault="00C23125">
      <w:pPr>
        <w:rPr>
          <w:rFonts w:ascii="仿宋_GB2312" w:eastAsia="仿宋_GB2312" w:hAnsi="宋体"/>
          <w:b/>
          <w:sz w:val="32"/>
          <w:szCs w:val="32"/>
        </w:rPr>
      </w:pPr>
      <w:r>
        <w:rPr>
          <w:rFonts w:ascii="仿宋_GB2312" w:eastAsia="仿宋_GB2312" w:hAnsi="宋体" w:hint="eastAsia"/>
          <w:b/>
          <w:sz w:val="32"/>
          <w:szCs w:val="32"/>
        </w:rPr>
        <w:br w:type="page"/>
      </w:r>
    </w:p>
    <w:tbl>
      <w:tblPr>
        <w:tblW w:w="6700" w:type="pct"/>
        <w:tblInd w:w="-1310" w:type="dxa"/>
        <w:tblLayout w:type="fixed"/>
        <w:tblLook w:val="04A0"/>
      </w:tblPr>
      <w:tblGrid>
        <w:gridCol w:w="1434"/>
        <w:gridCol w:w="623"/>
        <w:gridCol w:w="1062"/>
        <w:gridCol w:w="2021"/>
        <w:gridCol w:w="442"/>
        <w:gridCol w:w="623"/>
        <w:gridCol w:w="457"/>
        <w:gridCol w:w="427"/>
        <w:gridCol w:w="1420"/>
        <w:gridCol w:w="1276"/>
        <w:gridCol w:w="989"/>
      </w:tblGrid>
      <w:tr w:rsidR="00B23535" w:rsidTr="00C23125">
        <w:trPr>
          <w:trHeight w:val="550"/>
        </w:trPr>
        <w:tc>
          <w:tcPr>
            <w:tcW w:w="5000" w:type="pct"/>
            <w:gridSpan w:val="11"/>
            <w:tcBorders>
              <w:top w:val="nil"/>
              <w:left w:val="nil"/>
              <w:bottom w:val="nil"/>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财政拨款收入支出决算总表</w:t>
            </w:r>
          </w:p>
        </w:tc>
      </w:tr>
      <w:tr w:rsidR="00B23535" w:rsidTr="00C23125">
        <w:trPr>
          <w:trHeight w:val="300"/>
        </w:trPr>
        <w:tc>
          <w:tcPr>
            <w:tcW w:w="5000" w:type="pct"/>
            <w:gridSpan w:val="11"/>
            <w:tcBorders>
              <w:top w:val="nil"/>
              <w:left w:val="nil"/>
              <w:bottom w:val="nil"/>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公开04表</w:t>
            </w:r>
          </w:p>
        </w:tc>
      </w:tr>
      <w:tr w:rsidR="00B23535" w:rsidTr="00C23125">
        <w:trPr>
          <w:trHeight w:val="300"/>
        </w:trPr>
        <w:tc>
          <w:tcPr>
            <w:tcW w:w="2386" w:type="pct"/>
            <w:gridSpan w:val="4"/>
            <w:tcBorders>
              <w:top w:val="nil"/>
              <w:left w:val="nil"/>
              <w:bottom w:val="single" w:sz="4" w:space="0" w:color="auto"/>
              <w:right w:val="nil"/>
            </w:tcBorders>
            <w:noWrap/>
            <w:vAlign w:val="bottom"/>
          </w:tcPr>
          <w:p w:rsidR="00B23535" w:rsidRDefault="00C23125">
            <w:pPr>
              <w:rPr>
                <w:rFonts w:ascii="仿宋" w:eastAsia="仿宋" w:hAnsi="仿宋" w:cs="仿宋"/>
                <w:color w:val="000000"/>
                <w:sz w:val="20"/>
                <w:szCs w:val="20"/>
              </w:rPr>
            </w:pPr>
            <w:r>
              <w:rPr>
                <w:rFonts w:ascii="方正仿宋_GB2312" w:eastAsia="方正仿宋_GB2312" w:hAnsi="方正仿宋_GB2312" w:cs="方正仿宋_GB2312" w:hint="eastAsia"/>
                <w:color w:val="000000"/>
                <w:sz w:val="20"/>
                <w:szCs w:val="20"/>
              </w:rPr>
              <w:t xml:space="preserve">部门（单位）：涞源县统计局 </w:t>
            </w:r>
          </w:p>
        </w:tc>
        <w:tc>
          <w:tcPr>
            <w:tcW w:w="706" w:type="pct"/>
            <w:gridSpan w:val="3"/>
            <w:tcBorders>
              <w:top w:val="nil"/>
              <w:left w:val="nil"/>
              <w:bottom w:val="single" w:sz="4" w:space="0" w:color="auto"/>
              <w:right w:val="nil"/>
            </w:tcBorders>
            <w:noWrap/>
            <w:vAlign w:val="bottom"/>
          </w:tcPr>
          <w:p w:rsidR="00B23535" w:rsidRDefault="00C23125">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ascii="Times New Roman"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907" w:type="pct"/>
            <w:gridSpan w:val="4"/>
            <w:tcBorders>
              <w:top w:val="nil"/>
              <w:left w:val="nil"/>
              <w:bottom w:val="single" w:sz="4" w:space="0" w:color="auto"/>
              <w:right w:val="nil"/>
            </w:tcBorders>
            <w:noWrap/>
            <w:vAlign w:val="bottom"/>
          </w:tcPr>
          <w:p w:rsidR="00B23535" w:rsidRDefault="00C23125">
            <w:pPr>
              <w:jc w:val="right"/>
              <w:rPr>
                <w:rFonts w:asciiTheme="minorEastAsia" w:hAnsiTheme="minorEastAsia" w:cstheme="minorEastAsia"/>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B23535" w:rsidTr="00C23125">
        <w:trPr>
          <w:trHeight w:val="308"/>
        </w:trPr>
        <w:tc>
          <w:tcPr>
            <w:tcW w:w="1448" w:type="pct"/>
            <w:gridSpan w:val="3"/>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收入</w:t>
            </w:r>
          </w:p>
        </w:tc>
        <w:tc>
          <w:tcPr>
            <w:tcW w:w="3552" w:type="pct"/>
            <w:gridSpan w:val="8"/>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支出</w:t>
            </w:r>
          </w:p>
        </w:tc>
      </w:tr>
      <w:tr w:rsidR="00C23125" w:rsidTr="00C23125">
        <w:trPr>
          <w:trHeight w:val="312"/>
        </w:trPr>
        <w:tc>
          <w:tcPr>
            <w:tcW w:w="666" w:type="pct"/>
            <w:vMerge w:val="restar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    目</w:t>
            </w:r>
          </w:p>
        </w:tc>
        <w:tc>
          <w:tcPr>
            <w:tcW w:w="289" w:type="pct"/>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行次</w:t>
            </w:r>
          </w:p>
        </w:tc>
        <w:tc>
          <w:tcPr>
            <w:tcW w:w="493" w:type="pct"/>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金额</w:t>
            </w:r>
          </w:p>
        </w:tc>
        <w:tc>
          <w:tcPr>
            <w:tcW w:w="1143" w:type="pct"/>
            <w:gridSpan w:val="2"/>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289" w:type="pct"/>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行次</w:t>
            </w:r>
          </w:p>
        </w:tc>
        <w:tc>
          <w:tcPr>
            <w:tcW w:w="410" w:type="pct"/>
            <w:gridSpan w:val="2"/>
            <w:vMerge w:val="restart"/>
            <w:tcBorders>
              <w:top w:val="nil"/>
              <w:left w:val="nil"/>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659" w:type="pct"/>
            <w:vMerge w:val="restart"/>
            <w:tcBorders>
              <w:top w:val="nil"/>
              <w:left w:val="nil"/>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一般公共预算财政拨款</w:t>
            </w:r>
          </w:p>
        </w:tc>
        <w:tc>
          <w:tcPr>
            <w:tcW w:w="592" w:type="pct"/>
            <w:vMerge w:val="restart"/>
            <w:tcBorders>
              <w:top w:val="nil"/>
              <w:left w:val="nil"/>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政府性基金预算财政拨款</w:t>
            </w:r>
          </w:p>
        </w:tc>
        <w:tc>
          <w:tcPr>
            <w:tcW w:w="460" w:type="pct"/>
            <w:vMerge w:val="restart"/>
            <w:tcBorders>
              <w:top w:val="nil"/>
              <w:left w:val="nil"/>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国有资本经营预算财政拨款</w:t>
            </w:r>
          </w:p>
        </w:tc>
      </w:tr>
      <w:tr w:rsidR="00C23125" w:rsidTr="00C23125">
        <w:trPr>
          <w:trHeight w:val="312"/>
        </w:trPr>
        <w:tc>
          <w:tcPr>
            <w:tcW w:w="666" w:type="pct"/>
            <w:vMerge/>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289"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493"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1143" w:type="pct"/>
            <w:gridSpan w:val="2"/>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289"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410" w:type="pct"/>
            <w:gridSpan w:val="2"/>
            <w:vMerge/>
            <w:tcBorders>
              <w:left w:val="nil"/>
              <w:bottom w:val="single" w:sz="4" w:space="0" w:color="000000"/>
              <w:right w:val="single" w:sz="8" w:space="0" w:color="000000"/>
            </w:tcBorders>
            <w:noWrap/>
            <w:vAlign w:val="center"/>
          </w:tcPr>
          <w:p w:rsidR="00B23535" w:rsidRDefault="00B23535">
            <w:pPr>
              <w:widowControl/>
              <w:jc w:val="center"/>
              <w:textAlignment w:val="center"/>
              <w:rPr>
                <w:rFonts w:ascii="方正仿宋_GB2312" w:eastAsia="方正仿宋_GB2312" w:hAnsi="方正仿宋_GB2312" w:cs="方正仿宋_GB2312"/>
                <w:color w:val="000000"/>
                <w:sz w:val="20"/>
                <w:szCs w:val="20"/>
              </w:rPr>
            </w:pPr>
          </w:p>
        </w:tc>
        <w:tc>
          <w:tcPr>
            <w:tcW w:w="659" w:type="pct"/>
            <w:vMerge/>
            <w:tcBorders>
              <w:left w:val="nil"/>
              <w:bottom w:val="single" w:sz="4" w:space="0" w:color="000000"/>
              <w:right w:val="single" w:sz="8" w:space="0" w:color="000000"/>
            </w:tcBorders>
            <w:noWrap/>
            <w:vAlign w:val="center"/>
          </w:tcPr>
          <w:p w:rsidR="00B23535" w:rsidRDefault="00B23535">
            <w:pPr>
              <w:widowControl/>
              <w:jc w:val="center"/>
              <w:textAlignment w:val="center"/>
              <w:rPr>
                <w:rFonts w:ascii="方正仿宋_GB2312" w:eastAsia="方正仿宋_GB2312" w:hAnsi="方正仿宋_GB2312" w:cs="方正仿宋_GB2312"/>
                <w:color w:val="000000"/>
                <w:sz w:val="20"/>
                <w:szCs w:val="20"/>
              </w:rPr>
            </w:pPr>
          </w:p>
        </w:tc>
        <w:tc>
          <w:tcPr>
            <w:tcW w:w="592" w:type="pct"/>
            <w:vMerge/>
            <w:tcBorders>
              <w:left w:val="nil"/>
              <w:bottom w:val="single" w:sz="4" w:space="0" w:color="000000"/>
              <w:right w:val="single" w:sz="8" w:space="0" w:color="000000"/>
            </w:tcBorders>
            <w:noWrap/>
            <w:vAlign w:val="center"/>
          </w:tcPr>
          <w:p w:rsidR="00B23535" w:rsidRDefault="00B23535">
            <w:pPr>
              <w:widowControl/>
              <w:jc w:val="center"/>
              <w:textAlignment w:val="center"/>
              <w:rPr>
                <w:rFonts w:ascii="方正仿宋_GB2312" w:eastAsia="方正仿宋_GB2312" w:hAnsi="方正仿宋_GB2312" w:cs="方正仿宋_GB2312"/>
                <w:color w:val="000000"/>
                <w:sz w:val="20"/>
                <w:szCs w:val="20"/>
              </w:rPr>
            </w:pPr>
          </w:p>
        </w:tc>
        <w:tc>
          <w:tcPr>
            <w:tcW w:w="460" w:type="pct"/>
            <w:vMerge/>
            <w:tcBorders>
              <w:left w:val="nil"/>
              <w:bottom w:val="single" w:sz="4" w:space="0" w:color="000000"/>
              <w:right w:val="single" w:sz="8" w:space="0" w:color="000000"/>
            </w:tcBorders>
            <w:noWrap/>
            <w:vAlign w:val="center"/>
          </w:tcPr>
          <w:p w:rsidR="00B23535" w:rsidRDefault="00B23535">
            <w:pPr>
              <w:widowControl/>
              <w:jc w:val="center"/>
              <w:textAlignment w:val="center"/>
              <w:rPr>
                <w:rFonts w:ascii="方正仿宋_GB2312" w:eastAsia="方正仿宋_GB2312" w:hAnsi="方正仿宋_GB2312" w:cs="方正仿宋_GB2312"/>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    次</w:t>
            </w:r>
          </w:p>
        </w:tc>
        <w:tc>
          <w:tcPr>
            <w:tcW w:w="289" w:type="pct"/>
            <w:tcBorders>
              <w:top w:val="nil"/>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49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1</w:t>
            </w: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    次</w:t>
            </w:r>
          </w:p>
        </w:tc>
        <w:tc>
          <w:tcPr>
            <w:tcW w:w="289" w:type="pct"/>
            <w:tcBorders>
              <w:top w:val="nil"/>
              <w:left w:val="nil"/>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410"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2</w:t>
            </w:r>
          </w:p>
        </w:tc>
        <w:tc>
          <w:tcPr>
            <w:tcW w:w="65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3</w:t>
            </w:r>
          </w:p>
        </w:tc>
        <w:tc>
          <w:tcPr>
            <w:tcW w:w="592"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4</w:t>
            </w:r>
          </w:p>
        </w:tc>
        <w:tc>
          <w:tcPr>
            <w:tcW w:w="460" w:type="pct"/>
            <w:tcBorders>
              <w:top w:val="nil"/>
              <w:left w:val="nil"/>
              <w:bottom w:val="single" w:sz="4" w:space="0" w:color="000000"/>
              <w:right w:val="single" w:sz="8" w:space="0" w:color="000000"/>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5</w:t>
            </w: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一、一般公共预算财政拨款</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w:t>
            </w:r>
          </w:p>
        </w:tc>
        <w:tc>
          <w:tcPr>
            <w:tcW w:w="493"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一、一般公共服务支出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33</w:t>
            </w:r>
          </w:p>
        </w:tc>
        <w:tc>
          <w:tcPr>
            <w:tcW w:w="410"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273.57</w:t>
            </w:r>
          </w:p>
        </w:tc>
        <w:tc>
          <w:tcPr>
            <w:tcW w:w="65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273.57</w:t>
            </w: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二、政府性基金预算财政拨款</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二、外交支出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34</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三、国有资本经营预算财政拨款</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三、国防支出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35</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四、公共安全支出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36</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五、教育支出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37</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六、科学技术支出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38</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七、文化旅游体育与传媒支出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39</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8</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八、社会保障和就业支出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40</w:t>
            </w:r>
          </w:p>
        </w:tc>
        <w:tc>
          <w:tcPr>
            <w:tcW w:w="410"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42.42</w:t>
            </w:r>
          </w:p>
        </w:tc>
        <w:tc>
          <w:tcPr>
            <w:tcW w:w="65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42.42</w:t>
            </w: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9</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九、卫生健康支出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41</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10</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十、节能环保支出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十一、城乡社区支出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43</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auto"/>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nil"/>
              <w:left w:val="nil"/>
              <w:bottom w:val="single" w:sz="4" w:space="0" w:color="auto"/>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12</w:t>
            </w:r>
          </w:p>
        </w:tc>
        <w:tc>
          <w:tcPr>
            <w:tcW w:w="493" w:type="pct"/>
            <w:tcBorders>
              <w:top w:val="nil"/>
              <w:left w:val="nil"/>
              <w:bottom w:val="single" w:sz="4" w:space="0" w:color="auto"/>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auto"/>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十二、农林水支出</w:t>
            </w:r>
          </w:p>
        </w:tc>
        <w:tc>
          <w:tcPr>
            <w:tcW w:w="289" w:type="pct"/>
            <w:tcBorders>
              <w:top w:val="nil"/>
              <w:left w:val="nil"/>
              <w:bottom w:val="single" w:sz="4" w:space="0" w:color="auto"/>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44</w:t>
            </w:r>
          </w:p>
        </w:tc>
        <w:tc>
          <w:tcPr>
            <w:tcW w:w="410" w:type="pct"/>
            <w:gridSpan w:val="2"/>
            <w:tcBorders>
              <w:top w:val="nil"/>
              <w:left w:val="nil"/>
              <w:bottom w:val="single" w:sz="4" w:space="0" w:color="auto"/>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auto"/>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auto"/>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auto"/>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13</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十三、交通运输支出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十四、资源勘探工业信息等支出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46</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15</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十五、商业服务业等支出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47</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十六、金融支出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48</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十七、援助其他地区支出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49</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18</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十八、自然资源海洋气象等支出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50</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19</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十九、住房保障支出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51</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7.71</w:t>
            </w: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7.71</w:t>
            </w: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二十、粮油物资储备支出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52</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21</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二十一、国有资本经营预算支出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53</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22</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二十二、灾害防治及应急管理支出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54</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23</w:t>
            </w:r>
          </w:p>
        </w:tc>
        <w:tc>
          <w:tcPr>
            <w:tcW w:w="49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二十三、其他支出</w:t>
            </w:r>
          </w:p>
        </w:tc>
        <w:tc>
          <w:tcPr>
            <w:tcW w:w="28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55</w:t>
            </w:r>
          </w:p>
        </w:tc>
        <w:tc>
          <w:tcPr>
            <w:tcW w:w="41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single" w:sz="4" w:space="0" w:color="auto"/>
              <w:left w:val="single" w:sz="4" w:space="0" w:color="000000"/>
              <w:bottom w:val="single" w:sz="4" w:space="0" w:color="000000"/>
              <w:right w:val="single" w:sz="4" w:space="0" w:color="000000"/>
            </w:tcBorders>
            <w:noWrap/>
            <w:vAlign w:val="center"/>
          </w:tcPr>
          <w:p w:rsidR="00B23535" w:rsidRDefault="00B23535">
            <w:pPr>
              <w:jc w:val="left"/>
              <w:rPr>
                <w:rFonts w:ascii="宋体" w:eastAsia="宋体" w:hAnsi="宋体"/>
                <w:color w:val="000000"/>
                <w:sz w:val="20"/>
                <w:szCs w:val="20"/>
              </w:rPr>
            </w:pPr>
          </w:p>
        </w:tc>
        <w:tc>
          <w:tcPr>
            <w:tcW w:w="289" w:type="pc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24</w:t>
            </w:r>
          </w:p>
        </w:tc>
        <w:tc>
          <w:tcPr>
            <w:tcW w:w="493" w:type="pct"/>
            <w:tcBorders>
              <w:top w:val="single" w:sz="4" w:space="0" w:color="auto"/>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single" w:sz="4" w:space="0" w:color="auto"/>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二十四、债务还本支出</w:t>
            </w:r>
          </w:p>
        </w:tc>
        <w:tc>
          <w:tcPr>
            <w:tcW w:w="289" w:type="pc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56</w:t>
            </w:r>
          </w:p>
        </w:tc>
        <w:tc>
          <w:tcPr>
            <w:tcW w:w="410" w:type="pct"/>
            <w:gridSpan w:val="2"/>
            <w:tcBorders>
              <w:top w:val="single" w:sz="4" w:space="0" w:color="auto"/>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single" w:sz="4" w:space="0" w:color="auto"/>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single" w:sz="4" w:space="0" w:color="auto"/>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single" w:sz="4" w:space="0" w:color="auto"/>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宋体" w:eastAsia="宋体" w:hAnsi="宋体"/>
                <w:b/>
                <w:bCs/>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25</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二十五、债务付息支出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57</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宋体" w:eastAsia="宋体" w:hAnsi="宋体"/>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26</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二十六、抗疫特别国债安排的支出</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58</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本年收入合计</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w:t>
            </w:r>
          </w:p>
        </w:tc>
        <w:tc>
          <w:tcPr>
            <w:tcW w:w="493"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本年支出合计</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59</w:t>
            </w:r>
          </w:p>
        </w:tc>
        <w:tc>
          <w:tcPr>
            <w:tcW w:w="410" w:type="pct"/>
            <w:gridSpan w:val="2"/>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659" w:type="pct"/>
            <w:tcBorders>
              <w:top w:val="nil"/>
              <w:left w:val="nil"/>
              <w:bottom w:val="single" w:sz="4"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年初财政拨款结转和结余</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28</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年末财政拨款结转和结余</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60</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一、一般公共预算财政拨款</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29</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B23535">
            <w:pPr>
              <w:jc w:val="left"/>
              <w:rPr>
                <w:rFonts w:ascii="方正仿宋_GB2312" w:eastAsia="方正仿宋_GB2312" w:hAnsi="方正仿宋_GB2312" w:cs="方正仿宋_GB2312"/>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61</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lef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二、政府性基金预算财政拨款</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30</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B23535">
            <w:pPr>
              <w:jc w:val="left"/>
              <w:rPr>
                <w:rFonts w:ascii="方正仿宋_GB2312" w:eastAsia="方正仿宋_GB2312" w:hAnsi="方正仿宋_GB2312" w:cs="方正仿宋_GB2312"/>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62</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lef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4" w:space="0" w:color="000000"/>
              <w:right w:val="single" w:sz="4" w:space="0" w:color="000000"/>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三、国有资本经营预算财政拨款</w:t>
            </w: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31</w:t>
            </w:r>
          </w:p>
        </w:tc>
        <w:tc>
          <w:tcPr>
            <w:tcW w:w="49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1143" w:type="pct"/>
            <w:gridSpan w:val="2"/>
            <w:tcBorders>
              <w:top w:val="nil"/>
              <w:left w:val="nil"/>
              <w:bottom w:val="single" w:sz="4" w:space="0" w:color="000000"/>
              <w:right w:val="single" w:sz="4" w:space="0" w:color="000000"/>
            </w:tcBorders>
            <w:noWrap/>
            <w:vAlign w:val="center"/>
          </w:tcPr>
          <w:p w:rsidR="00B23535" w:rsidRDefault="00B23535">
            <w:pPr>
              <w:jc w:val="left"/>
              <w:rPr>
                <w:rFonts w:ascii="方正仿宋_GB2312" w:eastAsia="方正仿宋_GB2312" w:hAnsi="方正仿宋_GB2312" w:cs="方正仿宋_GB2312"/>
                <w:color w:val="000000"/>
                <w:sz w:val="20"/>
                <w:szCs w:val="20"/>
              </w:rPr>
            </w:pPr>
          </w:p>
        </w:tc>
        <w:tc>
          <w:tcPr>
            <w:tcW w:w="2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63</w:t>
            </w:r>
          </w:p>
        </w:tc>
        <w:tc>
          <w:tcPr>
            <w:tcW w:w="410"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65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4" w:space="0" w:color="000000"/>
              <w:right w:val="single" w:sz="8" w:space="0" w:color="000000"/>
            </w:tcBorders>
            <w:noWrap/>
            <w:vAlign w:val="center"/>
          </w:tcPr>
          <w:p w:rsidR="00B23535" w:rsidRDefault="00B23535">
            <w:pPr>
              <w:jc w:val="left"/>
              <w:rPr>
                <w:rFonts w:ascii="Times New Roman" w:eastAsia="宋体" w:hAnsi="Times New Roman" w:cs="Times New Roman"/>
                <w:color w:val="000000"/>
                <w:sz w:val="20"/>
                <w:szCs w:val="20"/>
              </w:rPr>
            </w:pPr>
          </w:p>
        </w:tc>
      </w:tr>
      <w:tr w:rsidR="00C23125" w:rsidTr="00C23125">
        <w:trPr>
          <w:trHeight w:val="308"/>
        </w:trPr>
        <w:tc>
          <w:tcPr>
            <w:tcW w:w="666" w:type="pct"/>
            <w:tcBorders>
              <w:top w:val="nil"/>
              <w:left w:val="single" w:sz="4" w:space="0" w:color="000000"/>
              <w:bottom w:val="single" w:sz="8"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89" w:type="pct"/>
            <w:tcBorders>
              <w:top w:val="nil"/>
              <w:left w:val="nil"/>
              <w:bottom w:val="single" w:sz="8"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32</w:t>
            </w:r>
          </w:p>
        </w:tc>
        <w:tc>
          <w:tcPr>
            <w:tcW w:w="493" w:type="pct"/>
            <w:tcBorders>
              <w:top w:val="nil"/>
              <w:left w:val="nil"/>
              <w:bottom w:val="single" w:sz="8"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1143" w:type="pct"/>
            <w:gridSpan w:val="2"/>
            <w:tcBorders>
              <w:top w:val="nil"/>
              <w:left w:val="nil"/>
              <w:bottom w:val="single" w:sz="8"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b/>
                <w:bCs/>
                <w:color w:val="000000"/>
                <w:sz w:val="20"/>
                <w:szCs w:val="20"/>
              </w:rPr>
            </w:pPr>
            <w:r>
              <w:rPr>
                <w:rFonts w:ascii="方正仿宋_GB2312" w:eastAsia="方正仿宋_GB2312" w:hAnsi="方正仿宋_GB2312" w:cs="方正仿宋_GB2312" w:hint="eastAsia"/>
                <w:b/>
                <w:bCs/>
                <w:color w:val="000000"/>
                <w:sz w:val="20"/>
                <w:szCs w:val="20"/>
              </w:rPr>
              <w:t>总计</w:t>
            </w:r>
          </w:p>
        </w:tc>
        <w:tc>
          <w:tcPr>
            <w:tcW w:w="289" w:type="pct"/>
            <w:tcBorders>
              <w:top w:val="nil"/>
              <w:left w:val="nil"/>
              <w:bottom w:val="single" w:sz="8" w:space="0" w:color="000000"/>
              <w:right w:val="single" w:sz="4" w:space="0" w:color="000000"/>
            </w:tcBorders>
            <w:noWrap/>
            <w:vAlign w:val="center"/>
          </w:tcPr>
          <w:p w:rsidR="00B23535" w:rsidRDefault="00C23125">
            <w:pPr>
              <w:widowControl/>
              <w:jc w:val="center"/>
              <w:textAlignment w:val="center"/>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64</w:t>
            </w:r>
          </w:p>
        </w:tc>
        <w:tc>
          <w:tcPr>
            <w:tcW w:w="410" w:type="pct"/>
            <w:gridSpan w:val="2"/>
            <w:tcBorders>
              <w:top w:val="nil"/>
              <w:left w:val="nil"/>
              <w:bottom w:val="single" w:sz="8" w:space="0" w:color="000000"/>
              <w:right w:val="single" w:sz="4" w:space="0" w:color="000000"/>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659" w:type="pct"/>
            <w:tcBorders>
              <w:top w:val="nil"/>
              <w:left w:val="nil"/>
              <w:bottom w:val="single" w:sz="8" w:space="0" w:color="000000"/>
              <w:right w:val="single" w:sz="4" w:space="0" w:color="000000"/>
            </w:tcBorders>
            <w:noWrap/>
            <w:vAlign w:val="center"/>
          </w:tcPr>
          <w:p w:rsidR="00B23535" w:rsidRDefault="00B23535">
            <w:pPr>
              <w:jc w:val="right"/>
              <w:rPr>
                <w:rFonts w:ascii="Times New Roman" w:hAnsi="Times New Roman" w:cs="Times New Roman"/>
                <w:sz w:val="20"/>
                <w:szCs w:val="20"/>
              </w:rPr>
            </w:pPr>
          </w:p>
          <w:p w:rsidR="00B23535" w:rsidRDefault="00C23125">
            <w:pPr>
              <w:jc w:val="right"/>
              <w:rPr>
                <w:rFonts w:ascii="Times New Roman" w:hAnsi="Times New Roman" w:cs="Times New Roman"/>
                <w:sz w:val="20"/>
                <w:szCs w:val="20"/>
              </w:rPr>
            </w:pPr>
            <w:r>
              <w:rPr>
                <w:rFonts w:ascii="Times New Roman" w:hAnsi="Times New Roman" w:cs="Times New Roman"/>
                <w:sz w:val="20"/>
                <w:szCs w:val="20"/>
              </w:rPr>
              <w:t>323.70</w:t>
            </w:r>
          </w:p>
          <w:p w:rsidR="00B23535" w:rsidRDefault="00B23535">
            <w:pPr>
              <w:jc w:val="right"/>
              <w:rPr>
                <w:rFonts w:ascii="Times New Roman" w:eastAsia="宋体" w:hAnsi="Times New Roman" w:cs="Times New Roman"/>
                <w:color w:val="000000"/>
                <w:sz w:val="20"/>
                <w:szCs w:val="20"/>
              </w:rPr>
            </w:pPr>
          </w:p>
        </w:tc>
        <w:tc>
          <w:tcPr>
            <w:tcW w:w="592" w:type="pct"/>
            <w:tcBorders>
              <w:top w:val="nil"/>
              <w:left w:val="nil"/>
              <w:bottom w:val="single" w:sz="8"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60" w:type="pct"/>
            <w:tcBorders>
              <w:top w:val="nil"/>
              <w:left w:val="nil"/>
              <w:bottom w:val="single" w:sz="8" w:space="0" w:color="000000"/>
              <w:right w:val="single" w:sz="8"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308"/>
        </w:trPr>
        <w:tc>
          <w:tcPr>
            <w:tcW w:w="5000" w:type="pct"/>
            <w:gridSpan w:val="11"/>
            <w:tcBorders>
              <w:top w:val="nil"/>
              <w:left w:val="nil"/>
              <w:bottom w:val="nil"/>
              <w:right w:val="nil"/>
            </w:tcBorders>
            <w:noWrap/>
            <w:vAlign w:val="center"/>
          </w:tcPr>
          <w:p w:rsidR="00B23535" w:rsidRDefault="00C23125">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注：本表反映部门本年度一般公共预算财政拨款、政府性基金预算财政拨款和国有资本经营预算财政拨款的总收支和年末结转结余情况。</w:t>
            </w:r>
          </w:p>
        </w:tc>
      </w:tr>
    </w:tbl>
    <w:p w:rsidR="00B23535" w:rsidRDefault="00B23535">
      <w:pPr>
        <w:rPr>
          <w:rFonts w:ascii="仿宋_GB2312" w:eastAsia="仿宋_GB2312" w:hAnsi="宋体"/>
          <w:b/>
          <w:sz w:val="32"/>
          <w:szCs w:val="32"/>
        </w:rPr>
      </w:pPr>
    </w:p>
    <w:p w:rsidR="00B23535" w:rsidRDefault="00C23125">
      <w:pPr>
        <w:rPr>
          <w:rFonts w:ascii="仿宋_GB2312" w:eastAsia="仿宋_GB2312" w:hAnsi="宋体"/>
          <w:b/>
          <w:sz w:val="32"/>
          <w:szCs w:val="32"/>
        </w:rPr>
      </w:pPr>
      <w:r>
        <w:rPr>
          <w:rFonts w:ascii="仿宋_GB2312" w:eastAsia="仿宋_GB2312" w:hAnsi="宋体" w:hint="eastAsia"/>
          <w:b/>
          <w:sz w:val="32"/>
          <w:szCs w:val="32"/>
        </w:rPr>
        <w:br w:type="page"/>
      </w:r>
    </w:p>
    <w:tbl>
      <w:tblPr>
        <w:tblW w:w="5348" w:type="pct"/>
        <w:tblInd w:w="-657" w:type="dxa"/>
        <w:tblLayout w:type="fixed"/>
        <w:tblLook w:val="04A0"/>
      </w:tblPr>
      <w:tblGrid>
        <w:gridCol w:w="2467"/>
        <w:gridCol w:w="2234"/>
        <w:gridCol w:w="175"/>
        <w:gridCol w:w="1560"/>
        <w:gridCol w:w="131"/>
        <w:gridCol w:w="1004"/>
        <w:gridCol w:w="1029"/>
      </w:tblGrid>
      <w:tr w:rsidR="00B23535" w:rsidTr="00C23125">
        <w:trPr>
          <w:trHeight w:val="657"/>
        </w:trPr>
        <w:tc>
          <w:tcPr>
            <w:tcW w:w="5000" w:type="pct"/>
            <w:gridSpan w:val="7"/>
            <w:tcBorders>
              <w:top w:val="nil"/>
              <w:left w:val="nil"/>
              <w:bottom w:val="nil"/>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一般公共预算财政拨款支出决算表</w:t>
            </w:r>
          </w:p>
        </w:tc>
      </w:tr>
      <w:tr w:rsidR="00B23535" w:rsidTr="00C23125">
        <w:trPr>
          <w:trHeight w:val="329"/>
        </w:trPr>
        <w:tc>
          <w:tcPr>
            <w:tcW w:w="5000" w:type="pct"/>
            <w:gridSpan w:val="7"/>
            <w:tcBorders>
              <w:top w:val="nil"/>
              <w:left w:val="nil"/>
              <w:bottom w:val="nil"/>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方正仿宋_GB2312" w:hAnsi="Times New Roman" w:cs="Times New Roman"/>
                <w:color w:val="000000"/>
                <w:sz w:val="20"/>
                <w:szCs w:val="20"/>
              </w:rPr>
              <w:t>05</w:t>
            </w:r>
            <w:r>
              <w:rPr>
                <w:rFonts w:ascii="方正仿宋_GB2312" w:eastAsia="方正仿宋_GB2312" w:hAnsi="方正仿宋_GB2312" w:cs="方正仿宋_GB2312" w:hint="eastAsia"/>
                <w:color w:val="000000"/>
                <w:sz w:val="20"/>
                <w:szCs w:val="20"/>
              </w:rPr>
              <w:t>表</w:t>
            </w:r>
          </w:p>
        </w:tc>
      </w:tr>
      <w:tr w:rsidR="00B23535" w:rsidTr="00C23125">
        <w:trPr>
          <w:trHeight w:val="329"/>
        </w:trPr>
        <w:tc>
          <w:tcPr>
            <w:tcW w:w="2733" w:type="pct"/>
            <w:gridSpan w:val="2"/>
            <w:tcBorders>
              <w:top w:val="nil"/>
              <w:left w:val="nil"/>
              <w:bottom w:val="single" w:sz="4" w:space="0" w:color="auto"/>
              <w:right w:val="nil"/>
            </w:tcBorders>
            <w:noWrap/>
            <w:vAlign w:val="bottom"/>
          </w:tcPr>
          <w:p w:rsidR="00B23535" w:rsidRDefault="00C23125">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编制部门（单位）：涞源县统计局</w:t>
            </w:r>
          </w:p>
        </w:tc>
        <w:tc>
          <w:tcPr>
            <w:tcW w:w="1085" w:type="pct"/>
            <w:gridSpan w:val="3"/>
            <w:tcBorders>
              <w:top w:val="nil"/>
              <w:left w:val="nil"/>
              <w:bottom w:val="single" w:sz="4" w:space="0" w:color="auto"/>
              <w:right w:val="nil"/>
            </w:tcBorders>
            <w:noWrap/>
            <w:vAlign w:val="bottom"/>
          </w:tcPr>
          <w:p w:rsidR="00B23535" w:rsidRDefault="00C23125">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ascii="Times New Roman"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182" w:type="pct"/>
            <w:gridSpan w:val="2"/>
            <w:tcBorders>
              <w:top w:val="nil"/>
              <w:left w:val="nil"/>
              <w:bottom w:val="single" w:sz="4" w:space="0" w:color="auto"/>
              <w:right w:val="nil"/>
            </w:tcBorders>
            <w:noWrap/>
            <w:vAlign w:val="bottom"/>
          </w:tcPr>
          <w:p w:rsidR="00B23535" w:rsidRDefault="00C23125">
            <w:pPr>
              <w:widowControl/>
              <w:jc w:val="right"/>
              <w:textAlignment w:val="bottom"/>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B23535" w:rsidTr="00C23125">
        <w:trPr>
          <w:trHeight w:val="510"/>
        </w:trPr>
        <w:tc>
          <w:tcPr>
            <w:tcW w:w="2835" w:type="pct"/>
            <w:gridSpan w:val="3"/>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2165" w:type="pct"/>
            <w:gridSpan w:val="4"/>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w:t>
            </w:r>
          </w:p>
        </w:tc>
      </w:tr>
      <w:tr w:rsidR="00B23535" w:rsidTr="00C23125">
        <w:trPr>
          <w:trHeight w:val="369"/>
        </w:trPr>
        <w:tc>
          <w:tcPr>
            <w:tcW w:w="1434" w:type="pct"/>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1401" w:type="pct"/>
            <w:gridSpan w:val="2"/>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907" w:type="pct"/>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小计</w:t>
            </w:r>
          </w:p>
        </w:tc>
        <w:tc>
          <w:tcPr>
            <w:tcW w:w="660" w:type="pct"/>
            <w:gridSpan w:val="2"/>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598" w:type="pct"/>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r>
      <w:tr w:rsidR="00B23535" w:rsidTr="00C23125">
        <w:trPr>
          <w:trHeight w:val="346"/>
        </w:trPr>
        <w:tc>
          <w:tcPr>
            <w:tcW w:w="1434" w:type="pct"/>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1401" w:type="pct"/>
            <w:gridSpan w:val="2"/>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907" w:type="pct"/>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660" w:type="pct"/>
            <w:gridSpan w:val="2"/>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598" w:type="pct"/>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r>
      <w:tr w:rsidR="00B23535" w:rsidTr="0009389A">
        <w:trPr>
          <w:trHeight w:val="312"/>
        </w:trPr>
        <w:tc>
          <w:tcPr>
            <w:tcW w:w="1434" w:type="pct"/>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1401" w:type="pct"/>
            <w:gridSpan w:val="2"/>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907" w:type="pct"/>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660" w:type="pct"/>
            <w:gridSpan w:val="2"/>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c>
          <w:tcPr>
            <w:tcW w:w="598" w:type="pct"/>
            <w:vMerge/>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宋体" w:eastAsia="宋体" w:hAnsi="宋体"/>
                <w:color w:val="000000"/>
                <w:sz w:val="20"/>
                <w:szCs w:val="20"/>
              </w:rPr>
            </w:pPr>
          </w:p>
        </w:tc>
      </w:tr>
      <w:tr w:rsidR="00B23535" w:rsidTr="00C23125">
        <w:trPr>
          <w:trHeight w:val="369"/>
        </w:trPr>
        <w:tc>
          <w:tcPr>
            <w:tcW w:w="2835" w:type="pct"/>
            <w:gridSpan w:val="3"/>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1</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2</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宋体" w:eastAsia="宋体" w:hAnsi="宋体"/>
                <w:color w:val="000000"/>
                <w:sz w:val="20"/>
                <w:szCs w:val="20"/>
              </w:rPr>
            </w:pPr>
            <w:r>
              <w:rPr>
                <w:rFonts w:ascii="宋体" w:eastAsia="宋体" w:hAnsi="宋体" w:hint="eastAsia"/>
                <w:color w:val="000000"/>
                <w:sz w:val="20"/>
                <w:szCs w:val="20"/>
              </w:rPr>
              <w:t>3</w:t>
            </w:r>
          </w:p>
        </w:tc>
      </w:tr>
      <w:tr w:rsidR="00B23535" w:rsidTr="00C23125">
        <w:trPr>
          <w:trHeight w:val="369"/>
        </w:trPr>
        <w:tc>
          <w:tcPr>
            <w:tcW w:w="2835" w:type="pct"/>
            <w:gridSpan w:val="3"/>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323.70</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254.10</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eastAsia="宋体" w:hAnsi="Times New Roman" w:cs="Times New Roman"/>
                <w:color w:val="000000"/>
                <w:sz w:val="20"/>
                <w:szCs w:val="20"/>
              </w:rPr>
            </w:pPr>
            <w:r>
              <w:rPr>
                <w:rFonts w:ascii="Times New Roman" w:hAnsi="Times New Roman" w:cs="Times New Roman"/>
                <w:sz w:val="20"/>
                <w:szCs w:val="20"/>
              </w:rPr>
              <w:t>69.60</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一般公共服务支出</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273.57</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203.97</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69.60</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统计信息事务</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271.57</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203.97</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67.60</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2010501</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行政运行</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203.97</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203.97</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2010502</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一般行政管理事务</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4.54</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4.54</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2010507</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专项普查活动</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45.30</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45.30</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2010508</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统计抽样调查</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17.76</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17.76</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20140</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信访事务</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2014004</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信访业务</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2.00</w:t>
            </w: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社会保障和就业支出</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行政事业单位养老支出</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42.42</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2080501</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行政单位离退休</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14.15</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14.15</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2080505</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机关事业单位基本养老保险缴费支出</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16.42</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16.42</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2080506</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机关事业单位职业年金缴费支出</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11.85</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11.85</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住房保障支出</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住房改革支出</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09389A">
        <w:trPr>
          <w:trHeight w:val="567"/>
        </w:trPr>
        <w:tc>
          <w:tcPr>
            <w:tcW w:w="1434"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2210201</w:t>
            </w:r>
          </w:p>
        </w:tc>
        <w:tc>
          <w:tcPr>
            <w:tcW w:w="1401"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left"/>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住房公积金</w:t>
            </w:r>
          </w:p>
        </w:tc>
        <w:tc>
          <w:tcPr>
            <w:tcW w:w="907" w:type="pct"/>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660"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774770">
            <w:pPr>
              <w:jc w:val="right"/>
              <w:rPr>
                <w:rFonts w:ascii="Times New Roman" w:eastAsia="宋体" w:hAnsi="Times New Roman" w:cs="Times New Roman"/>
                <w:color w:val="000000"/>
                <w:sz w:val="20"/>
                <w:szCs w:val="20"/>
              </w:rPr>
            </w:pPr>
            <w:r>
              <w:rPr>
                <w:rFonts w:ascii="Times New Roman" w:eastAsia="宋体" w:hAnsi="Times New Roman" w:cs="Times New Roman"/>
                <w:color w:val="000000"/>
                <w:sz w:val="20"/>
                <w:szCs w:val="20"/>
              </w:rPr>
              <w:t>7.71</w:t>
            </w:r>
          </w:p>
        </w:tc>
        <w:tc>
          <w:tcPr>
            <w:tcW w:w="598"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eastAsia="宋体" w:hAnsi="Times New Roman" w:cs="Times New Roman"/>
                <w:color w:val="000000"/>
                <w:sz w:val="20"/>
                <w:szCs w:val="20"/>
              </w:rPr>
            </w:pPr>
          </w:p>
        </w:tc>
      </w:tr>
      <w:tr w:rsidR="00B23535" w:rsidTr="00C23125">
        <w:trPr>
          <w:trHeight w:val="661"/>
        </w:trPr>
        <w:tc>
          <w:tcPr>
            <w:tcW w:w="5000" w:type="pct"/>
            <w:gridSpan w:val="7"/>
            <w:tcBorders>
              <w:top w:val="single" w:sz="4" w:space="0" w:color="auto"/>
              <w:left w:val="nil"/>
              <w:bottom w:val="nil"/>
              <w:right w:val="nil"/>
            </w:tcBorders>
            <w:noWrap/>
            <w:vAlign w:val="center"/>
          </w:tcPr>
          <w:p w:rsidR="00B23535" w:rsidRDefault="00774770">
            <w:pPr>
              <w:widowControl/>
              <w:jc w:val="left"/>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注：本表反映部门本年度一般公共预算财政拨款支出情况。</w:t>
            </w:r>
          </w:p>
        </w:tc>
      </w:tr>
    </w:tbl>
    <w:p w:rsidR="00B23535" w:rsidRDefault="00B23535">
      <w:pPr>
        <w:rPr>
          <w:rFonts w:ascii="仿宋_GB2312" w:eastAsia="仿宋_GB2312" w:hAnsi="宋体"/>
          <w:b/>
          <w:sz w:val="32"/>
          <w:szCs w:val="32"/>
        </w:rPr>
      </w:pPr>
    </w:p>
    <w:p w:rsidR="00B23535" w:rsidRDefault="00B23535">
      <w:pPr>
        <w:rPr>
          <w:rFonts w:ascii="仿宋_GB2312" w:eastAsia="仿宋_GB2312" w:hAnsi="宋体"/>
          <w:b/>
          <w:sz w:val="32"/>
          <w:szCs w:val="32"/>
        </w:rPr>
      </w:pPr>
    </w:p>
    <w:tbl>
      <w:tblPr>
        <w:tblW w:w="6613" w:type="pct"/>
        <w:tblInd w:w="-1452" w:type="dxa"/>
        <w:tblLayout w:type="fixed"/>
        <w:tblLook w:val="04A0"/>
      </w:tblPr>
      <w:tblGrid>
        <w:gridCol w:w="993"/>
        <w:gridCol w:w="1844"/>
        <w:gridCol w:w="791"/>
        <w:gridCol w:w="963"/>
        <w:gridCol w:w="440"/>
        <w:gridCol w:w="1063"/>
        <w:gridCol w:w="851"/>
        <w:gridCol w:w="51"/>
        <w:gridCol w:w="1085"/>
        <w:gridCol w:w="1704"/>
        <w:gridCol w:w="849"/>
      </w:tblGrid>
      <w:tr w:rsidR="00B23535" w:rsidTr="0009389A">
        <w:trPr>
          <w:trHeight w:val="624"/>
        </w:trPr>
        <w:tc>
          <w:tcPr>
            <w:tcW w:w="5000" w:type="pct"/>
            <w:gridSpan w:val="11"/>
            <w:tcBorders>
              <w:top w:val="nil"/>
              <w:left w:val="nil"/>
              <w:bottom w:val="nil"/>
              <w:right w:val="nil"/>
            </w:tcBorders>
            <w:noWrap/>
            <w:vAlign w:val="bottom"/>
          </w:tcPr>
          <w:p w:rsidR="00B23535" w:rsidRDefault="00C23125">
            <w:pPr>
              <w:widowControl/>
              <w:jc w:val="center"/>
              <w:textAlignment w:val="bottom"/>
              <w:rPr>
                <w:rFonts w:asciiTheme="minorEastAsia" w:hAnsiTheme="minorEastAsia" w:cstheme="minorEastAsia"/>
                <w:color w:val="000000"/>
                <w:sz w:val="18"/>
                <w:szCs w:val="18"/>
              </w:rPr>
            </w:pPr>
            <w:r>
              <w:rPr>
                <w:rFonts w:ascii="方正仿宋_GB2312" w:eastAsia="方正仿宋_GB2312" w:hAnsi="方正仿宋_GB2312" w:cs="方正仿宋_GB2312" w:hint="eastAsia"/>
                <w:bCs/>
                <w:sz w:val="32"/>
                <w:szCs w:val="32"/>
              </w:rPr>
              <w:t>一般公共预算财政拨款基本支出决算明细表</w:t>
            </w:r>
          </w:p>
        </w:tc>
      </w:tr>
      <w:tr w:rsidR="00B23535" w:rsidTr="0009389A">
        <w:trPr>
          <w:trHeight w:val="300"/>
        </w:trPr>
        <w:tc>
          <w:tcPr>
            <w:tcW w:w="5000" w:type="pct"/>
            <w:gridSpan w:val="11"/>
            <w:tcBorders>
              <w:top w:val="nil"/>
              <w:left w:val="nil"/>
              <w:bottom w:val="nil"/>
              <w:right w:val="nil"/>
            </w:tcBorders>
            <w:noWrap/>
            <w:vAlign w:val="bottom"/>
          </w:tcPr>
          <w:p w:rsidR="00B23535" w:rsidRDefault="00C23125">
            <w:pPr>
              <w:widowControl/>
              <w:jc w:val="right"/>
              <w:textAlignment w:val="bottom"/>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公开</w:t>
            </w:r>
            <w:r>
              <w:rPr>
                <w:rFonts w:ascii="Times New Roman" w:eastAsia="方正仿宋_GB2312" w:hAnsi="Times New Roman" w:cs="Times New Roman"/>
                <w:color w:val="000000"/>
                <w:sz w:val="18"/>
                <w:szCs w:val="18"/>
              </w:rPr>
              <w:t>06</w:t>
            </w:r>
            <w:r>
              <w:rPr>
                <w:rFonts w:ascii="方正仿宋_GB2312" w:eastAsia="方正仿宋_GB2312" w:hAnsi="方正仿宋_GB2312" w:cs="方正仿宋_GB2312" w:hint="eastAsia"/>
                <w:color w:val="000000"/>
                <w:sz w:val="18"/>
                <w:szCs w:val="18"/>
              </w:rPr>
              <w:t>表</w:t>
            </w:r>
          </w:p>
        </w:tc>
      </w:tr>
      <w:tr w:rsidR="00B23535" w:rsidTr="0009389A">
        <w:trPr>
          <w:trHeight w:val="90"/>
        </w:trPr>
        <w:tc>
          <w:tcPr>
            <w:tcW w:w="2366" w:type="pct"/>
            <w:gridSpan w:val="5"/>
            <w:tcBorders>
              <w:top w:val="nil"/>
              <w:left w:val="nil"/>
              <w:bottom w:val="single" w:sz="4" w:space="0" w:color="auto"/>
              <w:right w:val="nil"/>
            </w:tcBorders>
            <w:noWrap/>
            <w:vAlign w:val="bottom"/>
          </w:tcPr>
          <w:p w:rsidR="00B23535" w:rsidRDefault="00C23125">
            <w:pPr>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 xml:space="preserve">部门（单位）：涞源县统计局 </w:t>
            </w:r>
          </w:p>
        </w:tc>
        <w:tc>
          <w:tcPr>
            <w:tcW w:w="924" w:type="pct"/>
            <w:gridSpan w:val="3"/>
            <w:tcBorders>
              <w:top w:val="nil"/>
              <w:left w:val="nil"/>
              <w:bottom w:val="single" w:sz="4" w:space="0" w:color="auto"/>
              <w:right w:val="nil"/>
            </w:tcBorders>
            <w:noWrap/>
            <w:vAlign w:val="bottom"/>
          </w:tcPr>
          <w:p w:rsidR="00B23535" w:rsidRDefault="00C23125">
            <w:pPr>
              <w:jc w:val="center"/>
              <w:rPr>
                <w:rFonts w:asciiTheme="minorEastAsia" w:hAnsiTheme="minorEastAsia" w:cstheme="minorEastAsia"/>
                <w:color w:val="000000"/>
                <w:sz w:val="18"/>
                <w:szCs w:val="18"/>
              </w:rPr>
            </w:pPr>
            <w:r>
              <w:rPr>
                <w:rFonts w:asciiTheme="minorEastAsia" w:hAnsiTheme="minorEastAsia" w:cstheme="minorEastAsia" w:hint="eastAsia"/>
                <w:color w:val="000000"/>
                <w:sz w:val="18"/>
                <w:szCs w:val="18"/>
              </w:rPr>
              <w:t>2024</w:t>
            </w:r>
            <w:r>
              <w:rPr>
                <w:rFonts w:ascii="方正仿宋_GB2312" w:eastAsia="方正仿宋_GB2312" w:hAnsi="方正仿宋_GB2312" w:cs="方正仿宋_GB2312" w:hint="eastAsia"/>
                <w:color w:val="000000"/>
                <w:sz w:val="18"/>
                <w:szCs w:val="18"/>
              </w:rPr>
              <w:t>年度</w:t>
            </w:r>
          </w:p>
        </w:tc>
        <w:tc>
          <w:tcPr>
            <w:tcW w:w="1711" w:type="pct"/>
            <w:gridSpan w:val="3"/>
            <w:tcBorders>
              <w:top w:val="nil"/>
              <w:left w:val="nil"/>
              <w:bottom w:val="single" w:sz="4" w:space="0" w:color="auto"/>
              <w:right w:val="nil"/>
            </w:tcBorders>
            <w:noWrap/>
            <w:vAlign w:val="bottom"/>
          </w:tcPr>
          <w:p w:rsidR="00B23535" w:rsidRDefault="00C23125">
            <w:pPr>
              <w:jc w:val="right"/>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金额单位：万元</w:t>
            </w:r>
          </w:p>
        </w:tc>
      </w:tr>
      <w:tr w:rsidR="00B23535" w:rsidTr="0009389A">
        <w:trPr>
          <w:trHeight w:val="510"/>
        </w:trPr>
        <w:tc>
          <w:tcPr>
            <w:tcW w:w="1706" w:type="pct"/>
            <w:gridSpan w:val="3"/>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人员经费</w:t>
            </w:r>
          </w:p>
        </w:tc>
        <w:tc>
          <w:tcPr>
            <w:tcW w:w="3294" w:type="pct"/>
            <w:gridSpan w:val="8"/>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公用经费</w:t>
            </w: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科目代码</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科目名称</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金额</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科目代码</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科目名称</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金额</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科目代码</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科目名称</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金额</w:t>
            </w: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工资福利支出</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182.71</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商品和服务支出</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57.23</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债务利息及费用支出</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基本工资</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75.22</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办公费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sz w:val="18"/>
                <w:szCs w:val="18"/>
              </w:rPr>
            </w:pPr>
            <w:r>
              <w:rPr>
                <w:rFonts w:ascii="Times New Roman" w:hAnsi="Times New Roman" w:cs="Times New Roman" w:hint="eastAsia"/>
                <w:sz w:val="18"/>
                <w:szCs w:val="18"/>
              </w:rPr>
              <w:t>3.09</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国内债务付息</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津贴补贴</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35.91</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印刷费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sz w:val="18"/>
                <w:szCs w:val="18"/>
              </w:rPr>
            </w:pPr>
            <w:r>
              <w:rPr>
                <w:rFonts w:ascii="Times New Roman" w:hAnsi="Times New Roman" w:cs="Times New Roman" w:hint="eastAsia"/>
                <w:sz w:val="18"/>
                <w:szCs w:val="18"/>
              </w:rPr>
              <w:t>1.52</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国外债务付息</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奖金</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14.58</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咨询费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资本性支出</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伙食补助费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heme="minorEastAsia" w:hAnsiTheme="minorEastAsia" w:cstheme="minorEastAsia"/>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手续费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房屋建筑物购建</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绩效工资</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heme="minorEastAsia" w:hAnsiTheme="minorEastAsia" w:cstheme="minorEastAsia"/>
                <w:color w:val="000000"/>
                <w:sz w:val="18"/>
                <w:szCs w:val="18"/>
              </w:rPr>
            </w:pPr>
            <w:r>
              <w:rPr>
                <w:rFonts w:ascii="Times New Roman" w:hAnsi="Times New Roman" w:cs="Times New Roman" w:hint="eastAsia"/>
                <w:sz w:val="18"/>
                <w:szCs w:val="18"/>
              </w:rPr>
              <w:t>14.05</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水费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办公设备购置</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机关事业单位基本养老保险缴费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sz w:val="18"/>
                <w:szCs w:val="18"/>
              </w:rPr>
            </w:pPr>
            <w:r>
              <w:rPr>
                <w:rFonts w:ascii="Times New Roman" w:hAnsi="Times New Roman" w:cs="Times New Roman" w:hint="eastAsia"/>
                <w:sz w:val="18"/>
                <w:szCs w:val="18"/>
              </w:rPr>
              <w:t>16.42</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电费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专用设备购置</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heme="minorEastAsia" w:hAnsiTheme="minorEastAsia" w:cstheme="minorEastAsia"/>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职业年金缴费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sz w:val="18"/>
                <w:szCs w:val="18"/>
              </w:rPr>
            </w:pPr>
            <w:r>
              <w:rPr>
                <w:rFonts w:ascii="Times New Roman" w:hAnsi="Times New Roman" w:cs="Times New Roman" w:hint="eastAsia"/>
                <w:sz w:val="18"/>
                <w:szCs w:val="18"/>
              </w:rPr>
              <w:t>11.85</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邮电费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sz w:val="18"/>
                <w:szCs w:val="18"/>
              </w:rPr>
            </w:pPr>
            <w:r>
              <w:rPr>
                <w:rFonts w:ascii="Times New Roman" w:hAnsi="Times New Roman" w:cs="Times New Roman" w:hint="eastAsia"/>
                <w:sz w:val="18"/>
                <w:szCs w:val="18"/>
              </w:rPr>
              <w:t>2.29</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基础设施建设</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heme="minorEastAsia" w:hAnsiTheme="minorEastAsia" w:cstheme="minorEastAsia"/>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职工基本医疗保险缴费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6.37</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取暖费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大型修缮</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公务员医疗补助缴费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物业管理费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信息网络及软件购置更新</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其他社会保障缴费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0.62</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差旅费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1.83</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物资储备</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住房公积金</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7.71</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因公出国（境）费用</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土地补偿</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医疗费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维修（护）费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安置补助</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其他工资福利支出</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 xml:space="preserve">  租赁费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地上附着物和青苗补偿</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对个人和家庭的补助</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14.15</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会议费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拆迁补偿</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离休费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1.19</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培训费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退休费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12.97</w:t>
            </w: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公务接待费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其他交通工具购置</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退职（役）费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专用材料费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文物和陈列品购置</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抚恤金</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被装购置费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无形资产购置</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生活补助</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专用燃料费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其他资本性支出</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30306</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救济费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劳务费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39.68</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对企业补助</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医疗费补助</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委托业务费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资本金注入</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助学金</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工会经费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政府投资基金股权投资</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奖励金</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福利费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费用补贴</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个人农业生产补贴</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公务用车运行维护费</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2.97</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利息补贴</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代缴社会保险费</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其他交通费用</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5.46</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其他对企业补助</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其他对个人和家庭的补助</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税金及附加费用</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其他支出</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Theme="minorEastAsia" w:hAnsiTheme="minorEastAsia" w:cstheme="minorEastAsia"/>
                <w:color w:val="000000"/>
                <w:sz w:val="18"/>
                <w:szCs w:val="18"/>
              </w:rPr>
            </w:pP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imes New Roman" w:hAnsi="Times New Roman" w:cs="Times New Roman"/>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其他商品和服务支出</w:t>
            </w: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color w:val="000000"/>
                <w:sz w:val="18"/>
                <w:szCs w:val="18"/>
              </w:rPr>
            </w:pPr>
            <w:r>
              <w:rPr>
                <w:rFonts w:ascii="Times New Roman" w:hAnsi="Times New Roman" w:cs="Times New Roman"/>
                <w:sz w:val="18"/>
                <w:szCs w:val="18"/>
              </w:rPr>
              <w:t>0.39</w:t>
            </w: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国家赔偿费用支出</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Theme="minorEastAsia" w:hAnsiTheme="minorEastAsia" w:cstheme="minorEastAsia"/>
                <w:color w:val="000000"/>
                <w:sz w:val="18"/>
                <w:szCs w:val="18"/>
              </w:rPr>
            </w:pP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对民间非营利组织和群众性自治组织补贴</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Theme="minorEastAsia" w:hAnsiTheme="minorEastAsia" w:cstheme="minorEastAsia"/>
                <w:color w:val="000000"/>
                <w:sz w:val="18"/>
                <w:szCs w:val="18"/>
              </w:rPr>
            </w:pP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经常性赠与</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Theme="minorEastAsia" w:hAnsiTheme="minorEastAsia" w:cstheme="minorEastAsia"/>
                <w:color w:val="000000"/>
                <w:sz w:val="18"/>
                <w:szCs w:val="18"/>
              </w:rPr>
            </w:pP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资本性赠与</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09389A" w:rsidTr="0009389A">
        <w:trPr>
          <w:trHeight w:val="510"/>
        </w:trPr>
        <w:tc>
          <w:tcPr>
            <w:tcW w:w="4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center"/>
              <w:rPr>
                <w:rFonts w:asciiTheme="minorEastAsia" w:hAnsiTheme="minorEastAsia" w:cstheme="minorEastAsia"/>
                <w:color w:val="000000"/>
                <w:sz w:val="18"/>
                <w:szCs w:val="18"/>
              </w:rPr>
            </w:pPr>
          </w:p>
        </w:tc>
        <w:tc>
          <w:tcPr>
            <w:tcW w:w="867"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53"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707"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heme="minorEastAsia" w:hAnsiTheme="minorEastAsia" w:cstheme="minorEastAsia"/>
                <w:color w:val="000000"/>
                <w:sz w:val="18"/>
                <w:szCs w:val="18"/>
              </w:rPr>
            </w:pPr>
          </w:p>
        </w:tc>
        <w:tc>
          <w:tcPr>
            <w:tcW w:w="400"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left"/>
              <w:rPr>
                <w:rFonts w:ascii="Times New Roman" w:hAnsi="Times New Roman" w:cs="Times New Roman"/>
                <w:color w:val="000000"/>
                <w:sz w:val="18"/>
                <w:szCs w:val="18"/>
              </w:rPr>
            </w:pPr>
          </w:p>
        </w:tc>
        <w:tc>
          <w:tcPr>
            <w:tcW w:w="53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801" w:type="pc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left"/>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其他支出</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B23535">
            <w:pPr>
              <w:jc w:val="right"/>
              <w:rPr>
                <w:rFonts w:ascii="Times New Roman" w:hAnsi="Times New Roman" w:cs="Times New Roman"/>
                <w:color w:val="000000"/>
                <w:sz w:val="18"/>
                <w:szCs w:val="18"/>
              </w:rPr>
            </w:pPr>
          </w:p>
        </w:tc>
      </w:tr>
      <w:tr w:rsidR="00B23535" w:rsidTr="0009389A">
        <w:trPr>
          <w:trHeight w:val="510"/>
        </w:trPr>
        <w:tc>
          <w:tcPr>
            <w:tcW w:w="1333"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jc w:val="center"/>
              <w:rPr>
                <w:rFonts w:ascii="Times New Roman" w:hAnsi="Times New Roman" w:cs="Times New Roman"/>
                <w:sz w:val="18"/>
                <w:szCs w:val="18"/>
              </w:rPr>
            </w:pPr>
            <w:r>
              <w:rPr>
                <w:rFonts w:ascii="方正仿宋_GB2312" w:eastAsia="方正仿宋_GB2312" w:hAnsi="方正仿宋_GB2312" w:cs="方正仿宋_GB2312" w:hint="eastAsia"/>
                <w:color w:val="000000"/>
                <w:sz w:val="18"/>
                <w:szCs w:val="18"/>
              </w:rPr>
              <w:t>人员经费合计</w:t>
            </w:r>
          </w:p>
        </w:tc>
        <w:tc>
          <w:tcPr>
            <w:tcW w:w="372"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imes New Roman" w:hAnsi="Times New Roman" w:cs="Times New Roman"/>
                <w:sz w:val="18"/>
                <w:szCs w:val="18"/>
              </w:rPr>
            </w:pPr>
            <w:r>
              <w:rPr>
                <w:rFonts w:ascii="Times New Roman" w:hAnsi="Times New Roman" w:cs="Times New Roman"/>
                <w:sz w:val="18"/>
                <w:szCs w:val="18"/>
              </w:rPr>
              <w:t>196.87</w:t>
            </w:r>
          </w:p>
        </w:tc>
        <w:tc>
          <w:tcPr>
            <w:tcW w:w="2895" w:type="pct"/>
            <w:gridSpan w:val="7"/>
            <w:tcBorders>
              <w:top w:val="single" w:sz="4" w:space="0" w:color="auto"/>
              <w:left w:val="single" w:sz="4" w:space="0" w:color="auto"/>
              <w:bottom w:val="single" w:sz="4" w:space="0" w:color="auto"/>
              <w:right w:val="single" w:sz="4" w:space="0" w:color="auto"/>
            </w:tcBorders>
            <w:noWrap/>
            <w:vAlign w:val="center"/>
          </w:tcPr>
          <w:p w:rsidR="00B23535" w:rsidRDefault="00C23125">
            <w:pPr>
              <w:jc w:val="center"/>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公用经费合计</w:t>
            </w:r>
          </w:p>
        </w:tc>
        <w:tc>
          <w:tcPr>
            <w:tcW w:w="399" w:type="pct"/>
            <w:tcBorders>
              <w:top w:val="single" w:sz="4" w:space="0" w:color="auto"/>
              <w:left w:val="single" w:sz="4" w:space="0" w:color="auto"/>
              <w:bottom w:val="single" w:sz="4" w:space="0" w:color="auto"/>
              <w:right w:val="single" w:sz="4" w:space="0" w:color="auto"/>
            </w:tcBorders>
            <w:noWrap/>
            <w:vAlign w:val="center"/>
          </w:tcPr>
          <w:p w:rsidR="00B23535" w:rsidRDefault="00C23125">
            <w:pPr>
              <w:jc w:val="right"/>
              <w:rPr>
                <w:rFonts w:asciiTheme="minorEastAsia" w:hAnsiTheme="minorEastAsia" w:cstheme="minorEastAsia"/>
                <w:color w:val="000000"/>
                <w:sz w:val="18"/>
                <w:szCs w:val="18"/>
              </w:rPr>
            </w:pPr>
            <w:r>
              <w:rPr>
                <w:rFonts w:ascii="Times New Roman" w:hAnsi="Times New Roman" w:cs="Times New Roman"/>
                <w:sz w:val="18"/>
                <w:szCs w:val="18"/>
              </w:rPr>
              <w:t>57.23</w:t>
            </w:r>
          </w:p>
        </w:tc>
      </w:tr>
      <w:tr w:rsidR="00B23535" w:rsidTr="0009389A">
        <w:trPr>
          <w:trHeight w:val="510"/>
        </w:trPr>
        <w:tc>
          <w:tcPr>
            <w:tcW w:w="5000" w:type="pct"/>
            <w:gridSpan w:val="11"/>
            <w:tcBorders>
              <w:top w:val="single" w:sz="4" w:space="0" w:color="auto"/>
              <w:left w:val="nil"/>
              <w:bottom w:val="nil"/>
              <w:right w:val="nil"/>
            </w:tcBorders>
            <w:noWrap/>
            <w:vAlign w:val="center"/>
          </w:tcPr>
          <w:p w:rsidR="00B23535" w:rsidRDefault="00C23125">
            <w:pPr>
              <w:widowControl/>
              <w:jc w:val="left"/>
              <w:textAlignment w:val="center"/>
              <w:rPr>
                <w:rFonts w:asciiTheme="minorEastAsia" w:hAnsiTheme="minorEastAsia" w:cstheme="minorEastAsia"/>
                <w:color w:val="000000"/>
                <w:sz w:val="18"/>
                <w:szCs w:val="18"/>
              </w:rPr>
            </w:pPr>
            <w:r>
              <w:rPr>
                <w:rFonts w:ascii="方正仿宋_GB2312" w:eastAsia="方正仿宋_GB2312" w:hAnsi="方正仿宋_GB2312" w:cs="方正仿宋_GB2312" w:hint="eastAsia"/>
                <w:color w:val="000000"/>
                <w:sz w:val="18"/>
                <w:szCs w:val="18"/>
              </w:rPr>
              <w:t>注：本表反映部门本年度一般公共预算财政拨款基本支出明细情况。</w:t>
            </w:r>
          </w:p>
        </w:tc>
      </w:tr>
    </w:tbl>
    <w:p w:rsidR="00B23535" w:rsidRDefault="00B23535">
      <w:pPr>
        <w:rPr>
          <w:rFonts w:ascii="仿宋_GB2312" w:eastAsia="仿宋_GB2312" w:hAnsi="宋体"/>
          <w:b/>
          <w:sz w:val="32"/>
          <w:szCs w:val="32"/>
        </w:rPr>
      </w:pPr>
    </w:p>
    <w:p w:rsidR="00B23535" w:rsidRDefault="00C23125">
      <w:pPr>
        <w:rPr>
          <w:rFonts w:ascii="仿宋_GB2312" w:eastAsia="仿宋_GB2312" w:hAnsi="宋体"/>
          <w:b/>
          <w:sz w:val="32"/>
          <w:szCs w:val="32"/>
        </w:rPr>
      </w:pPr>
      <w:r>
        <w:rPr>
          <w:rFonts w:ascii="仿宋_GB2312" w:eastAsia="仿宋_GB2312" w:hAnsi="宋体" w:hint="eastAsia"/>
          <w:b/>
          <w:sz w:val="32"/>
          <w:szCs w:val="32"/>
        </w:rPr>
        <w:br w:type="page"/>
      </w:r>
    </w:p>
    <w:tbl>
      <w:tblPr>
        <w:tblW w:w="6517" w:type="pct"/>
        <w:tblInd w:w="-1404" w:type="dxa"/>
        <w:tblLayout w:type="fixed"/>
        <w:tblLook w:val="04A0"/>
      </w:tblPr>
      <w:tblGrid>
        <w:gridCol w:w="1260"/>
        <w:gridCol w:w="1473"/>
        <w:gridCol w:w="1306"/>
        <w:gridCol w:w="1025"/>
        <w:gridCol w:w="1107"/>
        <w:gridCol w:w="419"/>
        <w:gridCol w:w="700"/>
        <w:gridCol w:w="1146"/>
        <w:gridCol w:w="2043"/>
      </w:tblGrid>
      <w:tr w:rsidR="00B23535">
        <w:trPr>
          <w:trHeight w:val="550"/>
        </w:trPr>
        <w:tc>
          <w:tcPr>
            <w:tcW w:w="5000" w:type="pct"/>
            <w:gridSpan w:val="9"/>
            <w:tcBorders>
              <w:top w:val="nil"/>
              <w:left w:val="nil"/>
              <w:bottom w:val="nil"/>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政府性基金预算财政拨款收入支出决算表</w:t>
            </w:r>
          </w:p>
        </w:tc>
      </w:tr>
      <w:tr w:rsidR="00B23535">
        <w:trPr>
          <w:trHeight w:val="90"/>
        </w:trPr>
        <w:tc>
          <w:tcPr>
            <w:tcW w:w="5000" w:type="pct"/>
            <w:gridSpan w:val="9"/>
            <w:tcBorders>
              <w:top w:val="nil"/>
              <w:left w:val="nil"/>
              <w:bottom w:val="nil"/>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宋体" w:hAnsi="Times New Roman" w:cs="Times New Roman"/>
                <w:color w:val="000000"/>
                <w:sz w:val="20"/>
                <w:szCs w:val="20"/>
              </w:rPr>
              <w:t>07</w:t>
            </w:r>
            <w:r>
              <w:rPr>
                <w:rFonts w:ascii="方正仿宋_GB2312" w:eastAsia="方正仿宋_GB2312" w:hAnsi="方正仿宋_GB2312" w:cs="方正仿宋_GB2312" w:hint="eastAsia"/>
                <w:color w:val="000000"/>
                <w:sz w:val="20"/>
                <w:szCs w:val="20"/>
              </w:rPr>
              <w:t>表</w:t>
            </w:r>
          </w:p>
        </w:tc>
      </w:tr>
      <w:tr w:rsidR="00B23535">
        <w:trPr>
          <w:trHeight w:val="300"/>
        </w:trPr>
        <w:tc>
          <w:tcPr>
            <w:tcW w:w="1927" w:type="pct"/>
            <w:gridSpan w:val="3"/>
            <w:tcBorders>
              <w:top w:val="nil"/>
              <w:left w:val="nil"/>
              <w:bottom w:val="single" w:sz="4" w:space="0" w:color="auto"/>
              <w:right w:val="nil"/>
            </w:tcBorders>
            <w:noWrap/>
            <w:vAlign w:val="bottom"/>
          </w:tcPr>
          <w:p w:rsidR="00B23535" w:rsidRDefault="00C23125">
            <w:pPr>
              <w:widowControl/>
              <w:jc w:val="lef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 xml:space="preserve">部门（单位）：涞源县统计局 </w:t>
            </w:r>
          </w:p>
        </w:tc>
        <w:tc>
          <w:tcPr>
            <w:tcW w:w="1217" w:type="pct"/>
            <w:gridSpan w:val="3"/>
            <w:tcBorders>
              <w:top w:val="nil"/>
              <w:left w:val="nil"/>
              <w:bottom w:val="single" w:sz="4" w:space="0" w:color="auto"/>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Times New Roman" w:eastAsia="宋体" w:hAnsi="Times New Roman" w:cs="Times New Roman"/>
                <w:color w:val="000000"/>
                <w:sz w:val="20"/>
                <w:szCs w:val="20"/>
              </w:rPr>
              <w:t>202</w:t>
            </w:r>
            <w:r>
              <w:rPr>
                <w:rFonts w:ascii="Times New Roman" w:eastAsia="宋体"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854" w:type="pct"/>
            <w:gridSpan w:val="3"/>
            <w:tcBorders>
              <w:top w:val="nil"/>
              <w:left w:val="nil"/>
              <w:bottom w:val="single" w:sz="4" w:space="0" w:color="auto"/>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B23535">
        <w:trPr>
          <w:trHeight w:val="308"/>
        </w:trPr>
        <w:tc>
          <w:tcPr>
            <w:tcW w:w="1304" w:type="pct"/>
            <w:gridSpan w:val="2"/>
            <w:tcBorders>
              <w:top w:val="single" w:sz="4" w:space="0" w:color="auto"/>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w:t>
            </w:r>
          </w:p>
        </w:tc>
        <w:tc>
          <w:tcPr>
            <w:tcW w:w="623" w:type="pct"/>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年初结转和结余</w:t>
            </w:r>
          </w:p>
        </w:tc>
        <w:tc>
          <w:tcPr>
            <w:tcW w:w="489" w:type="pct"/>
            <w:vMerge w:val="restart"/>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本年收入</w:t>
            </w:r>
          </w:p>
        </w:tc>
        <w:tc>
          <w:tcPr>
            <w:tcW w:w="1609" w:type="pct"/>
            <w:gridSpan w:val="4"/>
            <w:tcBorders>
              <w:top w:val="single" w:sz="4" w:space="0" w:color="auto"/>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w:t>
            </w:r>
          </w:p>
        </w:tc>
        <w:tc>
          <w:tcPr>
            <w:tcW w:w="973" w:type="pct"/>
            <w:vMerge w:val="restart"/>
            <w:tcBorders>
              <w:top w:val="single" w:sz="4" w:space="0" w:color="auto"/>
              <w:left w:val="nil"/>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年末结转和结余</w:t>
            </w:r>
          </w:p>
        </w:tc>
      </w:tr>
      <w:tr w:rsidR="00B23535">
        <w:trPr>
          <w:trHeight w:val="312"/>
        </w:trPr>
        <w:tc>
          <w:tcPr>
            <w:tcW w:w="601" w:type="pct"/>
            <w:vMerge w:val="restart"/>
            <w:tcBorders>
              <w:top w:val="nil"/>
              <w:left w:val="single" w:sz="4" w:space="0" w:color="000000"/>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703" w:type="pct"/>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623"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489"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528" w:type="pct"/>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小计</w:t>
            </w:r>
          </w:p>
        </w:tc>
        <w:tc>
          <w:tcPr>
            <w:tcW w:w="534" w:type="pct"/>
            <w:gridSpan w:val="2"/>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546" w:type="pct"/>
            <w:vMerge w:val="restar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c>
          <w:tcPr>
            <w:tcW w:w="973" w:type="pct"/>
            <w:vMerge/>
            <w:tcBorders>
              <w:left w:val="nil"/>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结转</w:t>
            </w:r>
          </w:p>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结余</w:t>
            </w:r>
          </w:p>
        </w:tc>
      </w:tr>
      <w:tr w:rsidR="00B23535">
        <w:trPr>
          <w:trHeight w:val="312"/>
        </w:trPr>
        <w:tc>
          <w:tcPr>
            <w:tcW w:w="601" w:type="pct"/>
            <w:vMerge/>
            <w:tcBorders>
              <w:top w:val="nil"/>
              <w:left w:val="single" w:sz="4" w:space="0" w:color="000000"/>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703"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623"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489"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528"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534" w:type="pct"/>
            <w:gridSpan w:val="2"/>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546"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973" w:type="pct"/>
            <w:vMerge/>
            <w:tcBorders>
              <w:left w:val="nil"/>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r>
      <w:tr w:rsidR="00B23535">
        <w:trPr>
          <w:trHeight w:val="312"/>
        </w:trPr>
        <w:tc>
          <w:tcPr>
            <w:tcW w:w="601" w:type="pct"/>
            <w:vMerge/>
            <w:tcBorders>
              <w:top w:val="nil"/>
              <w:left w:val="single" w:sz="4" w:space="0" w:color="000000"/>
              <w:bottom w:val="single" w:sz="4" w:space="0" w:color="auto"/>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703" w:type="pct"/>
            <w:vMerge/>
            <w:tcBorders>
              <w:top w:val="nil"/>
              <w:left w:val="nil"/>
              <w:bottom w:val="single" w:sz="4" w:space="0" w:color="auto"/>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623"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489" w:type="pct"/>
            <w:vMerge/>
            <w:tcBorders>
              <w:top w:val="single" w:sz="4" w:space="0" w:color="000000"/>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528"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534" w:type="pct"/>
            <w:gridSpan w:val="2"/>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546" w:type="pct"/>
            <w:vMerge/>
            <w:tcBorders>
              <w:top w:val="nil"/>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973" w:type="pct"/>
            <w:vMerge/>
            <w:tcBorders>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r>
      <w:tr w:rsidR="00B23535">
        <w:trPr>
          <w:trHeight w:val="308"/>
        </w:trPr>
        <w:tc>
          <w:tcPr>
            <w:tcW w:w="130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栏次</w:t>
            </w:r>
          </w:p>
        </w:tc>
        <w:tc>
          <w:tcPr>
            <w:tcW w:w="623" w:type="pct"/>
            <w:tcBorders>
              <w:top w:val="nil"/>
              <w:left w:val="single" w:sz="4" w:space="0" w:color="auto"/>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1</w:t>
            </w:r>
          </w:p>
        </w:tc>
        <w:tc>
          <w:tcPr>
            <w:tcW w:w="489"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2</w:t>
            </w:r>
          </w:p>
        </w:tc>
        <w:tc>
          <w:tcPr>
            <w:tcW w:w="528"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3</w:t>
            </w:r>
          </w:p>
        </w:tc>
        <w:tc>
          <w:tcPr>
            <w:tcW w:w="534"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4</w:t>
            </w:r>
          </w:p>
        </w:tc>
        <w:tc>
          <w:tcPr>
            <w:tcW w:w="546"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5</w:t>
            </w:r>
          </w:p>
        </w:tc>
        <w:tc>
          <w:tcPr>
            <w:tcW w:w="973" w:type="pct"/>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color w:val="000000"/>
                <w:sz w:val="20"/>
                <w:szCs w:val="20"/>
              </w:rPr>
              <w:t>6</w:t>
            </w:r>
          </w:p>
        </w:tc>
      </w:tr>
      <w:tr w:rsidR="00B23535">
        <w:trPr>
          <w:trHeight w:val="869"/>
        </w:trPr>
        <w:tc>
          <w:tcPr>
            <w:tcW w:w="1304" w:type="pct"/>
            <w:gridSpan w:val="2"/>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623" w:type="pct"/>
            <w:tcBorders>
              <w:top w:val="nil"/>
              <w:left w:val="single" w:sz="4" w:space="0" w:color="auto"/>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489"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28"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34" w:type="pct"/>
            <w:gridSpan w:val="2"/>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546"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973" w:type="pct"/>
            <w:tcBorders>
              <w:top w:val="nil"/>
              <w:left w:val="nil"/>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trPr>
          <w:trHeight w:val="308"/>
        </w:trPr>
        <w:tc>
          <w:tcPr>
            <w:tcW w:w="5000" w:type="pct"/>
            <w:gridSpan w:val="9"/>
            <w:tcBorders>
              <w:top w:val="nil"/>
              <w:left w:val="nil"/>
              <w:bottom w:val="nil"/>
              <w:right w:val="nil"/>
            </w:tcBorders>
            <w:noWrap/>
            <w:vAlign w:val="center"/>
          </w:tcPr>
          <w:p w:rsidR="00B23535" w:rsidRDefault="00C23125">
            <w:pPr>
              <w:spacing w:before="45" w:line="302" w:lineRule="auto"/>
              <w:ind w:left="136" w:right="114" w:hanging="5"/>
              <w:rPr>
                <w:rFonts w:ascii="仿宋" w:eastAsia="仿宋" w:hAnsi="仿宋" w:cs="仿宋"/>
                <w:sz w:val="19"/>
                <w:szCs w:val="19"/>
              </w:rPr>
            </w:pPr>
            <w:r>
              <w:rPr>
                <w:rFonts w:ascii="方正仿宋_GB2312" w:eastAsia="方正仿宋_GB2312" w:hAnsi="方正仿宋_GB2312" w:cs="方正仿宋_GB2312" w:hint="eastAsia"/>
                <w:color w:val="000000"/>
                <w:sz w:val="20"/>
                <w:szCs w:val="20"/>
              </w:rPr>
              <w:t>注：本表反映部门本年度政府性基金预算财政拨款收入、支出及结转和结余情况。</w:t>
            </w:r>
            <w:r>
              <w:rPr>
                <w:rFonts w:ascii="仿宋" w:eastAsia="仿宋" w:hAnsi="仿宋" w:cs="仿宋"/>
                <w:spacing w:val="11"/>
                <w:sz w:val="19"/>
                <w:szCs w:val="19"/>
              </w:rPr>
              <w:t>本年度无政府</w:t>
            </w:r>
            <w:r>
              <w:rPr>
                <w:rFonts w:ascii="仿宋" w:eastAsia="仿宋" w:hAnsi="仿宋" w:cs="仿宋"/>
                <w:spacing w:val="10"/>
                <w:sz w:val="19"/>
                <w:szCs w:val="19"/>
              </w:rPr>
              <w:t>性基金预算财政拨款</w:t>
            </w:r>
            <w:r>
              <w:rPr>
                <w:rFonts w:ascii="仿宋" w:eastAsia="仿宋" w:hAnsi="仿宋" w:cs="仿宋"/>
                <w:spacing w:val="8"/>
                <w:sz w:val="19"/>
                <w:szCs w:val="19"/>
              </w:rPr>
              <w:t>收入、支出及结转和结余情况，按要求空表列示。</w:t>
            </w:r>
          </w:p>
          <w:p w:rsidR="00B23535" w:rsidRDefault="00C23125">
            <w:pP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br w:type="page"/>
            </w:r>
          </w:p>
        </w:tc>
      </w:tr>
    </w:tbl>
    <w:p w:rsidR="00B23535" w:rsidRDefault="00B23535">
      <w:pPr>
        <w:rPr>
          <w:rFonts w:ascii="仿宋_GB2312" w:eastAsia="仿宋_GB2312" w:hAnsi="宋体"/>
          <w:b/>
          <w:sz w:val="32"/>
          <w:szCs w:val="32"/>
        </w:rPr>
      </w:pPr>
    </w:p>
    <w:p w:rsidR="00B23535" w:rsidRDefault="00C23125">
      <w:pPr>
        <w:rPr>
          <w:rFonts w:ascii="仿宋_GB2312" w:eastAsia="仿宋_GB2312" w:hAnsi="宋体"/>
          <w:b/>
          <w:sz w:val="32"/>
          <w:szCs w:val="32"/>
        </w:rPr>
      </w:pPr>
      <w:r>
        <w:rPr>
          <w:rFonts w:ascii="仿宋_GB2312" w:eastAsia="仿宋_GB2312" w:hAnsi="宋体" w:hint="eastAsia"/>
          <w:b/>
          <w:sz w:val="32"/>
          <w:szCs w:val="32"/>
        </w:rPr>
        <w:br w:type="page"/>
      </w:r>
    </w:p>
    <w:tbl>
      <w:tblPr>
        <w:tblW w:w="5863" w:type="pct"/>
        <w:tblInd w:w="-976" w:type="dxa"/>
        <w:tblLayout w:type="fixed"/>
        <w:tblLook w:val="04A0"/>
      </w:tblPr>
      <w:tblGrid>
        <w:gridCol w:w="2992"/>
        <w:gridCol w:w="730"/>
        <w:gridCol w:w="1297"/>
        <w:gridCol w:w="1337"/>
        <w:gridCol w:w="45"/>
        <w:gridCol w:w="1286"/>
        <w:gridCol w:w="6"/>
        <w:gridCol w:w="1735"/>
      </w:tblGrid>
      <w:tr w:rsidR="00B23535">
        <w:trPr>
          <w:trHeight w:val="550"/>
        </w:trPr>
        <w:tc>
          <w:tcPr>
            <w:tcW w:w="5000" w:type="pct"/>
            <w:gridSpan w:val="8"/>
            <w:tcBorders>
              <w:top w:val="nil"/>
              <w:left w:val="nil"/>
              <w:bottom w:val="nil"/>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方正仿宋_GB2312" w:eastAsia="方正仿宋_GB2312" w:hAnsi="方正仿宋_GB2312" w:cs="方正仿宋_GB2312" w:hint="eastAsia"/>
                <w:bCs/>
                <w:sz w:val="32"/>
                <w:szCs w:val="32"/>
              </w:rPr>
              <w:t>国有资本经营预算财政拨款支出决算表</w:t>
            </w:r>
          </w:p>
        </w:tc>
      </w:tr>
      <w:tr w:rsidR="00B23535">
        <w:trPr>
          <w:trHeight w:val="300"/>
        </w:trPr>
        <w:tc>
          <w:tcPr>
            <w:tcW w:w="5000" w:type="pct"/>
            <w:gridSpan w:val="8"/>
            <w:tcBorders>
              <w:top w:val="nil"/>
              <w:left w:val="nil"/>
              <w:bottom w:val="nil"/>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公开</w:t>
            </w:r>
            <w:r>
              <w:rPr>
                <w:rFonts w:ascii="Times New Roman" w:eastAsia="方正仿宋_GB2312" w:hAnsi="Times New Roman" w:cs="Times New Roman"/>
                <w:color w:val="000000"/>
                <w:sz w:val="20"/>
                <w:szCs w:val="20"/>
              </w:rPr>
              <w:t>08</w:t>
            </w:r>
            <w:r>
              <w:rPr>
                <w:rFonts w:ascii="方正仿宋_GB2312" w:eastAsia="方正仿宋_GB2312" w:hAnsi="方正仿宋_GB2312" w:cs="方正仿宋_GB2312" w:hint="eastAsia"/>
                <w:color w:val="000000"/>
                <w:sz w:val="20"/>
                <w:szCs w:val="20"/>
              </w:rPr>
              <w:t>表</w:t>
            </w:r>
          </w:p>
        </w:tc>
      </w:tr>
      <w:tr w:rsidR="00B23535">
        <w:trPr>
          <w:trHeight w:val="300"/>
        </w:trPr>
        <w:tc>
          <w:tcPr>
            <w:tcW w:w="1974" w:type="pct"/>
            <w:gridSpan w:val="2"/>
            <w:tcBorders>
              <w:top w:val="nil"/>
              <w:left w:val="nil"/>
              <w:bottom w:val="single" w:sz="4" w:space="0" w:color="auto"/>
              <w:right w:val="nil"/>
            </w:tcBorders>
            <w:noWrap/>
            <w:vAlign w:val="bottom"/>
          </w:tcPr>
          <w:p w:rsidR="00B23535" w:rsidRDefault="00C23125">
            <w:pPr>
              <w:widowControl/>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部门（单位）：涞源县统计局</w:t>
            </w:r>
          </w:p>
        </w:tc>
        <w:tc>
          <w:tcPr>
            <w:tcW w:w="1421" w:type="pct"/>
            <w:gridSpan w:val="3"/>
            <w:tcBorders>
              <w:top w:val="nil"/>
              <w:left w:val="nil"/>
              <w:bottom w:val="single" w:sz="4" w:space="0" w:color="auto"/>
              <w:right w:val="nil"/>
            </w:tcBorders>
            <w:noWrap/>
            <w:vAlign w:val="bottom"/>
          </w:tcPr>
          <w:p w:rsidR="00B23535" w:rsidRDefault="00C23125">
            <w:pPr>
              <w:widowControl/>
              <w:jc w:val="center"/>
              <w:textAlignment w:val="bottom"/>
              <w:rPr>
                <w:rFonts w:ascii="宋体" w:eastAsia="宋体" w:hAnsi="宋体"/>
                <w:color w:val="000000"/>
                <w:sz w:val="20"/>
                <w:szCs w:val="20"/>
              </w:rPr>
            </w:pPr>
            <w:r>
              <w:rPr>
                <w:rFonts w:ascii="Times New Roman" w:eastAsia="宋体" w:hAnsi="Times New Roman" w:cs="Times New Roman"/>
                <w:color w:val="000000"/>
                <w:sz w:val="20"/>
                <w:szCs w:val="20"/>
              </w:rPr>
              <w:t>202</w:t>
            </w:r>
            <w:r>
              <w:rPr>
                <w:rFonts w:ascii="Times New Roman" w:eastAsia="宋体" w:hAnsi="Times New Roman" w:cs="Times New Roman" w:hint="eastAsia"/>
                <w:color w:val="000000"/>
                <w:sz w:val="20"/>
                <w:szCs w:val="20"/>
              </w:rPr>
              <w:t>4</w:t>
            </w:r>
            <w:r>
              <w:rPr>
                <w:rFonts w:ascii="方正仿宋_GB2312" w:eastAsia="方正仿宋_GB2312" w:hAnsi="方正仿宋_GB2312" w:cs="方正仿宋_GB2312" w:hint="eastAsia"/>
                <w:color w:val="000000"/>
                <w:sz w:val="20"/>
                <w:szCs w:val="20"/>
              </w:rPr>
              <w:t>年度</w:t>
            </w:r>
          </w:p>
        </w:tc>
        <w:tc>
          <w:tcPr>
            <w:tcW w:w="1603" w:type="pct"/>
            <w:gridSpan w:val="3"/>
            <w:tcBorders>
              <w:top w:val="nil"/>
              <w:left w:val="nil"/>
              <w:bottom w:val="single" w:sz="4" w:space="0" w:color="auto"/>
              <w:right w:val="nil"/>
            </w:tcBorders>
            <w:noWrap/>
            <w:vAlign w:val="bottom"/>
          </w:tcPr>
          <w:p w:rsidR="00B23535" w:rsidRDefault="00C23125">
            <w:pPr>
              <w:widowControl/>
              <w:jc w:val="right"/>
              <w:textAlignment w:val="bottom"/>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金额单位：万元</w:t>
            </w:r>
          </w:p>
        </w:tc>
      </w:tr>
      <w:tr w:rsidR="00B23535">
        <w:trPr>
          <w:trHeight w:val="312"/>
        </w:trPr>
        <w:tc>
          <w:tcPr>
            <w:tcW w:w="2662" w:type="pct"/>
            <w:gridSpan w:val="3"/>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 xml:space="preserve"> 项目</w:t>
            </w:r>
          </w:p>
        </w:tc>
        <w:tc>
          <w:tcPr>
            <w:tcW w:w="2337" w:type="pct"/>
            <w:gridSpan w:val="5"/>
            <w:vMerge w:val="restart"/>
            <w:tcBorders>
              <w:top w:val="single" w:sz="4" w:space="0" w:color="auto"/>
              <w:left w:val="single" w:sz="4" w:space="0" w:color="auto"/>
              <w:right w:val="single" w:sz="4" w:space="0" w:color="000000"/>
            </w:tcBorders>
            <w:noWrap/>
            <w:vAlign w:val="center"/>
          </w:tcPr>
          <w:p w:rsidR="00B23535" w:rsidRDefault="00C23125">
            <w:pPr>
              <w:widowControl/>
              <w:jc w:val="center"/>
              <w:textAlignment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本年支出</w:t>
            </w:r>
          </w:p>
        </w:tc>
      </w:tr>
      <w:tr w:rsidR="00B23535">
        <w:trPr>
          <w:trHeight w:val="312"/>
        </w:trPr>
        <w:tc>
          <w:tcPr>
            <w:tcW w:w="2662" w:type="pct"/>
            <w:gridSpan w:val="3"/>
            <w:vMerge/>
            <w:tcBorders>
              <w:top w:val="single" w:sz="4" w:space="0" w:color="auto"/>
              <w:left w:val="single" w:sz="4" w:space="0" w:color="auto"/>
              <w:bottom w:val="single" w:sz="4" w:space="0" w:color="auto"/>
              <w:right w:val="single" w:sz="4" w:space="0" w:color="auto"/>
            </w:tcBorders>
            <w:noWrap/>
            <w:vAlign w:val="center"/>
          </w:tcPr>
          <w:p w:rsidR="00B23535" w:rsidRDefault="00B23535">
            <w:pPr>
              <w:widowControl/>
              <w:jc w:val="center"/>
              <w:textAlignment w:val="center"/>
              <w:rPr>
                <w:rFonts w:ascii="方正仿宋_GB2312" w:eastAsia="方正仿宋_GB2312" w:hAnsi="方正仿宋_GB2312" w:cs="方正仿宋_GB2312"/>
                <w:color w:val="000000"/>
                <w:sz w:val="20"/>
                <w:szCs w:val="20"/>
              </w:rPr>
            </w:pPr>
          </w:p>
        </w:tc>
        <w:tc>
          <w:tcPr>
            <w:tcW w:w="2337" w:type="pct"/>
            <w:gridSpan w:val="5"/>
            <w:vMerge/>
            <w:tcBorders>
              <w:left w:val="single" w:sz="4" w:space="0" w:color="auto"/>
              <w:bottom w:val="single" w:sz="4" w:space="0" w:color="000000"/>
              <w:right w:val="single" w:sz="4" w:space="0" w:color="000000"/>
            </w:tcBorders>
            <w:noWrap/>
            <w:vAlign w:val="center"/>
          </w:tcPr>
          <w:p w:rsidR="00B23535" w:rsidRDefault="00B23535">
            <w:pPr>
              <w:widowControl/>
              <w:jc w:val="center"/>
              <w:textAlignment w:val="center"/>
              <w:rPr>
                <w:rFonts w:ascii="方正仿宋_GB2312" w:eastAsia="方正仿宋_GB2312" w:hAnsi="方正仿宋_GB2312" w:cs="方正仿宋_GB2312"/>
                <w:color w:val="000000"/>
                <w:sz w:val="20"/>
                <w:szCs w:val="20"/>
              </w:rPr>
            </w:pPr>
          </w:p>
        </w:tc>
      </w:tr>
      <w:tr w:rsidR="00B23535">
        <w:trPr>
          <w:trHeight w:val="312"/>
        </w:trPr>
        <w:tc>
          <w:tcPr>
            <w:tcW w:w="1587" w:type="pct"/>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科目代码</w:t>
            </w:r>
          </w:p>
        </w:tc>
        <w:tc>
          <w:tcPr>
            <w:tcW w:w="1074" w:type="pct"/>
            <w:gridSpan w:val="2"/>
            <w:vMerge w:val="restart"/>
            <w:tcBorders>
              <w:top w:val="single" w:sz="4" w:space="0" w:color="auto"/>
              <w:left w:val="single" w:sz="4" w:space="0" w:color="auto"/>
              <w:bottom w:val="single" w:sz="4" w:space="0" w:color="auto"/>
              <w:right w:val="single" w:sz="4" w:space="0" w:color="auto"/>
            </w:tcBorders>
            <w:noWrap/>
            <w:vAlign w:val="center"/>
          </w:tcPr>
          <w:p w:rsidR="00B23535" w:rsidRDefault="00C23125">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科目名称</w:t>
            </w:r>
          </w:p>
        </w:tc>
        <w:tc>
          <w:tcPr>
            <w:tcW w:w="709" w:type="pct"/>
            <w:vMerge w:val="restart"/>
            <w:tcBorders>
              <w:top w:val="nil"/>
              <w:left w:val="single" w:sz="4" w:space="0" w:color="auto"/>
              <w:right w:val="single" w:sz="4" w:space="0" w:color="000000"/>
            </w:tcBorders>
            <w:noWrap/>
            <w:vAlign w:val="center"/>
          </w:tcPr>
          <w:p w:rsidR="00B23535" w:rsidRDefault="00C23125">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合计</w:t>
            </w:r>
          </w:p>
        </w:tc>
        <w:tc>
          <w:tcPr>
            <w:tcW w:w="709" w:type="pct"/>
            <w:gridSpan w:val="3"/>
            <w:vMerge w:val="restart"/>
            <w:tcBorders>
              <w:top w:val="nil"/>
              <w:left w:val="nil"/>
              <w:right w:val="single" w:sz="4" w:space="0" w:color="000000"/>
            </w:tcBorders>
            <w:noWrap/>
            <w:vAlign w:val="center"/>
          </w:tcPr>
          <w:p w:rsidR="00B23535" w:rsidRDefault="00C23125">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基本支出</w:t>
            </w:r>
          </w:p>
        </w:tc>
        <w:tc>
          <w:tcPr>
            <w:tcW w:w="919" w:type="pct"/>
            <w:vMerge w:val="restart"/>
            <w:tcBorders>
              <w:top w:val="nil"/>
              <w:left w:val="nil"/>
              <w:right w:val="single" w:sz="4" w:space="0" w:color="000000"/>
            </w:tcBorders>
            <w:noWrap/>
            <w:vAlign w:val="center"/>
          </w:tcPr>
          <w:p w:rsidR="00B23535" w:rsidRDefault="00C23125">
            <w:pPr>
              <w:jc w:val="center"/>
              <w:rPr>
                <w:rFonts w:ascii="方正仿宋_GB2312" w:eastAsia="方正仿宋_GB2312" w:hAnsi="方正仿宋_GB2312" w:cs="方正仿宋_GB2312"/>
                <w:color w:val="000000"/>
                <w:sz w:val="20"/>
                <w:szCs w:val="20"/>
              </w:rPr>
            </w:pPr>
            <w:r>
              <w:rPr>
                <w:rFonts w:ascii="方正仿宋_GB2312" w:eastAsia="方正仿宋_GB2312" w:hAnsi="方正仿宋_GB2312" w:cs="方正仿宋_GB2312" w:hint="eastAsia"/>
                <w:color w:val="000000"/>
                <w:sz w:val="20"/>
                <w:szCs w:val="20"/>
              </w:rPr>
              <w:t>项目支出</w:t>
            </w:r>
          </w:p>
        </w:tc>
      </w:tr>
      <w:tr w:rsidR="00B23535">
        <w:trPr>
          <w:trHeight w:val="312"/>
        </w:trPr>
        <w:tc>
          <w:tcPr>
            <w:tcW w:w="1587" w:type="pct"/>
            <w:vMerge/>
            <w:tcBorders>
              <w:top w:val="single" w:sz="4" w:space="0" w:color="auto"/>
              <w:left w:val="single" w:sz="4" w:space="0" w:color="auto"/>
              <w:bottom w:val="single" w:sz="4" w:space="0" w:color="auto"/>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1074" w:type="pct"/>
            <w:gridSpan w:val="2"/>
            <w:vMerge/>
            <w:tcBorders>
              <w:top w:val="single" w:sz="4" w:space="0" w:color="auto"/>
              <w:left w:val="nil"/>
              <w:bottom w:val="single" w:sz="4" w:space="0" w:color="auto"/>
              <w:right w:val="single" w:sz="4" w:space="0" w:color="auto"/>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709" w:type="pct"/>
            <w:vMerge/>
            <w:tcBorders>
              <w:left w:val="single" w:sz="4" w:space="0" w:color="auto"/>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709" w:type="pct"/>
            <w:gridSpan w:val="3"/>
            <w:vMerge/>
            <w:tcBorders>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c>
          <w:tcPr>
            <w:tcW w:w="919" w:type="pct"/>
            <w:vMerge/>
            <w:tcBorders>
              <w:left w:val="nil"/>
              <w:bottom w:val="single" w:sz="4" w:space="0" w:color="000000"/>
              <w:right w:val="single" w:sz="4" w:space="0" w:color="000000"/>
            </w:tcBorders>
            <w:noWrap/>
            <w:vAlign w:val="center"/>
          </w:tcPr>
          <w:p w:rsidR="00B23535" w:rsidRDefault="00B23535">
            <w:pPr>
              <w:jc w:val="center"/>
              <w:rPr>
                <w:rFonts w:ascii="方正仿宋_GB2312" w:eastAsia="方正仿宋_GB2312" w:hAnsi="方正仿宋_GB2312" w:cs="方正仿宋_GB2312"/>
                <w:color w:val="000000"/>
                <w:sz w:val="20"/>
                <w:szCs w:val="20"/>
              </w:rPr>
            </w:pPr>
          </w:p>
        </w:tc>
      </w:tr>
      <w:tr w:rsidR="00B23535">
        <w:trPr>
          <w:trHeight w:val="308"/>
        </w:trPr>
        <w:tc>
          <w:tcPr>
            <w:tcW w:w="2662" w:type="pct"/>
            <w:gridSpan w:val="3"/>
            <w:tcBorders>
              <w:top w:val="single" w:sz="4" w:space="0" w:color="auto"/>
              <w:left w:val="single" w:sz="4" w:space="0" w:color="auto"/>
              <w:bottom w:val="single" w:sz="4" w:space="0" w:color="000000"/>
              <w:right w:val="single" w:sz="4" w:space="0" w:color="auto"/>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栏次</w:t>
            </w:r>
          </w:p>
        </w:tc>
        <w:tc>
          <w:tcPr>
            <w:tcW w:w="706" w:type="pct"/>
            <w:tcBorders>
              <w:top w:val="nil"/>
              <w:left w:val="single" w:sz="4" w:space="0" w:color="auto"/>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1</w:t>
            </w:r>
          </w:p>
        </w:tc>
        <w:tc>
          <w:tcPr>
            <w:tcW w:w="706"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2</w:t>
            </w:r>
          </w:p>
        </w:tc>
        <w:tc>
          <w:tcPr>
            <w:tcW w:w="924" w:type="pct"/>
            <w:gridSpan w:val="2"/>
            <w:tcBorders>
              <w:top w:val="nil"/>
              <w:left w:val="nil"/>
              <w:bottom w:val="single" w:sz="4" w:space="0" w:color="000000"/>
              <w:right w:val="single" w:sz="4" w:space="0" w:color="000000"/>
            </w:tcBorders>
            <w:noWrap/>
            <w:vAlign w:val="center"/>
          </w:tcPr>
          <w:p w:rsidR="00B23535" w:rsidRDefault="00C23125">
            <w:pPr>
              <w:widowControl/>
              <w:jc w:val="center"/>
              <w:textAlignment w:val="center"/>
              <w:rPr>
                <w:rFonts w:ascii="Times New Roman" w:eastAsia="方正仿宋_GB2312" w:hAnsi="Times New Roman" w:cs="Times New Roman"/>
                <w:color w:val="000000"/>
                <w:sz w:val="20"/>
                <w:szCs w:val="20"/>
              </w:rPr>
            </w:pPr>
            <w:r>
              <w:rPr>
                <w:rFonts w:ascii="Times New Roman" w:eastAsia="方正仿宋_GB2312" w:hAnsi="Times New Roman" w:cs="Times New Roman" w:hint="eastAsia"/>
                <w:color w:val="000000"/>
                <w:sz w:val="20"/>
                <w:szCs w:val="20"/>
              </w:rPr>
              <w:t>3</w:t>
            </w:r>
          </w:p>
        </w:tc>
      </w:tr>
      <w:tr w:rsidR="00B23535">
        <w:trPr>
          <w:trHeight w:val="308"/>
        </w:trPr>
        <w:tc>
          <w:tcPr>
            <w:tcW w:w="2662" w:type="pct"/>
            <w:gridSpan w:val="3"/>
            <w:tcBorders>
              <w:top w:val="single" w:sz="4" w:space="0" w:color="000000"/>
              <w:left w:val="single" w:sz="4" w:space="0" w:color="000000"/>
              <w:bottom w:val="single" w:sz="4" w:space="0" w:color="000000"/>
              <w:right w:val="single" w:sz="4" w:space="0" w:color="000000"/>
            </w:tcBorders>
            <w:noWrap/>
            <w:vAlign w:val="center"/>
          </w:tcPr>
          <w:p w:rsidR="00B23535" w:rsidRDefault="00C23125">
            <w:pPr>
              <w:jc w:val="center"/>
              <w:rPr>
                <w:rFonts w:ascii="Times New Roman" w:eastAsia="宋体" w:hAnsi="Times New Roman" w:cs="Times New Roman"/>
                <w:color w:val="000000"/>
                <w:sz w:val="20"/>
                <w:szCs w:val="20"/>
              </w:rPr>
            </w:pPr>
            <w:r>
              <w:rPr>
                <w:rFonts w:ascii="Times New Roman" w:eastAsia="方正仿宋_GB2312" w:hAnsi="Times New Roman" w:cs="Times New Roman" w:hint="eastAsia"/>
                <w:color w:val="000000"/>
                <w:sz w:val="20"/>
                <w:szCs w:val="20"/>
              </w:rPr>
              <w:t>合计</w:t>
            </w:r>
          </w:p>
        </w:tc>
        <w:tc>
          <w:tcPr>
            <w:tcW w:w="706" w:type="pct"/>
            <w:tcBorders>
              <w:top w:val="single" w:sz="4" w:space="0" w:color="000000"/>
              <w:left w:val="single" w:sz="4" w:space="0" w:color="000000"/>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706" w:type="pct"/>
            <w:gridSpan w:val="2"/>
            <w:tcBorders>
              <w:top w:val="single" w:sz="4" w:space="0" w:color="000000"/>
              <w:left w:val="single" w:sz="4" w:space="0" w:color="000000"/>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c>
          <w:tcPr>
            <w:tcW w:w="924" w:type="pct"/>
            <w:gridSpan w:val="2"/>
            <w:tcBorders>
              <w:top w:val="single" w:sz="4" w:space="0" w:color="000000"/>
              <w:left w:val="single" w:sz="4" w:space="0" w:color="000000"/>
              <w:bottom w:val="single" w:sz="4" w:space="0" w:color="000000"/>
              <w:right w:val="single" w:sz="4" w:space="0" w:color="000000"/>
            </w:tcBorders>
            <w:noWrap/>
            <w:vAlign w:val="center"/>
          </w:tcPr>
          <w:p w:rsidR="00B23535" w:rsidRDefault="00B23535">
            <w:pPr>
              <w:jc w:val="right"/>
              <w:rPr>
                <w:rFonts w:ascii="Times New Roman" w:eastAsia="宋体" w:hAnsi="Times New Roman" w:cs="Times New Roman"/>
                <w:color w:val="000000"/>
                <w:sz w:val="20"/>
                <w:szCs w:val="20"/>
              </w:rPr>
            </w:pPr>
          </w:p>
        </w:tc>
      </w:tr>
      <w:tr w:rsidR="00B23535">
        <w:trPr>
          <w:trHeight w:val="308"/>
        </w:trPr>
        <w:tc>
          <w:tcPr>
            <w:tcW w:w="5000" w:type="pct"/>
            <w:gridSpan w:val="8"/>
            <w:tcBorders>
              <w:top w:val="nil"/>
              <w:left w:val="nil"/>
              <w:bottom w:val="nil"/>
              <w:right w:val="nil"/>
            </w:tcBorders>
            <w:noWrap/>
            <w:vAlign w:val="center"/>
          </w:tcPr>
          <w:p w:rsidR="00B23535" w:rsidRDefault="00C23125">
            <w:pPr>
              <w:widowControl/>
              <w:jc w:val="left"/>
              <w:textAlignment w:val="center"/>
              <w:rPr>
                <w:rFonts w:ascii="宋体" w:eastAsia="宋体" w:hAnsi="宋体"/>
                <w:color w:val="000000"/>
                <w:sz w:val="20"/>
                <w:szCs w:val="20"/>
              </w:rPr>
            </w:pPr>
            <w:r>
              <w:rPr>
                <w:rFonts w:ascii="方正仿宋_GB2312" w:eastAsia="方正仿宋_GB2312" w:hAnsi="方正仿宋_GB2312" w:cs="方正仿宋_GB2312" w:hint="eastAsia"/>
                <w:color w:val="000000"/>
                <w:sz w:val="20"/>
                <w:szCs w:val="20"/>
              </w:rPr>
              <w:t>注：本表反映部门本年度国有资本经营预算财政拨款支出情况。</w:t>
            </w:r>
            <w:r>
              <w:rPr>
                <w:rFonts w:ascii="仿宋" w:eastAsia="仿宋" w:hAnsi="仿宋" w:cs="仿宋"/>
                <w:spacing w:val="9"/>
                <w:sz w:val="19"/>
                <w:szCs w:val="19"/>
              </w:rPr>
              <w:t>本年度无国有资本经营预</w:t>
            </w:r>
            <w:r>
              <w:rPr>
                <w:rFonts w:ascii="仿宋" w:eastAsia="仿宋" w:hAnsi="仿宋" w:cs="仿宋"/>
                <w:spacing w:val="8"/>
                <w:sz w:val="19"/>
                <w:szCs w:val="19"/>
              </w:rPr>
              <w:t>算财政拨款支出情况，按要求空表列示。</w:t>
            </w:r>
          </w:p>
        </w:tc>
      </w:tr>
    </w:tbl>
    <w:p w:rsidR="00B23535" w:rsidRDefault="00B23535">
      <w:pPr>
        <w:rPr>
          <w:rFonts w:ascii="仿宋_GB2312" w:eastAsia="仿宋_GB2312" w:hAnsi="宋体"/>
          <w:b/>
          <w:sz w:val="32"/>
          <w:szCs w:val="32"/>
        </w:rPr>
      </w:pPr>
    </w:p>
    <w:p w:rsidR="00B23535" w:rsidRDefault="00C23125">
      <w:pPr>
        <w:rPr>
          <w:rFonts w:ascii="仿宋_GB2312" w:eastAsia="仿宋_GB2312" w:hAnsi="宋体"/>
          <w:b/>
          <w:sz w:val="32"/>
          <w:szCs w:val="32"/>
        </w:rPr>
      </w:pPr>
      <w:r>
        <w:rPr>
          <w:rFonts w:ascii="仿宋_GB2312" w:eastAsia="仿宋_GB2312" w:hAnsi="宋体" w:hint="eastAsia"/>
          <w:b/>
          <w:sz w:val="32"/>
          <w:szCs w:val="32"/>
        </w:rPr>
        <w:br w:type="page"/>
      </w:r>
    </w:p>
    <w:tbl>
      <w:tblPr>
        <w:tblpPr w:leftFromText="180" w:rightFromText="180" w:vertAnchor="text" w:horzAnchor="page" w:tblpX="532" w:tblpY="39"/>
        <w:tblOverlap w:val="never"/>
        <w:tblW w:w="6787" w:type="pct"/>
        <w:tblLayout w:type="fixed"/>
        <w:tblLook w:val="04A0"/>
      </w:tblPr>
      <w:tblGrid>
        <w:gridCol w:w="817"/>
        <w:gridCol w:w="1141"/>
        <w:gridCol w:w="812"/>
        <w:gridCol w:w="943"/>
        <w:gridCol w:w="526"/>
        <w:gridCol w:w="543"/>
        <w:gridCol w:w="781"/>
        <w:gridCol w:w="847"/>
        <w:gridCol w:w="1133"/>
        <w:gridCol w:w="640"/>
        <w:gridCol w:w="1026"/>
        <w:gridCol w:w="949"/>
        <w:gridCol w:w="755"/>
      </w:tblGrid>
      <w:tr w:rsidR="00B23535" w:rsidTr="00844301">
        <w:trPr>
          <w:trHeight w:val="550"/>
        </w:trPr>
        <w:tc>
          <w:tcPr>
            <w:tcW w:w="5000" w:type="pct"/>
            <w:gridSpan w:val="13"/>
            <w:tcBorders>
              <w:top w:val="nil"/>
              <w:left w:val="nil"/>
              <w:bottom w:val="nil"/>
              <w:right w:val="nil"/>
            </w:tcBorders>
            <w:noWrap/>
            <w:vAlign w:val="bottom"/>
          </w:tcPr>
          <w:p w:rsidR="00B23535" w:rsidRDefault="00C23125" w:rsidP="00844301">
            <w:pPr>
              <w:widowControl/>
              <w:jc w:val="center"/>
              <w:textAlignment w:val="bottom"/>
              <w:rPr>
                <w:rFonts w:ascii="宋体" w:eastAsia="宋体" w:hAnsi="宋体"/>
                <w:color w:val="000000"/>
                <w:sz w:val="18"/>
                <w:szCs w:val="18"/>
              </w:rPr>
            </w:pPr>
            <w:r>
              <w:rPr>
                <w:rFonts w:ascii="方正仿宋_GB2312" w:eastAsia="方正仿宋_GB2312" w:hAnsi="方正仿宋_GB2312" w:cs="方正仿宋_GB2312" w:hint="eastAsia"/>
                <w:bCs/>
                <w:sz w:val="32"/>
                <w:szCs w:val="32"/>
              </w:rPr>
              <w:t>财政拨款“三公”经费支出决算表</w:t>
            </w:r>
          </w:p>
        </w:tc>
      </w:tr>
      <w:tr w:rsidR="00B23535" w:rsidTr="00844301">
        <w:trPr>
          <w:trHeight w:val="260"/>
        </w:trPr>
        <w:tc>
          <w:tcPr>
            <w:tcW w:w="5000" w:type="pct"/>
            <w:gridSpan w:val="13"/>
            <w:tcBorders>
              <w:top w:val="nil"/>
              <w:left w:val="nil"/>
              <w:bottom w:val="nil"/>
              <w:right w:val="nil"/>
            </w:tcBorders>
            <w:noWrap/>
            <w:vAlign w:val="bottom"/>
          </w:tcPr>
          <w:p w:rsidR="00B23535" w:rsidRDefault="00C23125" w:rsidP="00844301">
            <w:pPr>
              <w:widowControl/>
              <w:jc w:val="righ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公开</w:t>
            </w:r>
            <w:r>
              <w:rPr>
                <w:rFonts w:ascii="Times New Roman" w:eastAsia="方正仿宋_GB2312" w:hAnsi="Times New Roman" w:cs="Times New Roman"/>
                <w:color w:val="000000"/>
                <w:sz w:val="18"/>
                <w:szCs w:val="18"/>
              </w:rPr>
              <w:t>09</w:t>
            </w:r>
            <w:r>
              <w:rPr>
                <w:rFonts w:ascii="方正仿宋_GB2312" w:eastAsia="方正仿宋_GB2312" w:hAnsi="方正仿宋_GB2312" w:cs="方正仿宋_GB2312" w:hint="eastAsia"/>
                <w:color w:val="000000"/>
                <w:sz w:val="18"/>
                <w:szCs w:val="18"/>
              </w:rPr>
              <w:t>表</w:t>
            </w:r>
          </w:p>
        </w:tc>
      </w:tr>
      <w:tr w:rsidR="00B23535" w:rsidTr="00844301">
        <w:trPr>
          <w:trHeight w:val="260"/>
        </w:trPr>
        <w:tc>
          <w:tcPr>
            <w:tcW w:w="1942" w:type="pct"/>
            <w:gridSpan w:val="5"/>
            <w:tcBorders>
              <w:top w:val="nil"/>
              <w:left w:val="nil"/>
              <w:bottom w:val="single" w:sz="4" w:space="0" w:color="auto"/>
              <w:right w:val="nil"/>
            </w:tcBorders>
            <w:noWrap/>
            <w:vAlign w:val="bottom"/>
          </w:tcPr>
          <w:p w:rsidR="00B23535" w:rsidRDefault="00C23125" w:rsidP="00844301">
            <w:pPr>
              <w:widowControl/>
              <w:jc w:val="lef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部门（单位）：涞源县统计局</w:t>
            </w:r>
          </w:p>
        </w:tc>
        <w:tc>
          <w:tcPr>
            <w:tcW w:w="995" w:type="pct"/>
            <w:gridSpan w:val="3"/>
            <w:tcBorders>
              <w:top w:val="nil"/>
              <w:left w:val="nil"/>
              <w:bottom w:val="single" w:sz="4" w:space="0" w:color="auto"/>
              <w:right w:val="nil"/>
            </w:tcBorders>
            <w:noWrap/>
            <w:vAlign w:val="bottom"/>
          </w:tcPr>
          <w:p w:rsidR="00B23535" w:rsidRDefault="00C23125" w:rsidP="00844301">
            <w:pPr>
              <w:widowControl/>
              <w:jc w:val="center"/>
              <w:textAlignment w:val="bottom"/>
              <w:rPr>
                <w:rFonts w:ascii="宋体" w:eastAsia="宋体" w:hAnsi="宋体"/>
                <w:color w:val="000000"/>
                <w:sz w:val="18"/>
                <w:szCs w:val="18"/>
              </w:rPr>
            </w:pPr>
            <w:r>
              <w:rPr>
                <w:rFonts w:ascii="Times New Roman" w:eastAsia="宋体" w:hAnsi="Times New Roman" w:cs="Times New Roman"/>
                <w:color w:val="000000"/>
                <w:sz w:val="18"/>
                <w:szCs w:val="18"/>
              </w:rPr>
              <w:t>202</w:t>
            </w:r>
            <w:r>
              <w:rPr>
                <w:rFonts w:ascii="Times New Roman" w:eastAsia="宋体" w:hAnsi="Times New Roman" w:cs="Times New Roman" w:hint="eastAsia"/>
                <w:color w:val="000000"/>
                <w:sz w:val="18"/>
                <w:szCs w:val="18"/>
              </w:rPr>
              <w:t>4</w:t>
            </w:r>
            <w:r>
              <w:rPr>
                <w:rFonts w:ascii="方正仿宋_GB2312" w:eastAsia="方正仿宋_GB2312" w:hAnsi="方正仿宋_GB2312" w:cs="方正仿宋_GB2312" w:hint="eastAsia"/>
                <w:color w:val="000000"/>
                <w:sz w:val="18"/>
                <w:szCs w:val="18"/>
              </w:rPr>
              <w:t>年度</w:t>
            </w:r>
          </w:p>
        </w:tc>
        <w:tc>
          <w:tcPr>
            <w:tcW w:w="2063" w:type="pct"/>
            <w:gridSpan w:val="5"/>
            <w:tcBorders>
              <w:top w:val="nil"/>
              <w:left w:val="nil"/>
              <w:bottom w:val="single" w:sz="4" w:space="0" w:color="auto"/>
              <w:right w:val="nil"/>
            </w:tcBorders>
            <w:noWrap/>
            <w:vAlign w:val="bottom"/>
          </w:tcPr>
          <w:p w:rsidR="00B23535" w:rsidRDefault="00C23125" w:rsidP="00844301">
            <w:pPr>
              <w:widowControl/>
              <w:jc w:val="right"/>
              <w:textAlignment w:val="bottom"/>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金额单位：万元</w:t>
            </w:r>
          </w:p>
        </w:tc>
      </w:tr>
      <w:tr w:rsidR="00B23535" w:rsidTr="00844301">
        <w:trPr>
          <w:trHeight w:val="431"/>
        </w:trPr>
        <w:tc>
          <w:tcPr>
            <w:tcW w:w="2549" w:type="pct"/>
            <w:gridSpan w:val="7"/>
            <w:tcBorders>
              <w:top w:val="single" w:sz="4" w:space="0" w:color="auto"/>
              <w:left w:val="single" w:sz="4" w:space="0" w:color="000000"/>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预算数</w:t>
            </w:r>
          </w:p>
        </w:tc>
        <w:tc>
          <w:tcPr>
            <w:tcW w:w="2451" w:type="pct"/>
            <w:gridSpan w:val="6"/>
            <w:tcBorders>
              <w:top w:val="single" w:sz="4" w:space="0" w:color="auto"/>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决算数</w:t>
            </w:r>
          </w:p>
        </w:tc>
      </w:tr>
      <w:tr w:rsidR="00B23535" w:rsidTr="00844301">
        <w:trPr>
          <w:trHeight w:val="431"/>
        </w:trPr>
        <w:tc>
          <w:tcPr>
            <w:tcW w:w="374" w:type="pct"/>
            <w:vMerge w:val="restart"/>
            <w:tcBorders>
              <w:top w:val="nil"/>
              <w:left w:val="single" w:sz="4" w:space="0" w:color="000000"/>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合计</w:t>
            </w:r>
          </w:p>
        </w:tc>
        <w:tc>
          <w:tcPr>
            <w:tcW w:w="523" w:type="pct"/>
            <w:vMerge w:val="restar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因公出国（境）费</w:t>
            </w:r>
          </w:p>
        </w:tc>
        <w:tc>
          <w:tcPr>
            <w:tcW w:w="1294" w:type="pct"/>
            <w:gridSpan w:val="4"/>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公务用车购置及运行维护费</w:t>
            </w:r>
          </w:p>
        </w:tc>
        <w:tc>
          <w:tcPr>
            <w:tcW w:w="357" w:type="pct"/>
            <w:vMerge w:val="restar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公务接待费</w:t>
            </w:r>
          </w:p>
        </w:tc>
        <w:tc>
          <w:tcPr>
            <w:tcW w:w="388" w:type="pct"/>
            <w:vMerge w:val="restar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合计</w:t>
            </w:r>
          </w:p>
        </w:tc>
        <w:tc>
          <w:tcPr>
            <w:tcW w:w="519" w:type="pct"/>
            <w:vMerge w:val="restar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因公出国（境）费</w:t>
            </w:r>
          </w:p>
        </w:tc>
        <w:tc>
          <w:tcPr>
            <w:tcW w:w="1198" w:type="pct"/>
            <w:gridSpan w:val="3"/>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公务用车购置及运行维护费</w:t>
            </w:r>
          </w:p>
        </w:tc>
        <w:tc>
          <w:tcPr>
            <w:tcW w:w="346" w:type="pct"/>
            <w:vMerge w:val="restar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公务接待费</w:t>
            </w:r>
          </w:p>
        </w:tc>
      </w:tr>
      <w:tr w:rsidR="00B23535" w:rsidTr="00844301">
        <w:trPr>
          <w:trHeight w:val="431"/>
        </w:trPr>
        <w:tc>
          <w:tcPr>
            <w:tcW w:w="374" w:type="pct"/>
            <w:vMerge/>
            <w:tcBorders>
              <w:top w:val="nil"/>
              <w:left w:val="single" w:sz="4" w:space="0" w:color="000000"/>
              <w:bottom w:val="single" w:sz="4" w:space="0" w:color="000000"/>
              <w:right w:val="single" w:sz="4" w:space="0" w:color="000000"/>
            </w:tcBorders>
            <w:noWrap/>
            <w:vAlign w:val="center"/>
          </w:tcPr>
          <w:p w:rsidR="00B23535" w:rsidRDefault="00B23535" w:rsidP="00844301">
            <w:pPr>
              <w:jc w:val="center"/>
              <w:rPr>
                <w:rFonts w:ascii="方正仿宋_GB2312" w:eastAsia="方正仿宋_GB2312" w:hAnsi="方正仿宋_GB2312" w:cs="方正仿宋_GB2312"/>
                <w:color w:val="000000"/>
                <w:sz w:val="18"/>
                <w:szCs w:val="18"/>
              </w:rPr>
            </w:pPr>
          </w:p>
        </w:tc>
        <w:tc>
          <w:tcPr>
            <w:tcW w:w="523" w:type="pct"/>
            <w:vMerge/>
            <w:tcBorders>
              <w:top w:val="nil"/>
              <w:left w:val="nil"/>
              <w:bottom w:val="single" w:sz="4" w:space="0" w:color="000000"/>
              <w:right w:val="single" w:sz="4" w:space="0" w:color="000000"/>
            </w:tcBorders>
            <w:noWrap/>
            <w:vAlign w:val="center"/>
          </w:tcPr>
          <w:p w:rsidR="00B23535" w:rsidRDefault="00B23535" w:rsidP="00844301">
            <w:pPr>
              <w:jc w:val="center"/>
              <w:rPr>
                <w:rFonts w:ascii="方正仿宋_GB2312" w:eastAsia="方正仿宋_GB2312" w:hAnsi="方正仿宋_GB2312" w:cs="方正仿宋_GB2312"/>
                <w:color w:val="000000"/>
                <w:sz w:val="18"/>
                <w:szCs w:val="18"/>
              </w:rPr>
            </w:pPr>
          </w:p>
        </w:tc>
        <w:tc>
          <w:tcPr>
            <w:tcW w:w="372"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小计</w:t>
            </w:r>
          </w:p>
        </w:tc>
        <w:tc>
          <w:tcPr>
            <w:tcW w:w="432"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公务用车购置费</w:t>
            </w:r>
          </w:p>
        </w:tc>
        <w:tc>
          <w:tcPr>
            <w:tcW w:w="490" w:type="pct"/>
            <w:gridSpan w:val="2"/>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公务用车运行维护费</w:t>
            </w:r>
          </w:p>
        </w:tc>
        <w:tc>
          <w:tcPr>
            <w:tcW w:w="357" w:type="pct"/>
            <w:vMerge/>
            <w:tcBorders>
              <w:top w:val="nil"/>
              <w:left w:val="nil"/>
              <w:bottom w:val="single" w:sz="4" w:space="0" w:color="000000"/>
              <w:right w:val="single" w:sz="4" w:space="0" w:color="000000"/>
            </w:tcBorders>
            <w:noWrap/>
            <w:vAlign w:val="center"/>
          </w:tcPr>
          <w:p w:rsidR="00B23535" w:rsidRDefault="00B23535" w:rsidP="00844301">
            <w:pPr>
              <w:jc w:val="center"/>
              <w:rPr>
                <w:rFonts w:ascii="方正仿宋_GB2312" w:eastAsia="方正仿宋_GB2312" w:hAnsi="方正仿宋_GB2312" w:cs="方正仿宋_GB2312"/>
                <w:color w:val="000000"/>
                <w:sz w:val="18"/>
                <w:szCs w:val="18"/>
              </w:rPr>
            </w:pPr>
          </w:p>
        </w:tc>
        <w:tc>
          <w:tcPr>
            <w:tcW w:w="388" w:type="pct"/>
            <w:vMerge/>
            <w:tcBorders>
              <w:top w:val="nil"/>
              <w:left w:val="nil"/>
              <w:bottom w:val="single" w:sz="4" w:space="0" w:color="000000"/>
              <w:right w:val="single" w:sz="4" w:space="0" w:color="000000"/>
            </w:tcBorders>
            <w:noWrap/>
            <w:vAlign w:val="center"/>
          </w:tcPr>
          <w:p w:rsidR="00B23535" w:rsidRDefault="00B23535" w:rsidP="00844301">
            <w:pPr>
              <w:jc w:val="center"/>
              <w:rPr>
                <w:rFonts w:ascii="方正仿宋_GB2312" w:eastAsia="方正仿宋_GB2312" w:hAnsi="方正仿宋_GB2312" w:cs="方正仿宋_GB2312"/>
                <w:color w:val="000000"/>
                <w:sz w:val="18"/>
                <w:szCs w:val="18"/>
              </w:rPr>
            </w:pPr>
          </w:p>
        </w:tc>
        <w:tc>
          <w:tcPr>
            <w:tcW w:w="519" w:type="pct"/>
            <w:vMerge/>
            <w:tcBorders>
              <w:top w:val="nil"/>
              <w:left w:val="nil"/>
              <w:bottom w:val="single" w:sz="4" w:space="0" w:color="000000"/>
              <w:right w:val="single" w:sz="4" w:space="0" w:color="000000"/>
            </w:tcBorders>
            <w:noWrap/>
            <w:vAlign w:val="center"/>
          </w:tcPr>
          <w:p w:rsidR="00B23535" w:rsidRDefault="00B23535" w:rsidP="00844301">
            <w:pPr>
              <w:jc w:val="center"/>
              <w:rPr>
                <w:rFonts w:ascii="方正仿宋_GB2312" w:eastAsia="方正仿宋_GB2312" w:hAnsi="方正仿宋_GB2312" w:cs="方正仿宋_GB2312"/>
                <w:color w:val="000000"/>
                <w:sz w:val="18"/>
                <w:szCs w:val="18"/>
              </w:rPr>
            </w:pPr>
          </w:p>
        </w:tc>
        <w:tc>
          <w:tcPr>
            <w:tcW w:w="293"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小计</w:t>
            </w:r>
          </w:p>
        </w:tc>
        <w:tc>
          <w:tcPr>
            <w:tcW w:w="470"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公务用车购置费</w:t>
            </w:r>
          </w:p>
        </w:tc>
        <w:tc>
          <w:tcPr>
            <w:tcW w:w="435"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方正仿宋_GB2312" w:eastAsia="方正仿宋_GB2312" w:hAnsi="方正仿宋_GB2312" w:cs="方正仿宋_GB2312"/>
                <w:color w:val="000000"/>
                <w:sz w:val="18"/>
                <w:szCs w:val="18"/>
              </w:rPr>
            </w:pPr>
            <w:r>
              <w:rPr>
                <w:rFonts w:ascii="方正仿宋_GB2312" w:eastAsia="方正仿宋_GB2312" w:hAnsi="方正仿宋_GB2312" w:cs="方正仿宋_GB2312" w:hint="eastAsia"/>
                <w:color w:val="000000"/>
                <w:sz w:val="18"/>
                <w:szCs w:val="18"/>
              </w:rPr>
              <w:t>公务用车运行维护费</w:t>
            </w:r>
          </w:p>
        </w:tc>
        <w:tc>
          <w:tcPr>
            <w:tcW w:w="346" w:type="pct"/>
            <w:vMerge/>
            <w:tcBorders>
              <w:top w:val="nil"/>
              <w:left w:val="nil"/>
              <w:bottom w:val="single" w:sz="4" w:space="0" w:color="000000"/>
              <w:right w:val="single" w:sz="4" w:space="0" w:color="000000"/>
            </w:tcBorders>
            <w:noWrap/>
            <w:vAlign w:val="center"/>
          </w:tcPr>
          <w:p w:rsidR="00B23535" w:rsidRDefault="00B23535" w:rsidP="00844301">
            <w:pPr>
              <w:jc w:val="center"/>
              <w:rPr>
                <w:rFonts w:ascii="方正仿宋_GB2312" w:eastAsia="方正仿宋_GB2312" w:hAnsi="方正仿宋_GB2312" w:cs="方正仿宋_GB2312"/>
                <w:color w:val="000000"/>
                <w:sz w:val="18"/>
                <w:szCs w:val="18"/>
              </w:rPr>
            </w:pPr>
          </w:p>
        </w:tc>
      </w:tr>
      <w:tr w:rsidR="00B23535" w:rsidTr="00844301">
        <w:trPr>
          <w:trHeight w:val="431"/>
        </w:trPr>
        <w:tc>
          <w:tcPr>
            <w:tcW w:w="374" w:type="pct"/>
            <w:tcBorders>
              <w:top w:val="nil"/>
              <w:left w:val="single" w:sz="4" w:space="0" w:color="000000"/>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w:t>
            </w:r>
          </w:p>
        </w:tc>
        <w:tc>
          <w:tcPr>
            <w:tcW w:w="523"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w:t>
            </w:r>
          </w:p>
        </w:tc>
        <w:tc>
          <w:tcPr>
            <w:tcW w:w="372"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3</w:t>
            </w:r>
          </w:p>
        </w:tc>
        <w:tc>
          <w:tcPr>
            <w:tcW w:w="432"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4</w:t>
            </w:r>
          </w:p>
        </w:tc>
        <w:tc>
          <w:tcPr>
            <w:tcW w:w="490" w:type="pct"/>
            <w:gridSpan w:val="2"/>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5</w:t>
            </w:r>
          </w:p>
        </w:tc>
        <w:tc>
          <w:tcPr>
            <w:tcW w:w="357"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6</w:t>
            </w:r>
          </w:p>
        </w:tc>
        <w:tc>
          <w:tcPr>
            <w:tcW w:w="388"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7</w:t>
            </w:r>
          </w:p>
        </w:tc>
        <w:tc>
          <w:tcPr>
            <w:tcW w:w="519"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8</w:t>
            </w:r>
          </w:p>
        </w:tc>
        <w:tc>
          <w:tcPr>
            <w:tcW w:w="293"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9</w:t>
            </w:r>
          </w:p>
        </w:tc>
        <w:tc>
          <w:tcPr>
            <w:tcW w:w="470"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10</w:t>
            </w:r>
          </w:p>
        </w:tc>
        <w:tc>
          <w:tcPr>
            <w:tcW w:w="435"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11</w:t>
            </w:r>
          </w:p>
        </w:tc>
        <w:tc>
          <w:tcPr>
            <w:tcW w:w="346" w:type="pct"/>
            <w:tcBorders>
              <w:top w:val="nil"/>
              <w:left w:val="nil"/>
              <w:bottom w:val="single" w:sz="4" w:space="0" w:color="000000"/>
              <w:right w:val="single" w:sz="4" w:space="0" w:color="000000"/>
            </w:tcBorders>
            <w:noWrap/>
            <w:vAlign w:val="center"/>
          </w:tcPr>
          <w:p w:rsidR="00B23535" w:rsidRDefault="00C23125" w:rsidP="00844301">
            <w:pPr>
              <w:widowControl/>
              <w:jc w:val="center"/>
              <w:textAlignment w:val="center"/>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12</w:t>
            </w:r>
          </w:p>
        </w:tc>
      </w:tr>
      <w:tr w:rsidR="00B23535" w:rsidTr="00844301">
        <w:trPr>
          <w:trHeight w:val="431"/>
        </w:trPr>
        <w:tc>
          <w:tcPr>
            <w:tcW w:w="374" w:type="pct"/>
            <w:tcBorders>
              <w:top w:val="nil"/>
              <w:left w:val="single" w:sz="4" w:space="0" w:color="000000"/>
              <w:bottom w:val="single" w:sz="4" w:space="0" w:color="000000"/>
              <w:right w:val="single" w:sz="4" w:space="0" w:color="000000"/>
            </w:tcBorders>
            <w:noWrap/>
            <w:vAlign w:val="center"/>
          </w:tcPr>
          <w:p w:rsidR="00B23535" w:rsidRDefault="00C23125" w:rsidP="0084430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4.00</w:t>
            </w:r>
          </w:p>
        </w:tc>
        <w:tc>
          <w:tcPr>
            <w:tcW w:w="523" w:type="pct"/>
            <w:tcBorders>
              <w:top w:val="nil"/>
              <w:left w:val="nil"/>
              <w:bottom w:val="single" w:sz="4" w:space="0" w:color="000000"/>
              <w:right w:val="single" w:sz="4" w:space="0" w:color="000000"/>
            </w:tcBorders>
            <w:noWrap/>
            <w:vAlign w:val="center"/>
          </w:tcPr>
          <w:p w:rsidR="00B23535" w:rsidRDefault="00B23535" w:rsidP="00844301">
            <w:pPr>
              <w:jc w:val="right"/>
              <w:rPr>
                <w:rFonts w:ascii="Times New Roman" w:eastAsia="方正仿宋_GB2312" w:hAnsi="Times New Roman" w:cs="Times New Roman"/>
                <w:color w:val="000000"/>
                <w:sz w:val="18"/>
                <w:szCs w:val="18"/>
              </w:rPr>
            </w:pPr>
          </w:p>
        </w:tc>
        <w:tc>
          <w:tcPr>
            <w:tcW w:w="372" w:type="pct"/>
            <w:tcBorders>
              <w:top w:val="nil"/>
              <w:left w:val="nil"/>
              <w:bottom w:val="single" w:sz="4" w:space="0" w:color="000000"/>
              <w:right w:val="single" w:sz="4" w:space="0" w:color="000000"/>
            </w:tcBorders>
            <w:noWrap/>
            <w:vAlign w:val="center"/>
          </w:tcPr>
          <w:p w:rsidR="00B23535" w:rsidRDefault="00C23125" w:rsidP="0084430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3.00</w:t>
            </w:r>
          </w:p>
        </w:tc>
        <w:tc>
          <w:tcPr>
            <w:tcW w:w="432" w:type="pct"/>
            <w:tcBorders>
              <w:top w:val="nil"/>
              <w:left w:val="nil"/>
              <w:bottom w:val="single" w:sz="4" w:space="0" w:color="000000"/>
              <w:right w:val="single" w:sz="4" w:space="0" w:color="000000"/>
            </w:tcBorders>
            <w:noWrap/>
            <w:vAlign w:val="center"/>
          </w:tcPr>
          <w:p w:rsidR="00B23535" w:rsidRDefault="00B23535" w:rsidP="00844301">
            <w:pPr>
              <w:jc w:val="right"/>
              <w:rPr>
                <w:rFonts w:ascii="Times New Roman" w:eastAsia="方正仿宋_GB2312" w:hAnsi="Times New Roman" w:cs="Times New Roman"/>
                <w:color w:val="000000"/>
                <w:sz w:val="18"/>
                <w:szCs w:val="18"/>
              </w:rPr>
            </w:pPr>
          </w:p>
        </w:tc>
        <w:tc>
          <w:tcPr>
            <w:tcW w:w="490" w:type="pct"/>
            <w:gridSpan w:val="2"/>
            <w:tcBorders>
              <w:top w:val="nil"/>
              <w:left w:val="nil"/>
              <w:bottom w:val="single" w:sz="4" w:space="0" w:color="000000"/>
              <w:right w:val="single" w:sz="4" w:space="0" w:color="000000"/>
            </w:tcBorders>
            <w:noWrap/>
            <w:vAlign w:val="center"/>
          </w:tcPr>
          <w:p w:rsidR="00B23535" w:rsidRDefault="00C23125" w:rsidP="0084430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3.00</w:t>
            </w:r>
          </w:p>
        </w:tc>
        <w:tc>
          <w:tcPr>
            <w:tcW w:w="357" w:type="pct"/>
            <w:tcBorders>
              <w:top w:val="nil"/>
              <w:left w:val="nil"/>
              <w:bottom w:val="single" w:sz="4" w:space="0" w:color="000000"/>
              <w:right w:val="single" w:sz="4" w:space="0" w:color="000000"/>
            </w:tcBorders>
            <w:noWrap/>
            <w:vAlign w:val="center"/>
          </w:tcPr>
          <w:p w:rsidR="00B23535" w:rsidRDefault="00C23125" w:rsidP="0084430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1.00</w:t>
            </w:r>
          </w:p>
        </w:tc>
        <w:tc>
          <w:tcPr>
            <w:tcW w:w="388" w:type="pct"/>
            <w:tcBorders>
              <w:top w:val="nil"/>
              <w:left w:val="nil"/>
              <w:bottom w:val="single" w:sz="4" w:space="0" w:color="000000"/>
              <w:right w:val="single" w:sz="4" w:space="0" w:color="000000"/>
            </w:tcBorders>
            <w:noWrap/>
            <w:vAlign w:val="center"/>
          </w:tcPr>
          <w:p w:rsidR="00B23535" w:rsidRDefault="00C23125" w:rsidP="0084430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2.97</w:t>
            </w:r>
          </w:p>
        </w:tc>
        <w:tc>
          <w:tcPr>
            <w:tcW w:w="519" w:type="pct"/>
            <w:tcBorders>
              <w:top w:val="nil"/>
              <w:left w:val="nil"/>
              <w:bottom w:val="single" w:sz="4" w:space="0" w:color="000000"/>
              <w:right w:val="single" w:sz="4" w:space="0" w:color="000000"/>
            </w:tcBorders>
            <w:noWrap/>
            <w:vAlign w:val="center"/>
          </w:tcPr>
          <w:p w:rsidR="00B23535" w:rsidRDefault="00B23535" w:rsidP="00844301">
            <w:pPr>
              <w:jc w:val="right"/>
              <w:rPr>
                <w:rFonts w:ascii="Times New Roman" w:eastAsia="方正仿宋_GB2312" w:hAnsi="Times New Roman" w:cs="Times New Roman"/>
                <w:color w:val="000000"/>
                <w:sz w:val="18"/>
                <w:szCs w:val="18"/>
              </w:rPr>
            </w:pPr>
          </w:p>
        </w:tc>
        <w:tc>
          <w:tcPr>
            <w:tcW w:w="293" w:type="pct"/>
            <w:tcBorders>
              <w:top w:val="nil"/>
              <w:left w:val="nil"/>
              <w:bottom w:val="single" w:sz="4" w:space="0" w:color="000000"/>
              <w:right w:val="single" w:sz="4" w:space="0" w:color="000000"/>
            </w:tcBorders>
            <w:noWrap/>
            <w:vAlign w:val="center"/>
          </w:tcPr>
          <w:p w:rsidR="00B23535" w:rsidRDefault="00C23125" w:rsidP="0084430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2.97</w:t>
            </w:r>
          </w:p>
        </w:tc>
        <w:tc>
          <w:tcPr>
            <w:tcW w:w="470" w:type="pct"/>
            <w:tcBorders>
              <w:top w:val="nil"/>
              <w:left w:val="nil"/>
              <w:bottom w:val="single" w:sz="4" w:space="0" w:color="000000"/>
              <w:right w:val="single" w:sz="4" w:space="0" w:color="000000"/>
            </w:tcBorders>
            <w:noWrap/>
            <w:vAlign w:val="center"/>
          </w:tcPr>
          <w:p w:rsidR="00B23535" w:rsidRDefault="00B23535" w:rsidP="00844301">
            <w:pPr>
              <w:jc w:val="right"/>
              <w:rPr>
                <w:rFonts w:ascii="Times New Roman" w:eastAsia="方正仿宋_GB2312" w:hAnsi="Times New Roman" w:cs="Times New Roman"/>
                <w:color w:val="000000"/>
                <w:sz w:val="18"/>
                <w:szCs w:val="18"/>
              </w:rPr>
            </w:pPr>
          </w:p>
        </w:tc>
        <w:tc>
          <w:tcPr>
            <w:tcW w:w="435" w:type="pct"/>
            <w:tcBorders>
              <w:top w:val="nil"/>
              <w:left w:val="nil"/>
              <w:bottom w:val="single" w:sz="4" w:space="0" w:color="000000"/>
              <w:right w:val="single" w:sz="4" w:space="0" w:color="000000"/>
            </w:tcBorders>
            <w:noWrap/>
            <w:vAlign w:val="center"/>
          </w:tcPr>
          <w:p w:rsidR="00B23535" w:rsidRDefault="00C23125" w:rsidP="00844301">
            <w:pPr>
              <w:jc w:val="right"/>
              <w:rPr>
                <w:rFonts w:ascii="Times New Roman" w:eastAsia="方正仿宋_GB2312" w:hAnsi="Times New Roman" w:cs="Times New Roman"/>
                <w:color w:val="000000"/>
                <w:sz w:val="18"/>
                <w:szCs w:val="18"/>
              </w:rPr>
            </w:pPr>
            <w:r>
              <w:rPr>
                <w:rFonts w:ascii="Times New Roman" w:eastAsia="方正仿宋_GB2312" w:hAnsi="Times New Roman" w:cs="Times New Roman"/>
                <w:color w:val="000000"/>
                <w:sz w:val="18"/>
                <w:szCs w:val="18"/>
              </w:rPr>
              <w:t>2.97</w:t>
            </w:r>
          </w:p>
        </w:tc>
        <w:tc>
          <w:tcPr>
            <w:tcW w:w="346" w:type="pct"/>
            <w:tcBorders>
              <w:top w:val="nil"/>
              <w:left w:val="nil"/>
              <w:bottom w:val="single" w:sz="4" w:space="0" w:color="000000"/>
              <w:right w:val="single" w:sz="4" w:space="0" w:color="000000"/>
            </w:tcBorders>
            <w:noWrap/>
            <w:vAlign w:val="center"/>
          </w:tcPr>
          <w:p w:rsidR="00B23535" w:rsidRDefault="00B23535" w:rsidP="00844301">
            <w:pPr>
              <w:jc w:val="right"/>
              <w:rPr>
                <w:rFonts w:ascii="Times New Roman" w:eastAsia="方正仿宋_GB2312" w:hAnsi="Times New Roman" w:cs="Times New Roman"/>
                <w:color w:val="000000"/>
                <w:sz w:val="18"/>
                <w:szCs w:val="18"/>
              </w:rPr>
            </w:pPr>
          </w:p>
        </w:tc>
      </w:tr>
      <w:tr w:rsidR="00B23535" w:rsidTr="00844301">
        <w:trPr>
          <w:trHeight w:val="431"/>
        </w:trPr>
        <w:tc>
          <w:tcPr>
            <w:tcW w:w="5000" w:type="pct"/>
            <w:gridSpan w:val="13"/>
            <w:tcBorders>
              <w:top w:val="nil"/>
              <w:left w:val="nil"/>
              <w:bottom w:val="nil"/>
              <w:right w:val="nil"/>
            </w:tcBorders>
            <w:noWrap/>
            <w:vAlign w:val="center"/>
          </w:tcPr>
          <w:p w:rsidR="00B23535" w:rsidRDefault="00C23125" w:rsidP="00844301">
            <w:pPr>
              <w:widowControl/>
              <w:jc w:val="left"/>
              <w:textAlignment w:val="center"/>
              <w:rPr>
                <w:rFonts w:ascii="宋体" w:eastAsia="宋体" w:hAnsi="宋体"/>
                <w:color w:val="000000"/>
                <w:sz w:val="18"/>
                <w:szCs w:val="18"/>
              </w:rPr>
            </w:pPr>
            <w:r>
              <w:rPr>
                <w:rFonts w:ascii="方正仿宋_GB2312" w:eastAsia="方正仿宋_GB2312" w:hAnsi="方正仿宋_GB2312" w:cs="方正仿宋_GB2312" w:hint="eastAsia"/>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rsidR="00B23535" w:rsidRDefault="00B23535">
      <w:pPr>
        <w:rPr>
          <w:rFonts w:ascii="仿宋_GB2312" w:eastAsia="仿宋_GB2312" w:hAnsi="宋体"/>
          <w:b/>
          <w:sz w:val="32"/>
          <w:szCs w:val="32"/>
        </w:rPr>
      </w:pPr>
    </w:p>
    <w:p w:rsidR="00B23535" w:rsidRDefault="00C23125">
      <w:pPr>
        <w:rPr>
          <w:rFonts w:ascii="仿宋_GB2312" w:eastAsia="仿宋_GB2312" w:hAnsi="宋体"/>
          <w:b/>
          <w:sz w:val="32"/>
          <w:szCs w:val="32"/>
        </w:rPr>
      </w:pPr>
      <w:r>
        <w:rPr>
          <w:rFonts w:ascii="仿宋_GB2312" w:eastAsia="仿宋_GB2312" w:hAnsi="宋体" w:hint="eastAsia"/>
          <w:b/>
          <w:sz w:val="32"/>
          <w:szCs w:val="32"/>
        </w:rPr>
        <w:br w:type="page"/>
      </w:r>
    </w:p>
    <w:p w:rsidR="00B23535" w:rsidRDefault="00B23535">
      <w:pPr>
        <w:rPr>
          <w:rFonts w:ascii="仿宋_GB2312" w:eastAsia="仿宋_GB2312" w:hAnsi="宋体"/>
          <w:b/>
          <w:sz w:val="32"/>
          <w:szCs w:val="32"/>
        </w:rPr>
        <w:sectPr w:rsidR="00B23535">
          <w:headerReference w:type="default" r:id="rId15"/>
          <w:footerReference w:type="default" r:id="rId16"/>
          <w:pgSz w:w="11906" w:h="16838"/>
          <w:pgMar w:top="1531" w:right="1984" w:bottom="1531" w:left="2098" w:header="851" w:footer="992" w:gutter="0"/>
          <w:cols w:space="720"/>
          <w:docGrid w:type="lines" w:linePitch="312"/>
        </w:sectPr>
      </w:pPr>
    </w:p>
    <w:p w:rsidR="00B23535" w:rsidRDefault="00C23125">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rsidR="00AB044E" w:rsidRDefault="00AB044E">
      <w:pPr>
        <w:widowControl/>
        <w:spacing w:line="360" w:lineRule="auto"/>
        <w:jc w:val="left"/>
        <w:outlineLvl w:val="1"/>
        <w:rPr>
          <w:rFonts w:ascii="Times New Roman" w:eastAsia="黑体"/>
          <w:sz w:val="32"/>
          <w:szCs w:val="32"/>
        </w:rPr>
      </w:pPr>
      <w:r>
        <w:rPr>
          <w:rFonts w:ascii="Times New Roman" w:eastAsia="黑体" w:hint="eastAsia"/>
          <w:sz w:val="32"/>
          <w:szCs w:val="32"/>
        </w:rPr>
        <w:t xml:space="preserve">   </w:t>
      </w:r>
    </w:p>
    <w:p w:rsidR="00B23535" w:rsidRDefault="00AB044E">
      <w:pPr>
        <w:widowControl/>
        <w:spacing w:line="360" w:lineRule="auto"/>
        <w:jc w:val="left"/>
        <w:outlineLvl w:val="1"/>
        <w:rPr>
          <w:rFonts w:ascii="Times New Roman" w:eastAsia="黑体"/>
          <w:sz w:val="32"/>
          <w:szCs w:val="32"/>
        </w:rPr>
      </w:pPr>
      <w:r>
        <w:rPr>
          <w:rFonts w:ascii="Times New Roman" w:eastAsia="黑体" w:hint="eastAsia"/>
          <w:sz w:val="32"/>
          <w:szCs w:val="32"/>
        </w:rPr>
        <w:t xml:space="preserve">    </w:t>
      </w:r>
      <w:r w:rsidR="00C23125">
        <w:rPr>
          <w:rFonts w:ascii="Times New Roman" w:eastAsia="黑体"/>
          <w:sz w:val="32"/>
          <w:szCs w:val="32"/>
        </w:rPr>
        <w:t>一、收入支出决算总体情况说明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年度收、支总计（含结转和结余）均为</w:t>
      </w:r>
      <w:r>
        <w:rPr>
          <w:rFonts w:ascii="Times New Roman" w:eastAsia="仿宋_GB2312"/>
          <w:sz w:val="32"/>
          <w:szCs w:val="32"/>
        </w:rPr>
        <w:t>331.25</w:t>
      </w:r>
      <w:r>
        <w:rPr>
          <w:rFonts w:ascii="Times New Roman" w:eastAsia="仿宋_GB2312"/>
          <w:sz w:val="32"/>
          <w:szCs w:val="32"/>
        </w:rPr>
        <w:t>万元。与</w:t>
      </w:r>
      <w:r>
        <w:rPr>
          <w:rFonts w:ascii="Times New Roman" w:eastAsia="仿宋_GB2312"/>
          <w:sz w:val="32"/>
          <w:szCs w:val="32"/>
        </w:rPr>
        <w:t>2023</w:t>
      </w:r>
      <w:r>
        <w:rPr>
          <w:rFonts w:ascii="Times New Roman" w:eastAsia="仿宋_GB2312"/>
          <w:sz w:val="32"/>
          <w:szCs w:val="32"/>
        </w:rPr>
        <w:t>年度决算相比，收支各减少</w:t>
      </w:r>
      <w:r>
        <w:rPr>
          <w:rFonts w:ascii="Times New Roman" w:eastAsia="仿宋_GB2312"/>
          <w:sz w:val="32"/>
          <w:szCs w:val="32"/>
        </w:rPr>
        <w:t>3.38</w:t>
      </w:r>
      <w:r>
        <w:rPr>
          <w:rFonts w:ascii="Times New Roman" w:eastAsia="仿宋_GB2312"/>
          <w:sz w:val="32"/>
          <w:szCs w:val="32"/>
        </w:rPr>
        <w:t>万元，下降</w:t>
      </w:r>
      <w:r w:rsidR="00844301">
        <w:rPr>
          <w:rFonts w:ascii="Times New Roman" w:eastAsia="仿宋_GB2312"/>
          <w:sz w:val="32"/>
          <w:szCs w:val="32"/>
        </w:rPr>
        <w:t>1</w:t>
      </w:r>
      <w:r>
        <w:rPr>
          <w:rFonts w:ascii="Times New Roman" w:eastAsia="仿宋_GB2312"/>
          <w:sz w:val="32"/>
          <w:szCs w:val="32"/>
        </w:rPr>
        <w:t>%</w:t>
      </w:r>
      <w:r>
        <w:rPr>
          <w:rFonts w:ascii="Times New Roman" w:eastAsia="仿宋_GB2312"/>
          <w:sz w:val="32"/>
          <w:szCs w:val="32"/>
        </w:rPr>
        <w:t>，主要原因是</w:t>
      </w:r>
      <w:r>
        <w:rPr>
          <w:rFonts w:ascii="Times New Roman" w:eastAsia="仿宋_GB2312"/>
          <w:sz w:val="32"/>
          <w:szCs w:val="32"/>
        </w:rPr>
        <w:t xml:space="preserve"> 202</w:t>
      </w:r>
      <w:r>
        <w:rPr>
          <w:rFonts w:ascii="Times New Roman" w:eastAsia="仿宋_GB2312" w:hint="eastAsia"/>
          <w:sz w:val="32"/>
          <w:szCs w:val="32"/>
        </w:rPr>
        <w:t>4</w:t>
      </w:r>
      <w:r>
        <w:rPr>
          <w:rFonts w:ascii="Times New Roman" w:eastAsia="仿宋_GB2312"/>
          <w:sz w:val="32"/>
          <w:szCs w:val="32"/>
        </w:rPr>
        <w:t>年退休</w:t>
      </w:r>
      <w:r>
        <w:rPr>
          <w:rFonts w:ascii="Times New Roman" w:eastAsia="仿宋_GB2312"/>
          <w:sz w:val="32"/>
          <w:szCs w:val="32"/>
        </w:rPr>
        <w:t xml:space="preserve"> </w:t>
      </w:r>
      <w:r>
        <w:rPr>
          <w:rFonts w:ascii="Times New Roman" w:eastAsia="仿宋_GB2312" w:hint="eastAsia"/>
          <w:sz w:val="32"/>
          <w:szCs w:val="32"/>
        </w:rPr>
        <w:t>3</w:t>
      </w:r>
      <w:r>
        <w:rPr>
          <w:rFonts w:ascii="Times New Roman" w:eastAsia="仿宋_GB2312"/>
          <w:sz w:val="32"/>
          <w:szCs w:val="32"/>
        </w:rPr>
        <w:t>人</w:t>
      </w:r>
      <w:r>
        <w:rPr>
          <w:rFonts w:ascii="Times New Roman" w:eastAsia="仿宋_GB2312" w:hint="eastAsia"/>
          <w:sz w:val="32"/>
          <w:szCs w:val="32"/>
        </w:rPr>
        <w:t>，导致收支下降</w:t>
      </w:r>
      <w:r>
        <w:rPr>
          <w:rFonts w:ascii="Times New Roman" w:eastAsia="仿宋_GB2312"/>
          <w:sz w:val="32"/>
          <w:szCs w:val="32"/>
        </w:rPr>
        <w:t>。</w:t>
      </w:r>
    </w:p>
    <w:p w:rsidR="00B23535" w:rsidRDefault="00C23125">
      <w:pPr>
        <w:pStyle w:val="a7"/>
        <w:widowControl/>
        <w:spacing w:beforeAutospacing="0" w:afterAutospacing="0"/>
        <w:jc w:val="center"/>
        <w:rPr>
          <w:rFonts w:ascii="Times New Roman" w:eastAsia="Arial" w:hAnsi="Times New Roman"/>
        </w:rPr>
      </w:pPr>
      <w:r>
        <w:rPr>
          <w:rFonts w:ascii="Times New Roman" w:eastAsia="宋体" w:hAnsi="Times New Roman" w:hint="eastAsia"/>
          <w:noProof/>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ascii="Times New Roman" w:eastAsia="Arial" w:hAnsi="Times New Roman"/>
          <w:color w:val="000000"/>
          <w:sz w:val="18"/>
          <w:szCs w:val="18"/>
          <w:shd w:val="clear" w:color="auto" w:fill="FFFFFF"/>
        </w:rPr>
        <w:t> </w:t>
      </w:r>
    </w:p>
    <w:p w:rsidR="00B23535" w:rsidRDefault="00AB044E">
      <w:pPr>
        <w:widowControl/>
        <w:spacing w:line="360" w:lineRule="auto"/>
        <w:jc w:val="left"/>
        <w:outlineLvl w:val="1"/>
        <w:rPr>
          <w:rFonts w:ascii="Times New Roman" w:eastAsia="黑体"/>
          <w:sz w:val="32"/>
          <w:szCs w:val="32"/>
        </w:rPr>
      </w:pPr>
      <w:r>
        <w:rPr>
          <w:rFonts w:ascii="Times New Roman" w:eastAsia="黑体" w:hint="eastAsia"/>
          <w:sz w:val="32"/>
          <w:szCs w:val="32"/>
        </w:rPr>
        <w:t xml:space="preserve">    </w:t>
      </w:r>
      <w:r w:rsidR="00C23125">
        <w:rPr>
          <w:rFonts w:ascii="Times New Roman" w:eastAsia="黑体"/>
          <w:sz w:val="32"/>
          <w:szCs w:val="32"/>
        </w:rPr>
        <w:t>二、收入决算情况说明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年度本年收入合计</w:t>
      </w:r>
      <w:r>
        <w:rPr>
          <w:rFonts w:ascii="Times New Roman" w:eastAsia="仿宋_GB2312"/>
          <w:sz w:val="32"/>
          <w:szCs w:val="32"/>
        </w:rPr>
        <w:t>331.22</w:t>
      </w:r>
      <w:r>
        <w:rPr>
          <w:rFonts w:ascii="Times New Roman" w:eastAsia="仿宋_GB2312"/>
          <w:sz w:val="32"/>
          <w:szCs w:val="32"/>
        </w:rPr>
        <w:t>万元，其中：财政拨款收入</w:t>
      </w:r>
      <w:r w:rsidR="008253F5">
        <w:rPr>
          <w:rFonts w:ascii="Times New Roman" w:eastAsia="仿宋_GB2312"/>
          <w:sz w:val="32"/>
          <w:szCs w:val="32"/>
        </w:rPr>
        <w:t>323.</w:t>
      </w:r>
      <w:r w:rsidR="008253F5">
        <w:rPr>
          <w:rFonts w:ascii="Times New Roman" w:eastAsia="仿宋_GB2312" w:hint="eastAsia"/>
          <w:sz w:val="32"/>
          <w:szCs w:val="32"/>
        </w:rPr>
        <w:t>7</w:t>
      </w:r>
      <w:r>
        <w:rPr>
          <w:rFonts w:ascii="Times New Roman" w:eastAsia="仿宋_GB2312"/>
          <w:sz w:val="32"/>
          <w:szCs w:val="32"/>
        </w:rPr>
        <w:t>万元，占</w:t>
      </w:r>
      <w:r>
        <w:rPr>
          <w:rFonts w:ascii="Times New Roman" w:eastAsia="仿宋_GB2312"/>
          <w:sz w:val="32"/>
          <w:szCs w:val="32"/>
        </w:rPr>
        <w:t>97.7%</w:t>
      </w:r>
      <w:r>
        <w:rPr>
          <w:rFonts w:ascii="Times New Roman" w:eastAsia="仿宋_GB2312"/>
          <w:sz w:val="32"/>
          <w:szCs w:val="32"/>
        </w:rPr>
        <w:t>；其他收入</w:t>
      </w:r>
      <w:r>
        <w:rPr>
          <w:rFonts w:ascii="Times New Roman" w:eastAsia="仿宋_GB2312"/>
          <w:sz w:val="32"/>
          <w:szCs w:val="32"/>
        </w:rPr>
        <w:t>7.52</w:t>
      </w:r>
      <w:r>
        <w:rPr>
          <w:rFonts w:ascii="Times New Roman" w:eastAsia="仿宋_GB2312"/>
          <w:sz w:val="32"/>
          <w:szCs w:val="32"/>
        </w:rPr>
        <w:t>万元，占</w:t>
      </w:r>
      <w:r>
        <w:rPr>
          <w:rFonts w:ascii="Times New Roman" w:eastAsia="仿宋_GB2312"/>
          <w:sz w:val="32"/>
          <w:szCs w:val="32"/>
        </w:rPr>
        <w:t>2.3%</w:t>
      </w:r>
      <w:r>
        <w:rPr>
          <w:rFonts w:ascii="Times New Roman" w:eastAsia="仿宋_GB2312"/>
          <w:sz w:val="32"/>
          <w:szCs w:val="32"/>
        </w:rPr>
        <w:t>。</w:t>
      </w:r>
    </w:p>
    <w:p w:rsidR="00B23535" w:rsidRDefault="00C23125">
      <w:pPr>
        <w:adjustRightInd w:val="0"/>
        <w:snapToGrid w:val="0"/>
        <w:spacing w:line="580" w:lineRule="exact"/>
        <w:rPr>
          <w:rFonts w:ascii="Times New Roman" w:eastAsia="仿宋_GB2312" w:hAnsi="Times New Roman" w:cs="Times New Roman"/>
          <w:kern w:val="2"/>
          <w:sz w:val="32"/>
          <w:szCs w:val="32"/>
          <w:highlight w:val="yellow"/>
          <w:lang w:val="zh-CN"/>
        </w:rPr>
      </w:pPr>
      <w:r>
        <w:rPr>
          <w:rFonts w:ascii="Times New Roman" w:eastAsia="仿宋_GB2312" w:hAnsi="Times New Roman"/>
          <w:noProof/>
          <w:kern w:val="2"/>
          <w:sz w:val="32"/>
          <w:szCs w:val="32"/>
          <w:highlight w:val="yellow"/>
        </w:rPr>
        <w:drawing>
          <wp:anchor distT="0" distB="0" distL="114300" distR="114300" simplePos="0" relativeHeight="251661312" behindDoc="0" locked="0" layoutInCell="1" allowOverlap="1">
            <wp:simplePos x="0" y="0"/>
            <wp:positionH relativeFrom="column">
              <wp:posOffset>309880</wp:posOffset>
            </wp:positionH>
            <wp:positionV relativeFrom="paragraph">
              <wp:posOffset>144145</wp:posOffset>
            </wp:positionV>
            <wp:extent cx="5256530" cy="2988310"/>
            <wp:effectExtent l="19050" t="0" r="20320" b="254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B23535" w:rsidRDefault="00844301">
      <w:pPr>
        <w:widowControl/>
        <w:spacing w:line="360" w:lineRule="auto"/>
        <w:jc w:val="left"/>
        <w:outlineLvl w:val="1"/>
        <w:rPr>
          <w:rFonts w:ascii="Times New Roman" w:eastAsia="黑体"/>
          <w:sz w:val="32"/>
          <w:szCs w:val="32"/>
        </w:rPr>
      </w:pPr>
      <w:r>
        <w:rPr>
          <w:rFonts w:ascii="Times New Roman" w:eastAsia="黑体" w:hint="eastAsia"/>
          <w:sz w:val="32"/>
          <w:szCs w:val="32"/>
        </w:rPr>
        <w:t xml:space="preserve">    </w:t>
      </w:r>
      <w:r w:rsidR="00C23125">
        <w:rPr>
          <w:rFonts w:ascii="Times New Roman" w:eastAsia="黑体"/>
          <w:sz w:val="32"/>
          <w:szCs w:val="32"/>
        </w:rPr>
        <w:t>三、支出决算情况说明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年度本年支出合计</w:t>
      </w:r>
      <w:r>
        <w:rPr>
          <w:rFonts w:ascii="Times New Roman" w:eastAsia="仿宋_GB2312"/>
          <w:sz w:val="32"/>
          <w:szCs w:val="32"/>
        </w:rPr>
        <w:t>331.22</w:t>
      </w:r>
      <w:r>
        <w:rPr>
          <w:rFonts w:ascii="Times New Roman" w:eastAsia="仿宋_GB2312"/>
          <w:sz w:val="32"/>
          <w:szCs w:val="32"/>
        </w:rPr>
        <w:t>万元，其中：基本支出</w:t>
      </w:r>
      <w:r>
        <w:rPr>
          <w:rFonts w:ascii="Times New Roman" w:eastAsia="仿宋_GB2312"/>
          <w:sz w:val="32"/>
          <w:szCs w:val="32"/>
        </w:rPr>
        <w:t>254.12</w:t>
      </w:r>
      <w:r>
        <w:rPr>
          <w:rFonts w:ascii="Times New Roman" w:eastAsia="仿宋_GB2312"/>
          <w:sz w:val="32"/>
          <w:szCs w:val="32"/>
        </w:rPr>
        <w:t>万元，占</w:t>
      </w:r>
      <w:r>
        <w:rPr>
          <w:rFonts w:ascii="Times New Roman" w:eastAsia="仿宋_GB2312"/>
          <w:sz w:val="32"/>
          <w:szCs w:val="32"/>
        </w:rPr>
        <w:t>76.7%</w:t>
      </w:r>
      <w:r>
        <w:rPr>
          <w:rFonts w:ascii="Times New Roman" w:eastAsia="仿宋_GB2312"/>
          <w:sz w:val="32"/>
          <w:szCs w:val="32"/>
        </w:rPr>
        <w:t>；项目支出</w:t>
      </w:r>
      <w:r w:rsidR="0085034A">
        <w:rPr>
          <w:rFonts w:ascii="Times New Roman" w:eastAsia="仿宋_GB2312"/>
          <w:sz w:val="32"/>
          <w:szCs w:val="32"/>
        </w:rPr>
        <w:t>77.1</w:t>
      </w:r>
      <w:r>
        <w:rPr>
          <w:rFonts w:ascii="Times New Roman" w:eastAsia="仿宋_GB2312"/>
          <w:sz w:val="32"/>
          <w:szCs w:val="32"/>
        </w:rPr>
        <w:t>万元，占</w:t>
      </w:r>
      <w:r>
        <w:rPr>
          <w:rFonts w:ascii="Times New Roman" w:eastAsia="仿宋_GB2312"/>
          <w:sz w:val="32"/>
          <w:szCs w:val="32"/>
        </w:rPr>
        <w:t>23.3%</w:t>
      </w:r>
      <w:r w:rsidR="00844301">
        <w:rPr>
          <w:rFonts w:ascii="Times New Roman" w:eastAsia="仿宋_GB2312" w:hint="eastAsia"/>
          <w:sz w:val="32"/>
          <w:szCs w:val="32"/>
        </w:rPr>
        <w:t>。</w:t>
      </w:r>
      <w:r w:rsidR="00844301">
        <w:rPr>
          <w:rFonts w:ascii="Times New Roman" w:eastAsia="仿宋_GB2312"/>
          <w:sz w:val="32"/>
          <w:szCs w:val="32"/>
        </w:rPr>
        <w:t xml:space="preserve"> </w:t>
      </w:r>
    </w:p>
    <w:p w:rsidR="00B23535" w:rsidRDefault="00C23125">
      <w:pPr>
        <w:autoSpaceDE w:val="0"/>
        <w:autoSpaceDN w:val="0"/>
        <w:adjustRightInd w:val="0"/>
        <w:jc w:val="center"/>
        <w:rPr>
          <w:rFonts w:ascii="Times New Roman" w:eastAsia="仿宋_GB2312" w:hAnsi="Times New Roman" w:cs="Times New Roman"/>
          <w:sz w:val="32"/>
          <w:szCs w:val="32"/>
        </w:rPr>
      </w:pPr>
      <w:r>
        <w:rPr>
          <w:rFonts w:ascii="Times New Roman" w:eastAsia="仿宋_GB2312" w:hAnsi="Times New Roman" w:cs="Times New Roman"/>
          <w:noProof/>
          <w:sz w:val="32"/>
          <w:szCs w:val="32"/>
        </w:rPr>
        <w:drawing>
          <wp:inline distT="0" distB="0" distL="114300" distR="114300">
            <wp:extent cx="5256530" cy="2988310"/>
            <wp:effectExtent l="19050" t="0" r="20320" b="254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23535" w:rsidRDefault="00C23125">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四、财政拨款收入支出决算总体情况说明</w:t>
      </w:r>
    </w:p>
    <w:p w:rsidR="00B23535" w:rsidRDefault="00C23125">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年度财政拨款收、支总计（含结转和结余）均为</w:t>
      </w:r>
      <w:r w:rsidR="00844301">
        <w:rPr>
          <w:rFonts w:ascii="Times New Roman" w:eastAsia="仿宋_GB2312"/>
          <w:sz w:val="32"/>
          <w:szCs w:val="32"/>
        </w:rPr>
        <w:t>323.7</w:t>
      </w:r>
      <w:r>
        <w:rPr>
          <w:rFonts w:ascii="Times New Roman" w:eastAsia="仿宋_GB2312"/>
          <w:sz w:val="32"/>
          <w:szCs w:val="32"/>
        </w:rPr>
        <w:t>万元。与</w:t>
      </w:r>
      <w:r>
        <w:rPr>
          <w:rFonts w:ascii="Times New Roman" w:eastAsia="仿宋_GB2312"/>
          <w:sz w:val="32"/>
          <w:szCs w:val="32"/>
        </w:rPr>
        <w:t>2023</w:t>
      </w:r>
      <w:r>
        <w:rPr>
          <w:rFonts w:ascii="Times New Roman" w:eastAsia="仿宋_GB2312"/>
          <w:sz w:val="32"/>
          <w:szCs w:val="32"/>
        </w:rPr>
        <w:t>年度相比，财政拨款收支各减少</w:t>
      </w:r>
      <w:r>
        <w:rPr>
          <w:rFonts w:ascii="Times New Roman" w:eastAsia="仿宋_GB2312"/>
          <w:sz w:val="32"/>
          <w:szCs w:val="32"/>
        </w:rPr>
        <w:t>6.06</w:t>
      </w:r>
      <w:r>
        <w:rPr>
          <w:rFonts w:ascii="Times New Roman" w:eastAsia="仿宋_GB2312"/>
          <w:sz w:val="32"/>
          <w:szCs w:val="32"/>
        </w:rPr>
        <w:t>万元，降低</w:t>
      </w:r>
      <w:r>
        <w:rPr>
          <w:rFonts w:ascii="Times New Roman" w:eastAsia="仿宋_GB2312"/>
          <w:sz w:val="32"/>
          <w:szCs w:val="32"/>
        </w:rPr>
        <w:t>1.8%</w:t>
      </w:r>
      <w:r>
        <w:rPr>
          <w:rFonts w:ascii="Times New Roman" w:eastAsia="仿宋_GB2312"/>
          <w:sz w:val="32"/>
          <w:szCs w:val="32"/>
        </w:rPr>
        <w:t>，主要原因是</w:t>
      </w:r>
      <w:r>
        <w:rPr>
          <w:rFonts w:ascii="Times New Roman" w:eastAsia="仿宋_GB2312"/>
          <w:sz w:val="32"/>
          <w:szCs w:val="32"/>
        </w:rPr>
        <w:t xml:space="preserve"> 202</w:t>
      </w:r>
      <w:r>
        <w:rPr>
          <w:rFonts w:ascii="Times New Roman" w:eastAsia="仿宋_GB2312" w:hint="eastAsia"/>
          <w:sz w:val="32"/>
          <w:szCs w:val="32"/>
        </w:rPr>
        <w:t>4</w:t>
      </w:r>
      <w:r>
        <w:rPr>
          <w:rFonts w:ascii="Times New Roman" w:eastAsia="仿宋_GB2312"/>
          <w:sz w:val="32"/>
          <w:szCs w:val="32"/>
        </w:rPr>
        <w:t>年退休</w:t>
      </w:r>
      <w:r>
        <w:rPr>
          <w:rFonts w:ascii="Times New Roman" w:eastAsia="仿宋_GB2312"/>
          <w:sz w:val="32"/>
          <w:szCs w:val="32"/>
        </w:rPr>
        <w:t xml:space="preserve"> </w:t>
      </w:r>
      <w:r>
        <w:rPr>
          <w:rFonts w:ascii="Times New Roman" w:eastAsia="仿宋_GB2312" w:hint="eastAsia"/>
          <w:sz w:val="32"/>
          <w:szCs w:val="32"/>
        </w:rPr>
        <w:t>3</w:t>
      </w:r>
      <w:r>
        <w:rPr>
          <w:rFonts w:ascii="Times New Roman" w:eastAsia="仿宋_GB2312"/>
          <w:sz w:val="32"/>
          <w:szCs w:val="32"/>
        </w:rPr>
        <w:t>人，</w:t>
      </w:r>
      <w:r>
        <w:rPr>
          <w:rFonts w:ascii="Times New Roman" w:eastAsia="仿宋_GB2312"/>
          <w:sz w:val="32"/>
          <w:szCs w:val="32"/>
        </w:rPr>
        <w:t>202</w:t>
      </w:r>
      <w:r>
        <w:rPr>
          <w:rFonts w:ascii="Times New Roman" w:eastAsia="仿宋_GB2312" w:hint="eastAsia"/>
          <w:sz w:val="32"/>
          <w:szCs w:val="32"/>
        </w:rPr>
        <w:t>4</w:t>
      </w:r>
      <w:r>
        <w:rPr>
          <w:rFonts w:ascii="Times New Roman" w:eastAsia="仿宋_GB2312"/>
          <w:sz w:val="32"/>
          <w:szCs w:val="32"/>
        </w:rPr>
        <w:t xml:space="preserve"> </w:t>
      </w:r>
      <w:r>
        <w:rPr>
          <w:rFonts w:ascii="Times New Roman" w:eastAsia="仿宋_GB2312"/>
          <w:sz w:val="32"/>
          <w:szCs w:val="32"/>
        </w:rPr>
        <w:t>年未偿还脱贫攻坚普查欠款。</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年度财政拨款本年收入</w:t>
      </w:r>
      <w:r w:rsidR="00844301">
        <w:rPr>
          <w:rFonts w:ascii="Times New Roman" w:eastAsia="仿宋_GB2312"/>
          <w:sz w:val="32"/>
          <w:szCs w:val="32"/>
        </w:rPr>
        <w:t>323.7</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比上年减少</w:t>
      </w:r>
      <w:r>
        <w:rPr>
          <w:rFonts w:ascii="Times New Roman" w:eastAsia="仿宋_GB2312"/>
          <w:sz w:val="32"/>
          <w:szCs w:val="32"/>
        </w:rPr>
        <w:t>6.06</w:t>
      </w:r>
      <w:r>
        <w:rPr>
          <w:rFonts w:ascii="Times New Roman" w:eastAsia="仿宋_GB2312"/>
          <w:sz w:val="32"/>
          <w:szCs w:val="32"/>
        </w:rPr>
        <w:t>万元，降低</w:t>
      </w:r>
      <w:r>
        <w:rPr>
          <w:rFonts w:ascii="Times New Roman" w:eastAsia="仿宋_GB2312"/>
          <w:sz w:val="32"/>
          <w:szCs w:val="32"/>
        </w:rPr>
        <w:t>1.8%</w:t>
      </w:r>
      <w:r>
        <w:rPr>
          <w:rFonts w:ascii="Times New Roman" w:eastAsia="仿宋_GB2312"/>
          <w:sz w:val="32"/>
          <w:szCs w:val="32"/>
        </w:rPr>
        <w:t>，主要原因是</w:t>
      </w:r>
      <w:r w:rsidR="00774770">
        <w:rPr>
          <w:rFonts w:ascii="Times New Roman" w:eastAsia="仿宋_GB2312"/>
          <w:sz w:val="32"/>
          <w:szCs w:val="32"/>
        </w:rPr>
        <w:t>202</w:t>
      </w:r>
      <w:r w:rsidR="00774770">
        <w:rPr>
          <w:rFonts w:ascii="Times New Roman" w:eastAsia="仿宋_GB2312" w:hint="eastAsia"/>
          <w:sz w:val="32"/>
          <w:szCs w:val="32"/>
        </w:rPr>
        <w:t>4</w:t>
      </w:r>
      <w:r w:rsidR="00774770">
        <w:rPr>
          <w:rFonts w:ascii="Times New Roman" w:eastAsia="仿宋_GB2312"/>
          <w:sz w:val="32"/>
          <w:szCs w:val="32"/>
        </w:rPr>
        <w:t>年退休</w:t>
      </w:r>
      <w:r w:rsidR="00774770">
        <w:rPr>
          <w:rFonts w:ascii="Times New Roman" w:eastAsia="仿宋_GB2312"/>
          <w:sz w:val="32"/>
          <w:szCs w:val="32"/>
        </w:rPr>
        <w:t xml:space="preserve"> </w:t>
      </w:r>
      <w:r w:rsidR="00774770">
        <w:rPr>
          <w:rFonts w:ascii="Times New Roman" w:eastAsia="仿宋_GB2312" w:hint="eastAsia"/>
          <w:sz w:val="32"/>
          <w:szCs w:val="32"/>
        </w:rPr>
        <w:t>3</w:t>
      </w:r>
      <w:r w:rsidR="00774770">
        <w:rPr>
          <w:rFonts w:ascii="Times New Roman" w:eastAsia="仿宋_GB2312"/>
          <w:sz w:val="32"/>
          <w:szCs w:val="32"/>
        </w:rPr>
        <w:t>人，</w:t>
      </w:r>
      <w:r w:rsidR="00774770">
        <w:rPr>
          <w:rFonts w:ascii="Times New Roman" w:eastAsia="仿宋_GB2312"/>
          <w:sz w:val="32"/>
          <w:szCs w:val="32"/>
        </w:rPr>
        <w:t>202</w:t>
      </w:r>
      <w:r w:rsidR="00774770">
        <w:rPr>
          <w:rFonts w:ascii="Times New Roman" w:eastAsia="仿宋_GB2312" w:hint="eastAsia"/>
          <w:sz w:val="32"/>
          <w:szCs w:val="32"/>
        </w:rPr>
        <w:t>4</w:t>
      </w:r>
      <w:r w:rsidR="00774770">
        <w:rPr>
          <w:rFonts w:ascii="Times New Roman" w:eastAsia="仿宋_GB2312"/>
          <w:sz w:val="32"/>
          <w:szCs w:val="32"/>
        </w:rPr>
        <w:t xml:space="preserve"> </w:t>
      </w:r>
      <w:r w:rsidR="00774770">
        <w:rPr>
          <w:rFonts w:ascii="Times New Roman" w:eastAsia="仿宋_GB2312"/>
          <w:sz w:val="32"/>
          <w:szCs w:val="32"/>
        </w:rPr>
        <w:t>年未偿还脱贫攻坚普查欠款</w:t>
      </w:r>
      <w:r>
        <w:rPr>
          <w:rFonts w:ascii="Times New Roman" w:eastAsia="仿宋_GB2312"/>
          <w:sz w:val="32"/>
          <w:szCs w:val="32"/>
        </w:rPr>
        <w:t>；本年支出</w:t>
      </w:r>
      <w:r w:rsidR="00844301">
        <w:rPr>
          <w:rFonts w:ascii="Times New Roman" w:eastAsia="仿宋_GB2312"/>
          <w:sz w:val="32"/>
          <w:szCs w:val="32"/>
        </w:rPr>
        <w:t>323.7</w:t>
      </w:r>
      <w:r>
        <w:rPr>
          <w:rFonts w:ascii="Times New Roman" w:eastAsia="仿宋_GB2312"/>
          <w:sz w:val="32"/>
          <w:szCs w:val="32"/>
        </w:rPr>
        <w:t>万元，比上年减少</w:t>
      </w:r>
      <w:r>
        <w:rPr>
          <w:rFonts w:ascii="Times New Roman" w:eastAsia="仿宋_GB2312"/>
          <w:sz w:val="32"/>
          <w:szCs w:val="32"/>
        </w:rPr>
        <w:t>6.06</w:t>
      </w:r>
      <w:r>
        <w:rPr>
          <w:rFonts w:ascii="Times New Roman" w:eastAsia="仿宋_GB2312"/>
          <w:sz w:val="32"/>
          <w:szCs w:val="32"/>
        </w:rPr>
        <w:t>万元，降低</w:t>
      </w:r>
      <w:r>
        <w:rPr>
          <w:rFonts w:ascii="Times New Roman" w:eastAsia="仿宋_GB2312"/>
          <w:sz w:val="32"/>
          <w:szCs w:val="32"/>
        </w:rPr>
        <w:t>1.8%</w:t>
      </w:r>
      <w:r>
        <w:rPr>
          <w:rFonts w:ascii="Times New Roman" w:eastAsia="仿宋_GB2312"/>
          <w:sz w:val="32"/>
          <w:szCs w:val="32"/>
        </w:rPr>
        <w:t>，主要原因是</w:t>
      </w:r>
      <w:r>
        <w:rPr>
          <w:rFonts w:ascii="Times New Roman" w:eastAsia="仿宋_GB2312"/>
          <w:sz w:val="32"/>
          <w:szCs w:val="32"/>
        </w:rPr>
        <w:t>202</w:t>
      </w:r>
      <w:r>
        <w:rPr>
          <w:rFonts w:ascii="Times New Roman" w:eastAsia="仿宋_GB2312" w:hint="eastAsia"/>
          <w:sz w:val="32"/>
          <w:szCs w:val="32"/>
        </w:rPr>
        <w:t>4</w:t>
      </w:r>
      <w:r>
        <w:rPr>
          <w:rFonts w:ascii="Times New Roman" w:eastAsia="仿宋_GB2312"/>
          <w:sz w:val="32"/>
          <w:szCs w:val="32"/>
        </w:rPr>
        <w:t>年退休</w:t>
      </w:r>
      <w:r>
        <w:rPr>
          <w:rFonts w:ascii="Times New Roman" w:eastAsia="仿宋_GB2312"/>
          <w:sz w:val="32"/>
          <w:szCs w:val="32"/>
        </w:rPr>
        <w:t xml:space="preserve"> </w:t>
      </w:r>
      <w:r>
        <w:rPr>
          <w:rFonts w:ascii="Times New Roman" w:eastAsia="仿宋_GB2312" w:hint="eastAsia"/>
          <w:sz w:val="32"/>
          <w:szCs w:val="32"/>
        </w:rPr>
        <w:t>3</w:t>
      </w:r>
      <w:r>
        <w:rPr>
          <w:rFonts w:ascii="Times New Roman" w:eastAsia="仿宋_GB2312"/>
          <w:sz w:val="32"/>
          <w:szCs w:val="32"/>
        </w:rPr>
        <w:t>人，</w:t>
      </w:r>
      <w:r>
        <w:rPr>
          <w:rFonts w:ascii="Times New Roman" w:eastAsia="仿宋_GB2312"/>
          <w:sz w:val="32"/>
          <w:szCs w:val="32"/>
        </w:rPr>
        <w:t>202</w:t>
      </w:r>
      <w:r>
        <w:rPr>
          <w:rFonts w:ascii="Times New Roman" w:eastAsia="仿宋_GB2312" w:hint="eastAsia"/>
          <w:sz w:val="32"/>
          <w:szCs w:val="32"/>
        </w:rPr>
        <w:t>4</w:t>
      </w:r>
      <w:r>
        <w:rPr>
          <w:rFonts w:ascii="Times New Roman" w:eastAsia="仿宋_GB2312"/>
          <w:sz w:val="32"/>
          <w:szCs w:val="32"/>
        </w:rPr>
        <w:t xml:space="preserve"> </w:t>
      </w:r>
      <w:r>
        <w:rPr>
          <w:rFonts w:ascii="Times New Roman" w:eastAsia="仿宋_GB2312"/>
          <w:sz w:val="32"/>
          <w:szCs w:val="32"/>
        </w:rPr>
        <w:t>年未偿还脱贫攻坚普查欠款。具体情况如下：</w:t>
      </w:r>
    </w:p>
    <w:p w:rsidR="00B23535" w:rsidRDefault="00C23125" w:rsidP="00844301">
      <w:pPr>
        <w:widowControl/>
        <w:spacing w:line="360" w:lineRule="auto"/>
        <w:ind w:firstLineChars="200" w:firstLine="640"/>
        <w:jc w:val="left"/>
        <w:outlineLvl w:val="1"/>
        <w:rPr>
          <w:rFonts w:ascii="Times New Roman" w:eastAsia="仿宋_GB2312"/>
          <w:sz w:val="32"/>
          <w:szCs w:val="32"/>
        </w:rPr>
      </w:pPr>
      <w:r>
        <w:rPr>
          <w:rFonts w:ascii="Times New Roman" w:eastAsia="仿宋_GB2312"/>
          <w:sz w:val="32"/>
          <w:szCs w:val="32"/>
        </w:rPr>
        <w:t xml:space="preserve">1. </w:t>
      </w:r>
      <w:r>
        <w:rPr>
          <w:rFonts w:ascii="Times New Roman" w:eastAsia="仿宋_GB2312"/>
          <w:sz w:val="32"/>
          <w:szCs w:val="32"/>
        </w:rPr>
        <w:t>一般公共预算财政拨款本年收入</w:t>
      </w:r>
      <w:r w:rsidR="00844301">
        <w:rPr>
          <w:rFonts w:ascii="Times New Roman" w:eastAsia="仿宋_GB2312"/>
          <w:sz w:val="32"/>
          <w:szCs w:val="32"/>
        </w:rPr>
        <w:t>323.7</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比上年减少</w:t>
      </w:r>
      <w:r>
        <w:rPr>
          <w:rFonts w:ascii="Times New Roman" w:eastAsia="仿宋_GB2312"/>
          <w:sz w:val="32"/>
          <w:szCs w:val="32"/>
        </w:rPr>
        <w:t>6.06</w:t>
      </w:r>
      <w:r>
        <w:rPr>
          <w:rFonts w:ascii="Times New Roman" w:eastAsia="仿宋_GB2312"/>
          <w:sz w:val="32"/>
          <w:szCs w:val="32"/>
        </w:rPr>
        <w:t>万元，降低</w:t>
      </w:r>
      <w:r>
        <w:rPr>
          <w:rFonts w:ascii="Times New Roman" w:eastAsia="仿宋_GB2312"/>
          <w:sz w:val="32"/>
          <w:szCs w:val="32"/>
        </w:rPr>
        <w:t>1.8%</w:t>
      </w:r>
      <w:r>
        <w:rPr>
          <w:rFonts w:ascii="Times New Roman" w:eastAsia="仿宋_GB2312"/>
          <w:sz w:val="32"/>
          <w:szCs w:val="32"/>
        </w:rPr>
        <w:t>，主要原因是</w:t>
      </w:r>
      <w:r w:rsidR="00844301">
        <w:rPr>
          <w:rFonts w:ascii="Times New Roman" w:eastAsia="仿宋_GB2312"/>
          <w:sz w:val="32"/>
          <w:szCs w:val="32"/>
        </w:rPr>
        <w:t>202</w:t>
      </w:r>
      <w:r w:rsidR="00844301">
        <w:rPr>
          <w:rFonts w:ascii="Times New Roman" w:eastAsia="仿宋_GB2312" w:hint="eastAsia"/>
          <w:sz w:val="32"/>
          <w:szCs w:val="32"/>
        </w:rPr>
        <w:t>4</w:t>
      </w:r>
      <w:r w:rsidR="00844301">
        <w:rPr>
          <w:rFonts w:ascii="Times New Roman" w:eastAsia="仿宋_GB2312"/>
          <w:sz w:val="32"/>
          <w:szCs w:val="32"/>
        </w:rPr>
        <w:t>年退休</w:t>
      </w:r>
      <w:r w:rsidR="00844301">
        <w:rPr>
          <w:rFonts w:ascii="Times New Roman" w:eastAsia="仿宋_GB2312"/>
          <w:sz w:val="32"/>
          <w:szCs w:val="32"/>
        </w:rPr>
        <w:t xml:space="preserve"> </w:t>
      </w:r>
      <w:r w:rsidR="00844301">
        <w:rPr>
          <w:rFonts w:ascii="Times New Roman" w:eastAsia="仿宋_GB2312" w:hint="eastAsia"/>
          <w:sz w:val="32"/>
          <w:szCs w:val="32"/>
        </w:rPr>
        <w:t>3</w:t>
      </w:r>
      <w:r w:rsidR="00844301">
        <w:rPr>
          <w:rFonts w:ascii="Times New Roman" w:eastAsia="仿宋_GB2312"/>
          <w:sz w:val="32"/>
          <w:szCs w:val="32"/>
        </w:rPr>
        <w:t>人，</w:t>
      </w:r>
      <w:r w:rsidR="00844301">
        <w:rPr>
          <w:rFonts w:ascii="Times New Roman" w:eastAsia="仿宋_GB2312"/>
          <w:sz w:val="32"/>
          <w:szCs w:val="32"/>
        </w:rPr>
        <w:t>202</w:t>
      </w:r>
      <w:r w:rsidR="00844301">
        <w:rPr>
          <w:rFonts w:ascii="Times New Roman" w:eastAsia="仿宋_GB2312" w:hint="eastAsia"/>
          <w:sz w:val="32"/>
          <w:szCs w:val="32"/>
        </w:rPr>
        <w:t>4</w:t>
      </w:r>
      <w:r w:rsidR="00844301">
        <w:rPr>
          <w:rFonts w:ascii="Times New Roman" w:eastAsia="仿宋_GB2312"/>
          <w:sz w:val="32"/>
          <w:szCs w:val="32"/>
        </w:rPr>
        <w:t xml:space="preserve"> </w:t>
      </w:r>
      <w:r w:rsidR="00844301">
        <w:rPr>
          <w:rFonts w:ascii="Times New Roman" w:eastAsia="仿宋_GB2312"/>
          <w:sz w:val="32"/>
          <w:szCs w:val="32"/>
        </w:rPr>
        <w:t>年未偿还脱贫攻坚普查欠款</w:t>
      </w:r>
      <w:r>
        <w:rPr>
          <w:rFonts w:ascii="Times New Roman" w:eastAsia="仿宋_GB2312"/>
          <w:sz w:val="32"/>
          <w:szCs w:val="32"/>
        </w:rPr>
        <w:t>；本年支出</w:t>
      </w:r>
      <w:r>
        <w:rPr>
          <w:rFonts w:ascii="Times New Roman" w:eastAsia="仿宋_GB2312"/>
          <w:sz w:val="32"/>
          <w:szCs w:val="32"/>
        </w:rPr>
        <w:t>323.70</w:t>
      </w:r>
      <w:r>
        <w:rPr>
          <w:rFonts w:ascii="Times New Roman" w:eastAsia="仿宋_GB2312"/>
          <w:sz w:val="32"/>
          <w:szCs w:val="32"/>
        </w:rPr>
        <w:t>万元，比上年减少</w:t>
      </w:r>
      <w:r>
        <w:rPr>
          <w:rFonts w:ascii="Times New Roman" w:eastAsia="仿宋_GB2312"/>
          <w:sz w:val="32"/>
          <w:szCs w:val="32"/>
        </w:rPr>
        <w:t>6.06</w:t>
      </w:r>
      <w:r>
        <w:rPr>
          <w:rFonts w:ascii="Times New Roman" w:eastAsia="仿宋_GB2312"/>
          <w:sz w:val="32"/>
          <w:szCs w:val="32"/>
        </w:rPr>
        <w:t>万元，降低</w:t>
      </w:r>
      <w:r>
        <w:rPr>
          <w:rFonts w:ascii="Times New Roman" w:eastAsia="仿宋_GB2312"/>
          <w:sz w:val="32"/>
          <w:szCs w:val="32"/>
        </w:rPr>
        <w:t>1.8%</w:t>
      </w:r>
      <w:r>
        <w:rPr>
          <w:rFonts w:ascii="Times New Roman" w:eastAsia="仿宋_GB2312"/>
          <w:sz w:val="32"/>
          <w:szCs w:val="32"/>
        </w:rPr>
        <w:t>，主要原因是</w:t>
      </w:r>
      <w:r>
        <w:rPr>
          <w:rFonts w:ascii="Times New Roman" w:eastAsia="仿宋_GB2312"/>
          <w:sz w:val="32"/>
          <w:szCs w:val="32"/>
        </w:rPr>
        <w:t xml:space="preserve"> 202</w:t>
      </w:r>
      <w:r>
        <w:rPr>
          <w:rFonts w:ascii="Times New Roman" w:eastAsia="仿宋_GB2312" w:hint="eastAsia"/>
          <w:sz w:val="32"/>
          <w:szCs w:val="32"/>
        </w:rPr>
        <w:t>4</w:t>
      </w:r>
      <w:r>
        <w:rPr>
          <w:rFonts w:ascii="Times New Roman" w:eastAsia="仿宋_GB2312"/>
          <w:sz w:val="32"/>
          <w:szCs w:val="32"/>
        </w:rPr>
        <w:t>年退休</w:t>
      </w:r>
      <w:r>
        <w:rPr>
          <w:rFonts w:ascii="Times New Roman" w:eastAsia="仿宋_GB2312"/>
          <w:sz w:val="32"/>
          <w:szCs w:val="32"/>
        </w:rPr>
        <w:t xml:space="preserve"> </w:t>
      </w:r>
      <w:r>
        <w:rPr>
          <w:rFonts w:ascii="Times New Roman" w:eastAsia="仿宋_GB2312" w:hint="eastAsia"/>
          <w:sz w:val="32"/>
          <w:szCs w:val="32"/>
        </w:rPr>
        <w:t>3</w:t>
      </w:r>
      <w:r>
        <w:rPr>
          <w:rFonts w:ascii="Times New Roman" w:eastAsia="仿宋_GB2312"/>
          <w:sz w:val="32"/>
          <w:szCs w:val="32"/>
        </w:rPr>
        <w:t>人，</w:t>
      </w:r>
      <w:r>
        <w:rPr>
          <w:rFonts w:ascii="Times New Roman" w:eastAsia="仿宋_GB2312"/>
          <w:sz w:val="32"/>
          <w:szCs w:val="32"/>
        </w:rPr>
        <w:t>202</w:t>
      </w:r>
      <w:r>
        <w:rPr>
          <w:rFonts w:ascii="Times New Roman" w:eastAsia="仿宋_GB2312" w:hint="eastAsia"/>
          <w:sz w:val="32"/>
          <w:szCs w:val="32"/>
        </w:rPr>
        <w:t>4</w:t>
      </w:r>
      <w:r>
        <w:rPr>
          <w:rFonts w:ascii="Times New Roman" w:eastAsia="仿宋_GB2312"/>
          <w:sz w:val="32"/>
          <w:szCs w:val="32"/>
        </w:rPr>
        <w:t xml:space="preserve"> </w:t>
      </w:r>
      <w:r>
        <w:rPr>
          <w:rFonts w:ascii="Times New Roman" w:eastAsia="仿宋_GB2312"/>
          <w:sz w:val="32"/>
          <w:szCs w:val="32"/>
        </w:rPr>
        <w:t>年未偿还脱贫攻坚普查欠款。</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政府性基金预算财政拨款本年收入</w:t>
      </w:r>
      <w:r w:rsidR="0085034A">
        <w:rPr>
          <w:rFonts w:ascii="Times New Roman" w:eastAsia="仿宋_GB2312"/>
          <w:sz w:val="32"/>
          <w:szCs w:val="32"/>
        </w:rPr>
        <w:t>0</w:t>
      </w:r>
      <w:r>
        <w:rPr>
          <w:rFonts w:ascii="Times New Roman" w:eastAsia="仿宋_GB2312"/>
          <w:sz w:val="32"/>
          <w:szCs w:val="32"/>
        </w:rPr>
        <w:t>万元，</w:t>
      </w:r>
      <w:r w:rsidR="001F410A">
        <w:rPr>
          <w:rFonts w:ascii="Times New Roman" w:eastAsia="仿宋_GB2312" w:hint="eastAsia"/>
          <w:sz w:val="32"/>
          <w:szCs w:val="32"/>
        </w:rPr>
        <w:t>与</w:t>
      </w:r>
      <w:r w:rsidR="001F410A">
        <w:rPr>
          <w:rFonts w:ascii="Times New Roman" w:eastAsia="仿宋_GB2312" w:hint="eastAsia"/>
          <w:sz w:val="32"/>
          <w:szCs w:val="32"/>
        </w:rPr>
        <w:t>2023</w:t>
      </w:r>
      <w:r w:rsidR="001F410A">
        <w:rPr>
          <w:rFonts w:ascii="Times New Roman" w:eastAsia="仿宋_GB2312" w:hint="eastAsia"/>
          <w:sz w:val="32"/>
          <w:szCs w:val="32"/>
        </w:rPr>
        <w:t>年度决算收入持平</w:t>
      </w:r>
      <w:r>
        <w:rPr>
          <w:rFonts w:ascii="Times New Roman" w:eastAsia="仿宋_GB2312"/>
          <w:sz w:val="32"/>
          <w:szCs w:val="32"/>
        </w:rPr>
        <w:t>，</w:t>
      </w:r>
      <w:r w:rsidR="001F410A">
        <w:rPr>
          <w:rFonts w:ascii="Times New Roman" w:eastAsia="仿宋_GB2312"/>
          <w:sz w:val="32"/>
          <w:szCs w:val="32"/>
        </w:rPr>
        <w:t>主要原因是无政府基金预算财政拨款</w:t>
      </w:r>
      <w:r w:rsidR="001F410A">
        <w:rPr>
          <w:rFonts w:ascii="Times New Roman" w:eastAsia="仿宋_GB2312" w:hint="eastAsia"/>
          <w:sz w:val="32"/>
          <w:szCs w:val="32"/>
        </w:rPr>
        <w:t>收入</w:t>
      </w:r>
      <w:r>
        <w:rPr>
          <w:rFonts w:ascii="Times New Roman" w:eastAsia="仿宋_GB2312"/>
          <w:sz w:val="32"/>
          <w:szCs w:val="32"/>
        </w:rPr>
        <w:t>；本年支出</w:t>
      </w:r>
      <w:r w:rsidR="001F410A">
        <w:rPr>
          <w:rFonts w:ascii="Times New Roman" w:eastAsia="仿宋_GB2312"/>
          <w:sz w:val="32"/>
          <w:szCs w:val="32"/>
        </w:rPr>
        <w:t>0</w:t>
      </w:r>
      <w:r>
        <w:rPr>
          <w:rFonts w:ascii="Times New Roman" w:eastAsia="仿宋_GB2312"/>
          <w:sz w:val="32"/>
          <w:szCs w:val="32"/>
        </w:rPr>
        <w:t>万元，</w:t>
      </w:r>
      <w:r w:rsidR="001F410A">
        <w:rPr>
          <w:rFonts w:ascii="Times New Roman" w:eastAsia="仿宋_GB2312" w:hint="eastAsia"/>
          <w:sz w:val="32"/>
          <w:szCs w:val="32"/>
        </w:rPr>
        <w:t>与</w:t>
      </w:r>
      <w:r w:rsidR="001F410A">
        <w:rPr>
          <w:rFonts w:ascii="Times New Roman" w:eastAsia="仿宋_GB2312" w:hint="eastAsia"/>
          <w:sz w:val="32"/>
          <w:szCs w:val="32"/>
        </w:rPr>
        <w:t>2023</w:t>
      </w:r>
      <w:r w:rsidR="001F410A">
        <w:rPr>
          <w:rFonts w:ascii="Times New Roman" w:eastAsia="仿宋_GB2312" w:hint="eastAsia"/>
          <w:sz w:val="32"/>
          <w:szCs w:val="32"/>
        </w:rPr>
        <w:t>年度决算支出持平</w:t>
      </w:r>
      <w:r>
        <w:rPr>
          <w:rFonts w:ascii="Times New Roman" w:eastAsia="仿宋_GB2312"/>
          <w:sz w:val="32"/>
          <w:szCs w:val="32"/>
        </w:rPr>
        <w:t>，主要原因是无政府基金预算财政拨款支出。</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3. </w:t>
      </w:r>
      <w:r>
        <w:rPr>
          <w:rFonts w:ascii="Times New Roman" w:eastAsia="仿宋_GB2312"/>
          <w:sz w:val="32"/>
          <w:szCs w:val="32"/>
        </w:rPr>
        <w:t>国有资本经营预算财政拨款本年收入</w:t>
      </w:r>
      <w:r w:rsidR="001F410A">
        <w:rPr>
          <w:rFonts w:ascii="Times New Roman" w:eastAsia="仿宋_GB2312"/>
          <w:sz w:val="32"/>
          <w:szCs w:val="32"/>
        </w:rPr>
        <w:t>0</w:t>
      </w:r>
      <w:r>
        <w:rPr>
          <w:rFonts w:ascii="Times New Roman" w:eastAsia="仿宋_GB2312"/>
          <w:sz w:val="32"/>
          <w:szCs w:val="32"/>
        </w:rPr>
        <w:t>万元，</w:t>
      </w:r>
      <w:r w:rsidR="001F410A">
        <w:rPr>
          <w:rFonts w:ascii="Times New Roman" w:eastAsia="仿宋_GB2312" w:hint="eastAsia"/>
          <w:sz w:val="32"/>
          <w:szCs w:val="32"/>
        </w:rPr>
        <w:t>与</w:t>
      </w:r>
      <w:r w:rsidR="001F410A">
        <w:rPr>
          <w:rFonts w:ascii="Times New Roman" w:eastAsia="仿宋_GB2312" w:hint="eastAsia"/>
          <w:sz w:val="32"/>
          <w:szCs w:val="32"/>
        </w:rPr>
        <w:t>2023</w:t>
      </w:r>
      <w:r w:rsidR="001F410A">
        <w:rPr>
          <w:rFonts w:ascii="Times New Roman" w:eastAsia="仿宋_GB2312" w:hint="eastAsia"/>
          <w:sz w:val="32"/>
          <w:szCs w:val="32"/>
        </w:rPr>
        <w:t>年度决算收入持平</w:t>
      </w:r>
      <w:r>
        <w:rPr>
          <w:rFonts w:ascii="Times New Roman" w:eastAsia="仿宋_GB2312"/>
          <w:sz w:val="32"/>
          <w:szCs w:val="32"/>
        </w:rPr>
        <w:t>，主要原因是</w:t>
      </w:r>
      <w:r w:rsidR="001F410A">
        <w:rPr>
          <w:rFonts w:ascii="Times New Roman" w:eastAsia="仿宋_GB2312" w:hint="eastAsia"/>
          <w:sz w:val="32"/>
          <w:szCs w:val="32"/>
        </w:rPr>
        <w:t>无</w:t>
      </w:r>
      <w:r w:rsidR="001F410A">
        <w:rPr>
          <w:rFonts w:ascii="Times New Roman" w:eastAsia="仿宋_GB2312"/>
          <w:sz w:val="32"/>
          <w:szCs w:val="32"/>
        </w:rPr>
        <w:t>国有资本经营预算财政拨款本年收入</w:t>
      </w:r>
      <w:r>
        <w:rPr>
          <w:rFonts w:ascii="Times New Roman" w:eastAsia="仿宋_GB2312"/>
          <w:sz w:val="32"/>
          <w:szCs w:val="32"/>
        </w:rPr>
        <w:t>；本年支出</w:t>
      </w:r>
      <w:r w:rsidR="001F410A">
        <w:rPr>
          <w:rFonts w:ascii="Times New Roman" w:eastAsia="仿宋_GB2312"/>
          <w:sz w:val="32"/>
          <w:szCs w:val="32"/>
        </w:rPr>
        <w:t>0</w:t>
      </w:r>
      <w:r>
        <w:rPr>
          <w:rFonts w:ascii="Times New Roman" w:eastAsia="仿宋_GB2312"/>
          <w:sz w:val="32"/>
          <w:szCs w:val="32"/>
        </w:rPr>
        <w:t>万元，</w:t>
      </w:r>
      <w:r w:rsidR="001F410A">
        <w:rPr>
          <w:rFonts w:ascii="Times New Roman" w:eastAsia="仿宋_GB2312" w:hint="eastAsia"/>
          <w:sz w:val="32"/>
          <w:szCs w:val="32"/>
        </w:rPr>
        <w:t>与</w:t>
      </w:r>
      <w:r w:rsidR="001F410A">
        <w:rPr>
          <w:rFonts w:ascii="Times New Roman" w:eastAsia="仿宋_GB2312" w:hint="eastAsia"/>
          <w:sz w:val="32"/>
          <w:szCs w:val="32"/>
        </w:rPr>
        <w:t>2023</w:t>
      </w:r>
      <w:r w:rsidR="001F410A">
        <w:rPr>
          <w:rFonts w:ascii="Times New Roman" w:eastAsia="仿宋_GB2312" w:hint="eastAsia"/>
          <w:sz w:val="32"/>
          <w:szCs w:val="32"/>
        </w:rPr>
        <w:t>年度决算支出持平</w:t>
      </w:r>
      <w:r>
        <w:rPr>
          <w:rFonts w:ascii="Times New Roman" w:eastAsia="仿宋_GB2312"/>
          <w:sz w:val="32"/>
          <w:szCs w:val="32"/>
        </w:rPr>
        <w:t>，主要原因是</w:t>
      </w:r>
      <w:r>
        <w:rPr>
          <w:rFonts w:ascii="Times New Roman" w:eastAsia="仿宋_GB2312" w:hint="eastAsia"/>
          <w:sz w:val="32"/>
          <w:szCs w:val="32"/>
        </w:rPr>
        <w:t>无</w:t>
      </w:r>
      <w:r>
        <w:rPr>
          <w:rFonts w:ascii="Times New Roman" w:eastAsia="仿宋_GB2312"/>
          <w:sz w:val="32"/>
          <w:szCs w:val="32"/>
        </w:rPr>
        <w:t>国有资本经营预算财政拨款</w:t>
      </w:r>
      <w:r>
        <w:rPr>
          <w:rFonts w:ascii="Times New Roman" w:eastAsia="仿宋_GB2312" w:hint="eastAsia"/>
          <w:sz w:val="32"/>
          <w:szCs w:val="32"/>
        </w:rPr>
        <w:t>支出</w:t>
      </w:r>
      <w:r>
        <w:rPr>
          <w:rFonts w:ascii="Times New Roman" w:eastAsia="仿宋_GB2312"/>
          <w:sz w:val="32"/>
          <w:szCs w:val="32"/>
        </w:rPr>
        <w:t>。</w:t>
      </w:r>
    </w:p>
    <w:p w:rsidR="00B23535" w:rsidRDefault="00C23125">
      <w:pPr>
        <w:pStyle w:val="a7"/>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23535" w:rsidRDefault="00C23125">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（二）财政拨款收支与年初预算数对比情况</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年度财政拨款本年收入</w:t>
      </w:r>
      <w:r w:rsidR="001F410A">
        <w:rPr>
          <w:rFonts w:ascii="Times New Roman" w:eastAsia="仿宋_GB2312"/>
          <w:sz w:val="32"/>
          <w:szCs w:val="32"/>
        </w:rPr>
        <w:t>323.7</w:t>
      </w:r>
      <w:r>
        <w:rPr>
          <w:rFonts w:ascii="Times New Roman" w:eastAsia="仿宋_GB2312"/>
          <w:sz w:val="32"/>
          <w:szCs w:val="32"/>
        </w:rPr>
        <w:t>万元，完成年初预算的</w:t>
      </w:r>
      <w:r>
        <w:rPr>
          <w:rFonts w:ascii="Times New Roman" w:eastAsia="仿宋_GB2312"/>
          <w:sz w:val="32"/>
          <w:szCs w:val="32"/>
        </w:rPr>
        <w:t>91.4%</w:t>
      </w:r>
      <w:r>
        <w:rPr>
          <w:rFonts w:ascii="Times New Roman" w:eastAsia="仿宋_GB2312"/>
          <w:sz w:val="32"/>
          <w:szCs w:val="32"/>
        </w:rPr>
        <w:t>，比年初预算减少</w:t>
      </w:r>
      <w:r>
        <w:rPr>
          <w:rFonts w:ascii="Times New Roman" w:eastAsia="仿宋_GB2312"/>
          <w:sz w:val="32"/>
          <w:szCs w:val="32"/>
        </w:rPr>
        <w:t>30.35</w:t>
      </w:r>
      <w:r>
        <w:rPr>
          <w:rFonts w:ascii="Times New Roman" w:eastAsia="仿宋_GB2312"/>
          <w:sz w:val="32"/>
          <w:szCs w:val="32"/>
        </w:rPr>
        <w:t>万元，决算数小于预算数主要原因是</w:t>
      </w:r>
      <w:r>
        <w:rPr>
          <w:rFonts w:ascii="Times New Roman" w:eastAsia="仿宋_GB2312" w:hint="eastAsia"/>
          <w:sz w:val="32"/>
          <w:szCs w:val="32"/>
        </w:rPr>
        <w:t>在职转退休</w:t>
      </w:r>
      <w:r w:rsidR="001F410A">
        <w:rPr>
          <w:rFonts w:ascii="Times New Roman" w:eastAsia="仿宋_GB2312" w:hint="eastAsia"/>
          <w:sz w:val="32"/>
          <w:szCs w:val="32"/>
        </w:rPr>
        <w:t>3</w:t>
      </w:r>
      <w:r>
        <w:rPr>
          <w:rFonts w:ascii="Times New Roman" w:eastAsia="仿宋_GB2312" w:hint="eastAsia"/>
          <w:sz w:val="32"/>
          <w:szCs w:val="32"/>
        </w:rPr>
        <w:t>人，部分项目未能按项目计划完成</w:t>
      </w:r>
      <w:r>
        <w:rPr>
          <w:rFonts w:ascii="Times New Roman" w:eastAsia="仿宋_GB2312"/>
          <w:sz w:val="32"/>
          <w:szCs w:val="32"/>
        </w:rPr>
        <w:t>；本年支出</w:t>
      </w:r>
      <w:r w:rsidR="001F410A">
        <w:rPr>
          <w:rFonts w:ascii="Times New Roman" w:eastAsia="仿宋_GB2312"/>
          <w:sz w:val="32"/>
          <w:szCs w:val="32"/>
        </w:rPr>
        <w:t>323.7</w:t>
      </w:r>
      <w:r>
        <w:rPr>
          <w:rFonts w:ascii="Times New Roman" w:eastAsia="仿宋_GB2312"/>
          <w:sz w:val="32"/>
          <w:szCs w:val="32"/>
        </w:rPr>
        <w:t>万元，完成年初预算的</w:t>
      </w:r>
      <w:r>
        <w:rPr>
          <w:rFonts w:ascii="Times New Roman" w:eastAsia="仿宋_GB2312"/>
          <w:sz w:val="32"/>
          <w:szCs w:val="32"/>
        </w:rPr>
        <w:t>91.4%</w:t>
      </w:r>
      <w:r>
        <w:rPr>
          <w:rFonts w:ascii="Times New Roman" w:eastAsia="仿宋_GB2312"/>
          <w:sz w:val="32"/>
          <w:szCs w:val="32"/>
        </w:rPr>
        <w:t>，比年初预算减少</w:t>
      </w:r>
      <w:r>
        <w:rPr>
          <w:rFonts w:ascii="Times New Roman" w:eastAsia="仿宋_GB2312"/>
          <w:sz w:val="32"/>
          <w:szCs w:val="32"/>
        </w:rPr>
        <w:t>30.35</w:t>
      </w:r>
      <w:r>
        <w:rPr>
          <w:rFonts w:ascii="Times New Roman" w:eastAsia="仿宋_GB2312"/>
          <w:sz w:val="32"/>
          <w:szCs w:val="32"/>
        </w:rPr>
        <w:t>万元，决算数小于预算数主要原因是</w:t>
      </w:r>
      <w:r>
        <w:rPr>
          <w:rFonts w:ascii="Times New Roman" w:eastAsia="仿宋_GB2312" w:hint="eastAsia"/>
          <w:sz w:val="32"/>
          <w:szCs w:val="32"/>
        </w:rPr>
        <w:t>在职转退休</w:t>
      </w:r>
      <w:r>
        <w:rPr>
          <w:rFonts w:ascii="Times New Roman" w:eastAsia="仿宋_GB2312" w:hint="eastAsia"/>
          <w:sz w:val="32"/>
          <w:szCs w:val="32"/>
        </w:rPr>
        <w:t>3</w:t>
      </w:r>
      <w:r>
        <w:rPr>
          <w:rFonts w:ascii="Times New Roman" w:eastAsia="仿宋_GB2312" w:hint="eastAsia"/>
          <w:sz w:val="32"/>
          <w:szCs w:val="32"/>
        </w:rPr>
        <w:t>人，部分项目未能按项目计划完成</w:t>
      </w:r>
      <w:r>
        <w:rPr>
          <w:rFonts w:ascii="Times New Roman" w:eastAsia="仿宋_GB2312"/>
          <w:sz w:val="32"/>
          <w:szCs w:val="32"/>
        </w:rPr>
        <w:t>。具体情况如下：</w:t>
      </w:r>
    </w:p>
    <w:p w:rsidR="00B23535" w:rsidRDefault="00C23125" w:rsidP="000D50BB">
      <w:pPr>
        <w:widowControl/>
        <w:spacing w:line="580" w:lineRule="exact"/>
        <w:ind w:firstLineChars="200" w:firstLine="640"/>
        <w:rPr>
          <w:rFonts w:ascii="Times New Roman" w:eastAsia="仿宋_GB2312"/>
          <w:sz w:val="32"/>
          <w:szCs w:val="32"/>
        </w:rPr>
      </w:pPr>
      <w:r>
        <w:rPr>
          <w:rFonts w:ascii="Times New Roman" w:eastAsia="仿宋_GB2312"/>
          <w:sz w:val="32"/>
          <w:szCs w:val="32"/>
        </w:rPr>
        <w:t xml:space="preserve">1. </w:t>
      </w:r>
      <w:r>
        <w:rPr>
          <w:rFonts w:ascii="Times New Roman" w:eastAsia="仿宋_GB2312"/>
          <w:sz w:val="32"/>
          <w:szCs w:val="32"/>
        </w:rPr>
        <w:t>一般公共预算财政拨款本年收入完成年初预算的</w:t>
      </w:r>
      <w:r>
        <w:rPr>
          <w:rFonts w:ascii="Times New Roman" w:eastAsia="仿宋_GB2312"/>
          <w:sz w:val="32"/>
          <w:szCs w:val="32"/>
        </w:rPr>
        <w:t>91.4%</w:t>
      </w:r>
      <w:r>
        <w:rPr>
          <w:rFonts w:ascii="Times New Roman" w:eastAsia="仿宋_GB2312"/>
          <w:sz w:val="32"/>
          <w:szCs w:val="32"/>
        </w:rPr>
        <w:t>，比年初预算减少</w:t>
      </w:r>
      <w:r>
        <w:rPr>
          <w:rFonts w:ascii="Times New Roman" w:eastAsia="仿宋_GB2312"/>
          <w:sz w:val="32"/>
          <w:szCs w:val="32"/>
        </w:rPr>
        <w:t>30.35</w:t>
      </w:r>
      <w:r>
        <w:rPr>
          <w:rFonts w:ascii="Times New Roman" w:eastAsia="仿宋_GB2312"/>
          <w:sz w:val="32"/>
          <w:szCs w:val="32"/>
        </w:rPr>
        <w:t>万元，主要原因是</w:t>
      </w:r>
      <w:r>
        <w:rPr>
          <w:rFonts w:ascii="Times New Roman" w:eastAsia="仿宋_GB2312" w:hint="eastAsia"/>
          <w:sz w:val="32"/>
          <w:szCs w:val="32"/>
        </w:rPr>
        <w:t>在职转退休</w:t>
      </w:r>
      <w:r w:rsidR="001F410A">
        <w:rPr>
          <w:rFonts w:ascii="Times New Roman" w:eastAsia="仿宋_GB2312" w:hint="eastAsia"/>
          <w:sz w:val="32"/>
          <w:szCs w:val="32"/>
        </w:rPr>
        <w:t>3</w:t>
      </w:r>
      <w:r>
        <w:rPr>
          <w:rFonts w:ascii="Times New Roman" w:eastAsia="仿宋_GB2312" w:hint="eastAsia"/>
          <w:sz w:val="32"/>
          <w:szCs w:val="32"/>
        </w:rPr>
        <w:t>人，部分项目未能按项目计划完成</w:t>
      </w:r>
      <w:r>
        <w:rPr>
          <w:rFonts w:ascii="Times New Roman" w:eastAsia="仿宋_GB2312"/>
          <w:sz w:val="32"/>
          <w:szCs w:val="32"/>
        </w:rPr>
        <w:t>；支出完成年初预算的</w:t>
      </w:r>
      <w:r>
        <w:rPr>
          <w:rFonts w:ascii="Times New Roman" w:eastAsia="仿宋_GB2312"/>
          <w:sz w:val="32"/>
          <w:szCs w:val="32"/>
        </w:rPr>
        <w:t>91.4%</w:t>
      </w:r>
      <w:r>
        <w:rPr>
          <w:rFonts w:ascii="Times New Roman" w:eastAsia="仿宋_GB2312"/>
          <w:sz w:val="32"/>
          <w:szCs w:val="32"/>
        </w:rPr>
        <w:t>，比年初预算减少</w:t>
      </w:r>
      <w:r>
        <w:rPr>
          <w:rFonts w:ascii="Times New Roman" w:eastAsia="仿宋_GB2312"/>
          <w:sz w:val="32"/>
          <w:szCs w:val="32"/>
        </w:rPr>
        <w:t>30.35</w:t>
      </w:r>
      <w:r>
        <w:rPr>
          <w:rFonts w:ascii="Times New Roman" w:eastAsia="仿宋_GB2312"/>
          <w:sz w:val="32"/>
          <w:szCs w:val="32"/>
        </w:rPr>
        <w:t>万元，主要原因是</w:t>
      </w:r>
      <w:r>
        <w:rPr>
          <w:rFonts w:ascii="Times New Roman" w:eastAsia="仿宋_GB2312" w:hint="eastAsia"/>
          <w:sz w:val="32"/>
          <w:szCs w:val="32"/>
        </w:rPr>
        <w:t>在职转退休</w:t>
      </w:r>
      <w:r>
        <w:rPr>
          <w:rFonts w:ascii="Times New Roman" w:eastAsia="仿宋_GB2312" w:hint="eastAsia"/>
          <w:sz w:val="32"/>
          <w:szCs w:val="32"/>
        </w:rPr>
        <w:t>3</w:t>
      </w:r>
      <w:r>
        <w:rPr>
          <w:rFonts w:ascii="Times New Roman" w:eastAsia="仿宋_GB2312" w:hint="eastAsia"/>
          <w:sz w:val="32"/>
          <w:szCs w:val="32"/>
        </w:rPr>
        <w:t>人，部分项目未能按项目计划完成</w:t>
      </w:r>
      <w:r>
        <w:rPr>
          <w:rFonts w:ascii="Times New Roman" w:eastAsia="仿宋_GB2312"/>
          <w:sz w:val="32"/>
          <w:szCs w:val="32"/>
        </w:rPr>
        <w:t>。</w:t>
      </w:r>
    </w:p>
    <w:p w:rsidR="00B23535" w:rsidRDefault="00C23125" w:rsidP="000D50BB">
      <w:pPr>
        <w:widowControl/>
        <w:spacing w:line="580" w:lineRule="exact"/>
        <w:ind w:firstLineChars="200" w:firstLine="640"/>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政府性基金预算财政拨款本年收入完成年初预算的</w:t>
      </w:r>
      <w:r w:rsidR="001F410A">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w:t>
      </w:r>
      <w:r w:rsidR="000D50BB">
        <w:rPr>
          <w:rFonts w:ascii="Times New Roman" w:eastAsia="仿宋_GB2312" w:hint="eastAsia"/>
          <w:sz w:val="32"/>
          <w:szCs w:val="32"/>
        </w:rPr>
        <w:t>与</w:t>
      </w:r>
      <w:r>
        <w:rPr>
          <w:rFonts w:ascii="Times New Roman" w:eastAsia="仿宋_GB2312"/>
          <w:sz w:val="32"/>
          <w:szCs w:val="32"/>
        </w:rPr>
        <w:t>年初预算</w:t>
      </w:r>
      <w:r w:rsidR="000D50BB">
        <w:rPr>
          <w:rFonts w:ascii="Times New Roman" w:eastAsia="仿宋_GB2312" w:hint="eastAsia"/>
          <w:sz w:val="32"/>
          <w:szCs w:val="32"/>
        </w:rPr>
        <w:t>持平</w:t>
      </w:r>
      <w:r>
        <w:rPr>
          <w:rFonts w:ascii="Times New Roman" w:eastAsia="仿宋_GB2312"/>
          <w:sz w:val="32"/>
          <w:szCs w:val="32"/>
        </w:rPr>
        <w:t>，主要原因是</w:t>
      </w:r>
      <w:r>
        <w:rPr>
          <w:rFonts w:ascii="Times New Roman" w:eastAsia="仿宋_GB2312" w:hint="eastAsia"/>
          <w:sz w:val="32"/>
          <w:szCs w:val="32"/>
        </w:rPr>
        <w:t>无政府性基金预算财政拨款收入</w:t>
      </w:r>
      <w:r>
        <w:rPr>
          <w:rFonts w:ascii="Times New Roman" w:eastAsia="仿宋_GB2312"/>
          <w:sz w:val="32"/>
          <w:szCs w:val="32"/>
        </w:rPr>
        <w:t>；支出完成年初预算的</w:t>
      </w:r>
      <w:r w:rsidR="001F410A">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w:t>
      </w:r>
      <w:r w:rsidR="000D50BB">
        <w:rPr>
          <w:rFonts w:ascii="Times New Roman" w:eastAsia="仿宋_GB2312" w:hint="eastAsia"/>
          <w:sz w:val="32"/>
          <w:szCs w:val="32"/>
        </w:rPr>
        <w:t>与</w:t>
      </w:r>
      <w:r>
        <w:rPr>
          <w:rFonts w:ascii="Times New Roman" w:eastAsia="仿宋_GB2312"/>
          <w:sz w:val="32"/>
          <w:szCs w:val="32"/>
        </w:rPr>
        <w:t>年初预算</w:t>
      </w:r>
      <w:r w:rsidR="000D50BB">
        <w:rPr>
          <w:rFonts w:ascii="Times New Roman" w:eastAsia="仿宋_GB2312" w:hint="eastAsia"/>
          <w:sz w:val="32"/>
          <w:szCs w:val="32"/>
        </w:rPr>
        <w:t>持平</w:t>
      </w:r>
      <w:r>
        <w:rPr>
          <w:rFonts w:ascii="Times New Roman" w:eastAsia="仿宋_GB2312"/>
          <w:sz w:val="32"/>
          <w:szCs w:val="32"/>
        </w:rPr>
        <w:t>，主要原因是</w:t>
      </w:r>
      <w:r>
        <w:rPr>
          <w:rFonts w:ascii="Times New Roman" w:eastAsia="仿宋_GB2312" w:hint="eastAsia"/>
          <w:sz w:val="32"/>
          <w:szCs w:val="32"/>
        </w:rPr>
        <w:t>无政府性基金预算财政拨款支出</w:t>
      </w:r>
      <w:r>
        <w:rPr>
          <w:rFonts w:ascii="Times New Roman" w:eastAsia="仿宋_GB2312"/>
          <w:sz w:val="32"/>
          <w:szCs w:val="32"/>
        </w:rPr>
        <w:t>。</w:t>
      </w:r>
    </w:p>
    <w:p w:rsidR="00B23535" w:rsidRDefault="00C23125" w:rsidP="000D50BB">
      <w:pPr>
        <w:widowControl/>
        <w:spacing w:line="580" w:lineRule="exact"/>
        <w:ind w:firstLineChars="200" w:firstLine="640"/>
        <w:rPr>
          <w:rFonts w:ascii="Times New Roman" w:eastAsia="仿宋_GB2312"/>
          <w:sz w:val="32"/>
          <w:szCs w:val="32"/>
        </w:rPr>
      </w:pPr>
      <w:r>
        <w:rPr>
          <w:rFonts w:ascii="Times New Roman" w:eastAsia="仿宋_GB2312"/>
          <w:sz w:val="32"/>
          <w:szCs w:val="32"/>
        </w:rPr>
        <w:t xml:space="preserve">3. </w:t>
      </w:r>
      <w:r>
        <w:rPr>
          <w:rFonts w:ascii="Times New Roman" w:eastAsia="仿宋_GB2312"/>
          <w:sz w:val="32"/>
          <w:szCs w:val="32"/>
        </w:rPr>
        <w:t>国有资本经营预算财政拨款本年收入完成年初预算的</w:t>
      </w:r>
      <w:r w:rsidR="001F410A">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w:t>
      </w:r>
      <w:r w:rsidR="000D50BB">
        <w:rPr>
          <w:rFonts w:ascii="Times New Roman" w:eastAsia="仿宋_GB2312" w:hint="eastAsia"/>
          <w:sz w:val="32"/>
          <w:szCs w:val="32"/>
        </w:rPr>
        <w:t>与</w:t>
      </w:r>
      <w:r>
        <w:rPr>
          <w:rFonts w:ascii="Times New Roman" w:eastAsia="仿宋_GB2312"/>
          <w:sz w:val="32"/>
          <w:szCs w:val="32"/>
        </w:rPr>
        <w:t>年初预算</w:t>
      </w:r>
      <w:r w:rsidR="000D50BB">
        <w:rPr>
          <w:rFonts w:ascii="Times New Roman" w:eastAsia="仿宋_GB2312" w:hint="eastAsia"/>
          <w:sz w:val="32"/>
          <w:szCs w:val="32"/>
        </w:rPr>
        <w:t>持平</w:t>
      </w:r>
      <w:r>
        <w:rPr>
          <w:rFonts w:ascii="Times New Roman" w:eastAsia="仿宋_GB2312"/>
          <w:sz w:val="32"/>
          <w:szCs w:val="32"/>
        </w:rPr>
        <w:t>，主要原因是</w:t>
      </w:r>
      <w:r>
        <w:rPr>
          <w:rFonts w:ascii="Times New Roman" w:eastAsia="仿宋_GB2312" w:hint="eastAsia"/>
          <w:sz w:val="32"/>
          <w:szCs w:val="32"/>
        </w:rPr>
        <w:t>无国有资本经营预算财政拨款收入</w:t>
      </w:r>
      <w:r>
        <w:rPr>
          <w:rFonts w:ascii="Times New Roman" w:eastAsia="仿宋_GB2312"/>
          <w:sz w:val="32"/>
          <w:szCs w:val="32"/>
        </w:rPr>
        <w:t>；支出完成年初预算的</w:t>
      </w:r>
      <w:r w:rsidR="001F410A">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w:t>
      </w:r>
      <w:r w:rsidR="000D50BB">
        <w:rPr>
          <w:rFonts w:ascii="Times New Roman" w:eastAsia="仿宋_GB2312" w:hint="eastAsia"/>
          <w:sz w:val="32"/>
          <w:szCs w:val="32"/>
        </w:rPr>
        <w:t>与</w:t>
      </w:r>
      <w:r>
        <w:rPr>
          <w:rFonts w:ascii="Times New Roman" w:eastAsia="仿宋_GB2312"/>
          <w:sz w:val="32"/>
          <w:szCs w:val="32"/>
        </w:rPr>
        <w:t>年初预算</w:t>
      </w:r>
      <w:r w:rsidR="000D50BB">
        <w:rPr>
          <w:rFonts w:ascii="Times New Roman" w:eastAsia="仿宋_GB2312" w:hint="eastAsia"/>
          <w:sz w:val="32"/>
          <w:szCs w:val="32"/>
        </w:rPr>
        <w:t>持平</w:t>
      </w:r>
      <w:r>
        <w:rPr>
          <w:rFonts w:ascii="Times New Roman" w:eastAsia="仿宋_GB2312"/>
          <w:sz w:val="32"/>
          <w:szCs w:val="32"/>
        </w:rPr>
        <w:t>，主要原因是</w:t>
      </w:r>
      <w:r>
        <w:rPr>
          <w:rFonts w:ascii="Times New Roman" w:eastAsia="仿宋_GB2312" w:hint="eastAsia"/>
          <w:sz w:val="32"/>
          <w:szCs w:val="32"/>
        </w:rPr>
        <w:t>无国有资本经营预算财政拨款支出</w:t>
      </w:r>
      <w:r>
        <w:rPr>
          <w:rFonts w:ascii="Times New Roman" w:eastAsia="仿宋_GB2312"/>
          <w:sz w:val="32"/>
          <w:szCs w:val="32"/>
        </w:rPr>
        <w:t>。</w:t>
      </w:r>
    </w:p>
    <w:p w:rsidR="00B23535" w:rsidRDefault="00B23535">
      <w:pPr>
        <w:pStyle w:val="a7"/>
        <w:widowControl/>
        <w:spacing w:beforeAutospacing="0" w:afterAutospacing="0"/>
        <w:rPr>
          <w:rFonts w:ascii="Times New Roman" w:eastAsia="Arial" w:hAnsi="Times New Roman"/>
        </w:rPr>
      </w:pPr>
    </w:p>
    <w:p w:rsidR="00B23535" w:rsidRDefault="00C23125">
      <w:pPr>
        <w:pStyle w:val="a7"/>
        <w:widowControl/>
        <w:spacing w:beforeAutospacing="0" w:afterAutospacing="0"/>
        <w:jc w:val="center"/>
        <w:rPr>
          <w:rFonts w:ascii="Times New Roman" w:eastAsia="仿宋_GB2312" w:hAnsi="Times New Roman"/>
          <w:sz w:val="32"/>
          <w:szCs w:val="32"/>
        </w:rPr>
      </w:pPr>
      <w:r>
        <w:rPr>
          <w:rFonts w:ascii="Times New Roman" w:eastAsia="仿宋_GB2312" w:hAnsi="Times New Roman"/>
          <w:noProof/>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23535" w:rsidRDefault="00C23125">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（三）财政拨款支出决算结构情况</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2024</w:t>
      </w:r>
      <w:r>
        <w:rPr>
          <w:rFonts w:ascii="Times New Roman" w:eastAsia="仿宋_GB2312"/>
          <w:sz w:val="32"/>
          <w:szCs w:val="32"/>
        </w:rPr>
        <w:t>年度财政拨款支出</w:t>
      </w:r>
      <w:r>
        <w:rPr>
          <w:rFonts w:ascii="Times New Roman" w:eastAsia="仿宋_GB2312"/>
          <w:sz w:val="32"/>
          <w:szCs w:val="32"/>
        </w:rPr>
        <w:t>323.70</w:t>
      </w:r>
      <w:r>
        <w:rPr>
          <w:rFonts w:ascii="Times New Roman" w:eastAsia="仿宋_GB2312"/>
          <w:sz w:val="32"/>
          <w:szCs w:val="32"/>
        </w:rPr>
        <w:t>万元，主要用于以下方面：</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一般公共预算财政拨款支出：</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一般公共服务（类）支出</w:t>
      </w:r>
      <w:r>
        <w:rPr>
          <w:rFonts w:ascii="Times New Roman" w:eastAsia="仿宋_GB2312"/>
          <w:sz w:val="32"/>
          <w:szCs w:val="32"/>
        </w:rPr>
        <w:t>273.57</w:t>
      </w:r>
      <w:r>
        <w:rPr>
          <w:rFonts w:ascii="Times New Roman" w:eastAsia="仿宋_GB2312"/>
          <w:sz w:val="32"/>
          <w:szCs w:val="32"/>
        </w:rPr>
        <w:t>万元，占</w:t>
      </w:r>
      <w:r>
        <w:rPr>
          <w:rFonts w:ascii="Times New Roman" w:eastAsia="仿宋_GB2312"/>
          <w:sz w:val="32"/>
          <w:szCs w:val="32"/>
        </w:rPr>
        <w:t>84.5%</w:t>
      </w:r>
      <w:r>
        <w:rPr>
          <w:rFonts w:ascii="Times New Roman" w:eastAsia="仿宋_GB2312"/>
          <w:sz w:val="32"/>
          <w:szCs w:val="32"/>
        </w:rPr>
        <w:t>，主要用于</w:t>
      </w:r>
      <w:r>
        <w:rPr>
          <w:rFonts w:ascii="Times New Roman" w:eastAsia="仿宋_GB2312" w:hint="eastAsia"/>
          <w:sz w:val="32"/>
          <w:szCs w:val="32"/>
        </w:rPr>
        <w:t>人员经费、公用经费、专项普查、统计抽样调查</w:t>
      </w:r>
      <w:r>
        <w:rPr>
          <w:rFonts w:ascii="Times New Roman" w:eastAsia="仿宋_GB2312"/>
          <w:sz w:val="32"/>
          <w:szCs w:val="32"/>
        </w:rPr>
        <w:t>等支出；社会保障和就业</w:t>
      </w:r>
      <w:r>
        <w:rPr>
          <w:rFonts w:ascii="Times New Roman" w:eastAsia="仿宋_GB2312"/>
          <w:sz w:val="32"/>
          <w:szCs w:val="32"/>
        </w:rPr>
        <w:t xml:space="preserve"> </w:t>
      </w:r>
      <w:r>
        <w:rPr>
          <w:rFonts w:ascii="Times New Roman" w:eastAsia="仿宋_GB2312"/>
          <w:sz w:val="32"/>
          <w:szCs w:val="32"/>
        </w:rPr>
        <w:t>（类）支出</w:t>
      </w:r>
      <w:r>
        <w:rPr>
          <w:rFonts w:ascii="Times New Roman" w:eastAsia="仿宋_GB2312"/>
          <w:sz w:val="32"/>
          <w:szCs w:val="32"/>
        </w:rPr>
        <w:t>42.42</w:t>
      </w:r>
      <w:r>
        <w:rPr>
          <w:rFonts w:ascii="Times New Roman" w:eastAsia="仿宋_GB2312"/>
          <w:sz w:val="32"/>
          <w:szCs w:val="32"/>
        </w:rPr>
        <w:t>万元，占</w:t>
      </w:r>
      <w:r>
        <w:rPr>
          <w:rFonts w:ascii="Times New Roman" w:eastAsia="仿宋_GB2312"/>
          <w:sz w:val="32"/>
          <w:szCs w:val="32"/>
        </w:rPr>
        <w:t>13.1%</w:t>
      </w:r>
      <w:r>
        <w:rPr>
          <w:rFonts w:ascii="Times New Roman" w:eastAsia="仿宋_GB2312"/>
          <w:sz w:val="32"/>
          <w:szCs w:val="32"/>
        </w:rPr>
        <w:t>，主要用于</w:t>
      </w:r>
      <w:r>
        <w:rPr>
          <w:rFonts w:ascii="Times New Roman" w:eastAsia="仿宋_GB2312" w:hint="eastAsia"/>
          <w:sz w:val="32"/>
          <w:szCs w:val="32"/>
        </w:rPr>
        <w:t>人员保险</w:t>
      </w:r>
      <w:r>
        <w:rPr>
          <w:rFonts w:ascii="Times New Roman" w:eastAsia="仿宋_GB2312"/>
          <w:sz w:val="32"/>
          <w:szCs w:val="32"/>
        </w:rPr>
        <w:t>等支出；住房保障（类）支出</w:t>
      </w:r>
      <w:r>
        <w:rPr>
          <w:rFonts w:ascii="Times New Roman" w:eastAsia="仿宋_GB2312"/>
          <w:sz w:val="32"/>
          <w:szCs w:val="32"/>
        </w:rPr>
        <w:t>7.71</w:t>
      </w:r>
      <w:r>
        <w:rPr>
          <w:rFonts w:ascii="Times New Roman" w:eastAsia="仿宋_GB2312"/>
          <w:sz w:val="32"/>
          <w:szCs w:val="32"/>
        </w:rPr>
        <w:t>万元，占</w:t>
      </w:r>
      <w:r>
        <w:rPr>
          <w:rFonts w:ascii="Times New Roman" w:eastAsia="仿宋_GB2312"/>
          <w:sz w:val="32"/>
          <w:szCs w:val="32"/>
        </w:rPr>
        <w:t>2.4%</w:t>
      </w:r>
      <w:r>
        <w:rPr>
          <w:rFonts w:ascii="Times New Roman" w:eastAsia="仿宋_GB2312"/>
          <w:sz w:val="32"/>
          <w:szCs w:val="32"/>
        </w:rPr>
        <w:t>，主要用于</w:t>
      </w:r>
      <w:r>
        <w:rPr>
          <w:rFonts w:ascii="Times New Roman" w:eastAsia="仿宋_GB2312" w:hint="eastAsia"/>
          <w:sz w:val="32"/>
          <w:szCs w:val="32"/>
        </w:rPr>
        <w:t>住房公积金</w:t>
      </w:r>
      <w:r>
        <w:rPr>
          <w:rFonts w:ascii="Times New Roman" w:eastAsia="仿宋_GB2312"/>
          <w:sz w:val="32"/>
          <w:szCs w:val="32"/>
        </w:rPr>
        <w:t>等支出；</w:t>
      </w:r>
    </w:p>
    <w:p w:rsidR="00B23535" w:rsidRDefault="00C23125">
      <w:pPr>
        <w:pStyle w:val="a7"/>
        <w:widowControl/>
        <w:spacing w:beforeAutospacing="0" w:afterAutospacing="0"/>
        <w:rPr>
          <w:rFonts w:ascii="Times New Roman" w:eastAsia="仿宋_GB2312" w:hAnsi="Times New Roman"/>
          <w:kern w:val="2"/>
          <w:sz w:val="32"/>
          <w:szCs w:val="32"/>
          <w:lang w:val="zh-CN"/>
        </w:rPr>
      </w:pPr>
      <w:r>
        <w:rPr>
          <w:rFonts w:ascii="Times New Roman" w:eastAsia="仿宋_GB2312" w:hAnsi="Times New Roman"/>
          <w:noProof/>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23535" w:rsidRDefault="00C23125">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（四）一般公共预算基本支出决算情况说明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2024</w:t>
      </w:r>
      <w:r>
        <w:rPr>
          <w:rFonts w:ascii="Times New Roman" w:eastAsia="仿宋_GB2312"/>
          <w:sz w:val="32"/>
          <w:szCs w:val="32"/>
        </w:rPr>
        <w:t>年度财政拨款基本支出</w:t>
      </w:r>
      <w:r w:rsidR="000D50BB">
        <w:rPr>
          <w:rFonts w:ascii="Times New Roman" w:eastAsia="仿宋_GB2312"/>
          <w:sz w:val="32"/>
          <w:szCs w:val="32"/>
        </w:rPr>
        <w:t>254.1</w:t>
      </w:r>
      <w:r>
        <w:rPr>
          <w:rFonts w:ascii="Times New Roman" w:eastAsia="仿宋_GB2312"/>
          <w:sz w:val="32"/>
          <w:szCs w:val="32"/>
        </w:rPr>
        <w:t>万元，其中：</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人员经费</w:t>
      </w:r>
      <w:r>
        <w:rPr>
          <w:rFonts w:ascii="Times New Roman" w:eastAsia="仿宋_GB2312"/>
          <w:sz w:val="32"/>
          <w:szCs w:val="32"/>
        </w:rPr>
        <w:t>196.87</w:t>
      </w:r>
      <w:r>
        <w:rPr>
          <w:rFonts w:ascii="Times New Roman" w:eastAsia="仿宋_GB2312"/>
          <w:sz w:val="32"/>
          <w:szCs w:val="32"/>
        </w:rPr>
        <w:t>万元，主要包括基本工资、津贴补贴、绩效工资、机关事业部门基本养老保险缴费、职业年金缴费、职工基本医疗保险缴费、住房公积金、其他社会保障缴费、离休费、</w:t>
      </w:r>
      <w:r>
        <w:rPr>
          <w:rFonts w:ascii="Times New Roman" w:eastAsia="仿宋_GB2312"/>
          <w:sz w:val="32"/>
          <w:szCs w:val="32"/>
        </w:rPr>
        <w:t xml:space="preserve"> </w:t>
      </w:r>
      <w:r>
        <w:rPr>
          <w:rFonts w:ascii="Times New Roman" w:eastAsia="仿宋_GB2312"/>
          <w:sz w:val="32"/>
          <w:szCs w:val="32"/>
        </w:rPr>
        <w:t>退休费</w:t>
      </w:r>
      <w:r>
        <w:rPr>
          <w:rFonts w:ascii="Times New Roman" w:eastAsia="仿宋_GB2312" w:hint="eastAsia"/>
          <w:sz w:val="32"/>
          <w:szCs w:val="32"/>
        </w:rPr>
        <w:t>。</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公用经费</w:t>
      </w:r>
      <w:r>
        <w:rPr>
          <w:rFonts w:ascii="Times New Roman" w:eastAsia="仿宋_GB2312"/>
          <w:sz w:val="32"/>
          <w:szCs w:val="32"/>
        </w:rPr>
        <w:t>57.23</w:t>
      </w:r>
      <w:r>
        <w:rPr>
          <w:rFonts w:ascii="Times New Roman" w:eastAsia="仿宋_GB2312"/>
          <w:sz w:val="32"/>
          <w:szCs w:val="32"/>
        </w:rPr>
        <w:t>万元，主要包括办公费、印刷费、邮电费、取暖费、差旅费、维修（护）费、租赁费、会议费、培训费、劳务费、委托业务费、公务用车运行维护费、其他商品和服务支出。</w:t>
      </w:r>
    </w:p>
    <w:p w:rsidR="00B23535" w:rsidRDefault="00C23125">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五、财政拨款</w:t>
      </w:r>
      <w:r>
        <w:rPr>
          <w:rFonts w:ascii="Times New Roman" w:eastAsia="黑体"/>
          <w:sz w:val="32"/>
          <w:szCs w:val="32"/>
        </w:rPr>
        <w:t>“</w:t>
      </w:r>
      <w:r>
        <w:rPr>
          <w:rFonts w:ascii="Times New Roman" w:eastAsia="黑体"/>
          <w:sz w:val="32"/>
          <w:szCs w:val="32"/>
        </w:rPr>
        <w:t>三公</w:t>
      </w:r>
      <w:r>
        <w:rPr>
          <w:rFonts w:ascii="Times New Roman" w:eastAsia="黑体"/>
          <w:sz w:val="32"/>
          <w:szCs w:val="32"/>
        </w:rPr>
        <w:t>”</w:t>
      </w:r>
      <w:r>
        <w:rPr>
          <w:rFonts w:ascii="Times New Roman" w:eastAsia="黑体"/>
          <w:sz w:val="32"/>
          <w:szCs w:val="32"/>
        </w:rPr>
        <w:t xml:space="preserve"> </w:t>
      </w:r>
      <w:r>
        <w:rPr>
          <w:rFonts w:ascii="Times New Roman" w:eastAsia="黑体"/>
          <w:sz w:val="32"/>
          <w:szCs w:val="32"/>
        </w:rPr>
        <w:t>经费支出决算情况说明</w:t>
      </w:r>
    </w:p>
    <w:p w:rsidR="00B23535" w:rsidRDefault="00C23125">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（一）</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经费财政拨款支出决算总体情况说明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w:t>
      </w:r>
      <w:r>
        <w:rPr>
          <w:rFonts w:ascii="Times New Roman" w:eastAsia="仿宋_GB2312"/>
          <w:sz w:val="32"/>
          <w:szCs w:val="32"/>
        </w:rPr>
        <w:t>“</w:t>
      </w:r>
      <w:r>
        <w:rPr>
          <w:rFonts w:ascii="Times New Roman" w:eastAsia="仿宋_GB2312"/>
          <w:sz w:val="32"/>
          <w:szCs w:val="32"/>
        </w:rPr>
        <w:t>三公</w:t>
      </w:r>
      <w:r>
        <w:rPr>
          <w:rFonts w:ascii="Times New Roman" w:eastAsia="仿宋_GB2312"/>
          <w:sz w:val="32"/>
          <w:szCs w:val="32"/>
        </w:rPr>
        <w:t>”</w:t>
      </w:r>
      <w:r>
        <w:rPr>
          <w:rFonts w:ascii="Times New Roman" w:eastAsia="仿宋_GB2312"/>
          <w:sz w:val="32"/>
          <w:szCs w:val="32"/>
        </w:rPr>
        <w:t>经费财政拨款支出预算为</w:t>
      </w:r>
      <w:r w:rsidR="000D50BB">
        <w:rPr>
          <w:rFonts w:ascii="Times New Roman" w:eastAsia="仿宋_GB2312"/>
          <w:sz w:val="32"/>
          <w:szCs w:val="32"/>
        </w:rPr>
        <w:t>4</w:t>
      </w:r>
      <w:r>
        <w:rPr>
          <w:rFonts w:ascii="Times New Roman" w:eastAsia="仿宋_GB2312"/>
          <w:sz w:val="32"/>
          <w:szCs w:val="32"/>
        </w:rPr>
        <w:t>万元，支出决算为</w:t>
      </w:r>
      <w:r>
        <w:rPr>
          <w:rFonts w:ascii="Times New Roman" w:eastAsia="仿宋_GB2312"/>
          <w:sz w:val="32"/>
          <w:szCs w:val="32"/>
        </w:rPr>
        <w:t>2.97</w:t>
      </w:r>
      <w:r>
        <w:rPr>
          <w:rFonts w:ascii="Times New Roman" w:eastAsia="仿宋_GB2312"/>
          <w:sz w:val="32"/>
          <w:szCs w:val="32"/>
        </w:rPr>
        <w:t>万元，完成预算的</w:t>
      </w:r>
      <w:r>
        <w:rPr>
          <w:rFonts w:ascii="Times New Roman" w:eastAsia="仿宋_GB2312"/>
          <w:sz w:val="32"/>
          <w:szCs w:val="32"/>
        </w:rPr>
        <w:t>74.3%</w:t>
      </w:r>
      <w:r>
        <w:rPr>
          <w:rFonts w:ascii="Times New Roman" w:eastAsia="仿宋_GB2312"/>
          <w:sz w:val="32"/>
          <w:szCs w:val="32"/>
        </w:rPr>
        <w:t>，较预算减少</w:t>
      </w:r>
      <w:r>
        <w:rPr>
          <w:rFonts w:ascii="Times New Roman" w:eastAsia="仿宋_GB2312"/>
          <w:sz w:val="32"/>
          <w:szCs w:val="32"/>
        </w:rPr>
        <w:t>1.03</w:t>
      </w:r>
      <w:r>
        <w:rPr>
          <w:rFonts w:ascii="Times New Roman" w:eastAsia="仿宋_GB2312"/>
          <w:sz w:val="32"/>
          <w:szCs w:val="32"/>
        </w:rPr>
        <w:t>万元，降低</w:t>
      </w:r>
      <w:r>
        <w:rPr>
          <w:rFonts w:ascii="Times New Roman" w:eastAsia="仿宋_GB2312"/>
          <w:sz w:val="32"/>
          <w:szCs w:val="32"/>
        </w:rPr>
        <w:t>25.8%</w:t>
      </w:r>
      <w:r>
        <w:rPr>
          <w:rFonts w:ascii="Times New Roman" w:eastAsia="仿宋_GB2312"/>
          <w:sz w:val="32"/>
          <w:szCs w:val="32"/>
        </w:rPr>
        <w:t>，</w:t>
      </w:r>
      <w:r w:rsidRPr="005623A8">
        <w:rPr>
          <w:rFonts w:ascii="Times New Roman" w:eastAsia="仿宋_GB2312"/>
          <w:sz w:val="32"/>
          <w:szCs w:val="32"/>
        </w:rPr>
        <w:t>主要原因是</w:t>
      </w:r>
      <w:r w:rsidR="005623A8">
        <w:rPr>
          <w:rFonts w:ascii="Times New Roman" w:eastAsia="仿宋_GB2312" w:hint="eastAsia"/>
          <w:sz w:val="32"/>
          <w:szCs w:val="32"/>
        </w:rPr>
        <w:t>我部门压缩三公经费支出</w:t>
      </w:r>
      <w:r>
        <w:rPr>
          <w:rFonts w:ascii="Times New Roman" w:eastAsia="仿宋_GB2312"/>
          <w:sz w:val="32"/>
          <w:szCs w:val="32"/>
        </w:rPr>
        <w:t>；较</w:t>
      </w:r>
      <w:r>
        <w:rPr>
          <w:rFonts w:ascii="Times New Roman" w:eastAsia="仿宋_GB2312"/>
          <w:sz w:val="32"/>
          <w:szCs w:val="32"/>
        </w:rPr>
        <w:t>2023</w:t>
      </w:r>
      <w:r>
        <w:rPr>
          <w:rFonts w:ascii="Times New Roman" w:eastAsia="仿宋_GB2312"/>
          <w:sz w:val="32"/>
          <w:szCs w:val="32"/>
        </w:rPr>
        <w:t>年度决算减少</w:t>
      </w:r>
      <w:r>
        <w:rPr>
          <w:rFonts w:ascii="Times New Roman" w:eastAsia="仿宋_GB2312"/>
          <w:sz w:val="32"/>
          <w:szCs w:val="32"/>
        </w:rPr>
        <w:t>0.18</w:t>
      </w:r>
      <w:r>
        <w:rPr>
          <w:rFonts w:ascii="Times New Roman" w:eastAsia="仿宋_GB2312"/>
          <w:sz w:val="32"/>
          <w:szCs w:val="32"/>
        </w:rPr>
        <w:t>万元，降低</w:t>
      </w:r>
      <w:r>
        <w:rPr>
          <w:rFonts w:ascii="Times New Roman" w:eastAsia="仿宋_GB2312"/>
          <w:sz w:val="32"/>
          <w:szCs w:val="32"/>
        </w:rPr>
        <w:t>5.7%</w:t>
      </w:r>
      <w:r>
        <w:rPr>
          <w:rFonts w:ascii="Times New Roman" w:eastAsia="仿宋_GB2312"/>
          <w:sz w:val="32"/>
          <w:szCs w:val="32"/>
        </w:rPr>
        <w:t>，主要原因是</w:t>
      </w:r>
      <w:r>
        <w:rPr>
          <w:rFonts w:ascii="Times New Roman" w:eastAsia="仿宋_GB2312" w:hint="eastAsia"/>
          <w:sz w:val="32"/>
          <w:szCs w:val="32"/>
        </w:rPr>
        <w:t>我部门压缩三公经费支出</w:t>
      </w:r>
      <w:r>
        <w:rPr>
          <w:rFonts w:ascii="Times New Roman" w:eastAsia="仿宋_GB2312"/>
          <w:sz w:val="32"/>
          <w:szCs w:val="32"/>
        </w:rPr>
        <w:t>。</w:t>
      </w:r>
    </w:p>
    <w:p w:rsidR="00B23535" w:rsidRDefault="00C23125">
      <w:pPr>
        <w:widowControl/>
        <w:spacing w:line="360" w:lineRule="auto"/>
        <w:ind w:firstLineChars="200" w:firstLine="643"/>
        <w:jc w:val="left"/>
        <w:rPr>
          <w:rFonts w:ascii="Times New Roman" w:eastAsia="楷体_GB2312"/>
          <w:sz w:val="32"/>
          <w:szCs w:val="32"/>
        </w:rPr>
      </w:pPr>
      <w:r>
        <w:rPr>
          <w:rFonts w:ascii="Times New Roman" w:eastAsia="楷体_GB2312"/>
          <w:b/>
          <w:sz w:val="32"/>
          <w:szCs w:val="32"/>
        </w:rPr>
        <w:t>（二）</w:t>
      </w:r>
      <w:r>
        <w:rPr>
          <w:rFonts w:ascii="Times New Roman" w:eastAsia="楷体_GB2312"/>
          <w:b/>
          <w:sz w:val="32"/>
          <w:szCs w:val="32"/>
        </w:rPr>
        <w:t>“</w:t>
      </w:r>
      <w:r>
        <w:rPr>
          <w:rFonts w:ascii="Times New Roman" w:eastAsia="楷体_GB2312"/>
          <w:b/>
          <w:sz w:val="32"/>
          <w:szCs w:val="32"/>
        </w:rPr>
        <w:t>三公</w:t>
      </w:r>
      <w:r>
        <w:rPr>
          <w:rFonts w:ascii="Times New Roman" w:eastAsia="楷体_GB2312"/>
          <w:b/>
          <w:sz w:val="32"/>
          <w:szCs w:val="32"/>
        </w:rPr>
        <w:t>”</w:t>
      </w:r>
      <w:r>
        <w:rPr>
          <w:rFonts w:ascii="Times New Roman" w:eastAsia="楷体_GB2312"/>
          <w:b/>
          <w:sz w:val="32"/>
          <w:szCs w:val="32"/>
        </w:rPr>
        <w:t>经费财政拨款支出决算具体情况说明</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1.</w:t>
      </w:r>
      <w:r>
        <w:rPr>
          <w:rFonts w:ascii="Times New Roman" w:eastAsia="楷体_GB2312"/>
          <w:b/>
          <w:sz w:val="32"/>
          <w:szCs w:val="32"/>
        </w:rPr>
        <w:t>因公出国（境）费支出情况。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年度因公出国（境）费支出预算为</w:t>
      </w:r>
      <w:r w:rsidR="005623A8">
        <w:rPr>
          <w:rFonts w:ascii="Times New Roman" w:eastAsia="仿宋_GB2312"/>
          <w:sz w:val="32"/>
          <w:szCs w:val="32"/>
        </w:rPr>
        <w:t>0</w:t>
      </w:r>
      <w:r>
        <w:rPr>
          <w:rFonts w:ascii="Times New Roman" w:eastAsia="仿宋_GB2312"/>
          <w:sz w:val="32"/>
          <w:szCs w:val="32"/>
        </w:rPr>
        <w:t>万元</w:t>
      </w:r>
      <w:r>
        <w:rPr>
          <w:rFonts w:ascii="Times New Roman" w:eastAsia="仿宋_GB2312"/>
          <w:sz w:val="32"/>
          <w:szCs w:val="32"/>
        </w:rPr>
        <w:t>,</w:t>
      </w:r>
      <w:r>
        <w:rPr>
          <w:rFonts w:ascii="Times New Roman" w:eastAsia="仿宋_GB2312"/>
          <w:sz w:val="32"/>
          <w:szCs w:val="32"/>
        </w:rPr>
        <w:t>支出决算</w:t>
      </w:r>
      <w:r w:rsidR="005623A8">
        <w:rPr>
          <w:rFonts w:ascii="Times New Roman" w:eastAsia="仿宋_GB2312"/>
          <w:sz w:val="32"/>
          <w:szCs w:val="32"/>
        </w:rPr>
        <w:t>0</w:t>
      </w:r>
      <w:r>
        <w:rPr>
          <w:rFonts w:ascii="Times New Roman" w:eastAsia="仿宋_GB2312"/>
          <w:sz w:val="32"/>
          <w:szCs w:val="32"/>
        </w:rPr>
        <w:t>万元。完成预算的</w:t>
      </w:r>
      <w:r w:rsidR="005623A8">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。因公出国（境）费支出</w:t>
      </w:r>
      <w:r w:rsidR="000D50BB">
        <w:rPr>
          <w:rFonts w:ascii="Times New Roman" w:eastAsia="仿宋_GB2312" w:hint="eastAsia"/>
          <w:sz w:val="32"/>
          <w:szCs w:val="32"/>
        </w:rPr>
        <w:t>与</w:t>
      </w:r>
      <w:r>
        <w:rPr>
          <w:rFonts w:ascii="Times New Roman" w:eastAsia="仿宋_GB2312"/>
          <w:sz w:val="32"/>
          <w:szCs w:val="32"/>
        </w:rPr>
        <w:t>预算</w:t>
      </w:r>
      <w:r w:rsidR="000D50BB">
        <w:rPr>
          <w:rFonts w:ascii="Times New Roman" w:eastAsia="仿宋_GB2312" w:hint="eastAsia"/>
          <w:sz w:val="32"/>
          <w:szCs w:val="32"/>
        </w:rPr>
        <w:t>持平</w:t>
      </w:r>
      <w:r>
        <w:rPr>
          <w:rFonts w:ascii="Times New Roman" w:eastAsia="仿宋_GB2312"/>
          <w:sz w:val="32"/>
          <w:szCs w:val="32"/>
        </w:rPr>
        <w:t>,</w:t>
      </w:r>
      <w:r w:rsidR="000D50BB">
        <w:rPr>
          <w:rFonts w:ascii="Times New Roman" w:eastAsia="仿宋_GB2312" w:hint="eastAsia"/>
          <w:sz w:val="32"/>
          <w:szCs w:val="32"/>
        </w:rPr>
        <w:t>与上年决算持平，</w:t>
      </w:r>
      <w:r>
        <w:rPr>
          <w:rFonts w:ascii="Times New Roman" w:eastAsia="仿宋_GB2312"/>
          <w:sz w:val="32"/>
          <w:szCs w:val="32"/>
        </w:rPr>
        <w:t>主要原因是</w:t>
      </w:r>
      <w:r>
        <w:rPr>
          <w:rFonts w:ascii="Times New Roman" w:eastAsia="仿宋_GB2312" w:hint="eastAsia"/>
          <w:sz w:val="32"/>
          <w:szCs w:val="32"/>
        </w:rPr>
        <w:t>2024</w:t>
      </w:r>
      <w:r>
        <w:rPr>
          <w:rFonts w:ascii="Times New Roman" w:eastAsia="仿宋_GB2312" w:hint="eastAsia"/>
          <w:sz w:val="32"/>
          <w:szCs w:val="32"/>
        </w:rPr>
        <w:t>年未发生因公出国（境）费支出情况</w:t>
      </w:r>
      <w:r>
        <w:rPr>
          <w:rFonts w:ascii="Times New Roman" w:eastAsia="仿宋_GB2312"/>
          <w:sz w:val="32"/>
          <w:szCs w:val="32"/>
        </w:rPr>
        <w:t>；因公出国（境）团组</w:t>
      </w:r>
      <w:r>
        <w:rPr>
          <w:rFonts w:ascii="Times New Roman" w:eastAsia="仿宋_GB2312"/>
          <w:sz w:val="32"/>
          <w:szCs w:val="32"/>
        </w:rPr>
        <w:t>0</w:t>
      </w:r>
      <w:r>
        <w:rPr>
          <w:rFonts w:ascii="Times New Roman" w:eastAsia="仿宋_GB2312"/>
          <w:sz w:val="32"/>
          <w:szCs w:val="32"/>
        </w:rPr>
        <w:t>个、共</w:t>
      </w:r>
      <w:r>
        <w:rPr>
          <w:rFonts w:ascii="Times New Roman" w:eastAsia="仿宋_GB2312"/>
          <w:sz w:val="32"/>
          <w:szCs w:val="32"/>
        </w:rPr>
        <w:t>0</w:t>
      </w:r>
      <w:r>
        <w:rPr>
          <w:rFonts w:ascii="Times New Roman" w:eastAsia="仿宋_GB2312"/>
          <w:sz w:val="32"/>
          <w:szCs w:val="32"/>
        </w:rPr>
        <w:t>人、参加其他单位组织的因公出国（境）团组</w:t>
      </w:r>
      <w:r w:rsidR="005623A8">
        <w:rPr>
          <w:rFonts w:ascii="Times New Roman" w:eastAsia="仿宋_GB2312" w:hint="eastAsia"/>
          <w:sz w:val="32"/>
          <w:szCs w:val="32"/>
        </w:rPr>
        <w:t>0</w:t>
      </w:r>
      <w:r>
        <w:rPr>
          <w:rFonts w:ascii="Times New Roman" w:eastAsia="仿宋_GB2312"/>
          <w:sz w:val="32"/>
          <w:szCs w:val="32"/>
        </w:rPr>
        <w:t>个、共</w:t>
      </w:r>
      <w:r w:rsidR="005623A8">
        <w:rPr>
          <w:rFonts w:ascii="Times New Roman" w:eastAsia="仿宋_GB2312" w:hint="eastAsia"/>
          <w:sz w:val="32"/>
          <w:szCs w:val="32"/>
        </w:rPr>
        <w:t>0</w:t>
      </w:r>
      <w:r>
        <w:rPr>
          <w:rFonts w:ascii="Times New Roman" w:eastAsia="仿宋_GB2312"/>
          <w:sz w:val="32"/>
          <w:szCs w:val="32"/>
        </w:rPr>
        <w:t>人</w:t>
      </w:r>
      <w:r w:rsidR="000D50BB">
        <w:rPr>
          <w:rFonts w:ascii="Times New Roman" w:eastAsia="仿宋_GB2312" w:hint="eastAsia"/>
          <w:sz w:val="32"/>
          <w:szCs w:val="32"/>
        </w:rPr>
        <w:t>、</w:t>
      </w:r>
      <w:r>
        <w:rPr>
          <w:rFonts w:ascii="Times New Roman" w:eastAsia="仿宋_GB2312"/>
          <w:sz w:val="32"/>
          <w:szCs w:val="32"/>
        </w:rPr>
        <w:t>无本部门组织的出国（境）团组。</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2.</w:t>
      </w:r>
      <w:r>
        <w:rPr>
          <w:rFonts w:ascii="Times New Roman" w:eastAsia="楷体_GB2312"/>
          <w:b/>
          <w:sz w:val="32"/>
          <w:szCs w:val="32"/>
        </w:rPr>
        <w:t>公务用车购置及运行维护费支出情况。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年度公务用车购置及运行维护费预算为</w:t>
      </w:r>
      <w:r>
        <w:rPr>
          <w:rFonts w:ascii="Times New Roman" w:eastAsia="仿宋_GB2312"/>
          <w:sz w:val="32"/>
          <w:szCs w:val="32"/>
        </w:rPr>
        <w:t>3</w:t>
      </w:r>
      <w:r>
        <w:rPr>
          <w:rFonts w:ascii="Times New Roman" w:eastAsia="仿宋_GB2312"/>
          <w:sz w:val="32"/>
          <w:szCs w:val="32"/>
        </w:rPr>
        <w:t>万元，支出决算</w:t>
      </w:r>
      <w:r>
        <w:rPr>
          <w:rFonts w:ascii="Times New Roman" w:eastAsia="仿宋_GB2312"/>
          <w:sz w:val="32"/>
          <w:szCs w:val="32"/>
        </w:rPr>
        <w:t>2.97</w:t>
      </w:r>
      <w:r>
        <w:rPr>
          <w:rFonts w:ascii="Times New Roman" w:eastAsia="仿宋_GB2312"/>
          <w:sz w:val="32"/>
          <w:szCs w:val="32"/>
        </w:rPr>
        <w:t>万元，完成预算的</w:t>
      </w:r>
      <w:r w:rsidR="000D50BB">
        <w:rPr>
          <w:rFonts w:ascii="Times New Roman" w:eastAsia="仿宋_GB2312"/>
          <w:sz w:val="32"/>
          <w:szCs w:val="32"/>
        </w:rPr>
        <w:t>99</w:t>
      </w:r>
      <w:r>
        <w:rPr>
          <w:rFonts w:ascii="Times New Roman" w:eastAsia="仿宋_GB2312"/>
          <w:sz w:val="32"/>
          <w:szCs w:val="32"/>
        </w:rPr>
        <w:t>%,</w:t>
      </w:r>
      <w:r>
        <w:rPr>
          <w:rFonts w:ascii="Times New Roman" w:eastAsia="仿宋_GB2312"/>
          <w:sz w:val="32"/>
          <w:szCs w:val="32"/>
        </w:rPr>
        <w:t>较预算减少</w:t>
      </w:r>
      <w:r>
        <w:rPr>
          <w:rFonts w:ascii="Times New Roman" w:eastAsia="仿宋_GB2312"/>
          <w:sz w:val="32"/>
          <w:szCs w:val="32"/>
        </w:rPr>
        <w:t>0.03</w:t>
      </w:r>
      <w:r>
        <w:rPr>
          <w:rFonts w:ascii="Times New Roman" w:eastAsia="仿宋_GB2312"/>
          <w:sz w:val="32"/>
          <w:szCs w:val="32"/>
        </w:rPr>
        <w:t>万元，降低</w:t>
      </w:r>
      <w:r w:rsidR="000D50BB">
        <w:rPr>
          <w:rFonts w:ascii="Times New Roman" w:eastAsia="仿宋_GB2312"/>
          <w:sz w:val="32"/>
          <w:szCs w:val="32"/>
        </w:rPr>
        <w:t>1</w:t>
      </w:r>
      <w:r>
        <w:rPr>
          <w:rFonts w:ascii="Times New Roman" w:eastAsia="仿宋_GB2312"/>
          <w:sz w:val="32"/>
          <w:szCs w:val="32"/>
        </w:rPr>
        <w:t>%,</w:t>
      </w:r>
      <w:r>
        <w:rPr>
          <w:rFonts w:ascii="Times New Roman" w:eastAsia="仿宋_GB2312"/>
          <w:sz w:val="32"/>
          <w:szCs w:val="32"/>
        </w:rPr>
        <w:t>主要原因是</w:t>
      </w:r>
      <w:r>
        <w:rPr>
          <w:rFonts w:ascii="Times New Roman" w:eastAsia="仿宋_GB2312" w:hint="eastAsia"/>
          <w:sz w:val="32"/>
          <w:szCs w:val="32"/>
        </w:rPr>
        <w:t>我部门响应中央八项规定，压缩三公经费支出</w:t>
      </w:r>
      <w:r>
        <w:rPr>
          <w:rFonts w:ascii="Times New Roman" w:eastAsia="仿宋_GB2312"/>
          <w:sz w:val="32"/>
          <w:szCs w:val="32"/>
        </w:rPr>
        <w:t>；较上年减少</w:t>
      </w:r>
      <w:r>
        <w:rPr>
          <w:rFonts w:ascii="Times New Roman" w:eastAsia="仿宋_GB2312"/>
          <w:sz w:val="32"/>
          <w:szCs w:val="32"/>
        </w:rPr>
        <w:t>0.18</w:t>
      </w:r>
      <w:r>
        <w:rPr>
          <w:rFonts w:ascii="Times New Roman" w:eastAsia="仿宋_GB2312"/>
          <w:sz w:val="32"/>
          <w:szCs w:val="32"/>
        </w:rPr>
        <w:t>万元，降低</w:t>
      </w:r>
      <w:r>
        <w:rPr>
          <w:rFonts w:ascii="Times New Roman" w:eastAsia="仿宋_GB2312"/>
          <w:sz w:val="32"/>
          <w:szCs w:val="32"/>
        </w:rPr>
        <w:t>5.7%,</w:t>
      </w:r>
      <w:r>
        <w:rPr>
          <w:rFonts w:ascii="Times New Roman" w:eastAsia="仿宋_GB2312"/>
          <w:sz w:val="32"/>
          <w:szCs w:val="32"/>
        </w:rPr>
        <w:t>主要原因是</w:t>
      </w:r>
      <w:r>
        <w:rPr>
          <w:rFonts w:ascii="Times New Roman" w:eastAsia="仿宋_GB2312" w:hint="eastAsia"/>
          <w:sz w:val="32"/>
          <w:szCs w:val="32"/>
        </w:rPr>
        <w:t>我部门响应中央八项规定，压缩三公经费支出</w:t>
      </w:r>
      <w:r>
        <w:rPr>
          <w:rFonts w:ascii="Times New Roman" w:eastAsia="仿宋_GB2312"/>
          <w:sz w:val="32"/>
          <w:szCs w:val="32"/>
        </w:rPr>
        <w:t>。其中：</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公务用车购置费支出</w:t>
      </w:r>
      <w:r w:rsidR="005623A8">
        <w:rPr>
          <w:rFonts w:ascii="Times New Roman" w:eastAsia="仿宋_GB2312"/>
          <w:b/>
          <w:sz w:val="32"/>
          <w:szCs w:val="32"/>
        </w:rPr>
        <w:t>0</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年度公务用车购置量</w:t>
      </w:r>
      <w:r>
        <w:rPr>
          <w:rFonts w:ascii="Times New Roman" w:eastAsia="仿宋_GB2312"/>
          <w:sz w:val="32"/>
          <w:szCs w:val="32"/>
        </w:rPr>
        <w:t>0</w:t>
      </w:r>
      <w:r>
        <w:rPr>
          <w:rFonts w:ascii="Times New Roman" w:eastAsia="仿宋_GB2312"/>
          <w:sz w:val="32"/>
          <w:szCs w:val="32"/>
        </w:rPr>
        <w:t>辆，发生</w:t>
      </w:r>
      <w:r>
        <w:rPr>
          <w:rFonts w:ascii="Times New Roman" w:eastAsia="仿宋_GB2312"/>
          <w:sz w:val="32"/>
          <w:szCs w:val="32"/>
        </w:rPr>
        <w:t>“</w:t>
      </w:r>
      <w:r>
        <w:rPr>
          <w:rFonts w:ascii="Times New Roman" w:eastAsia="仿宋_GB2312"/>
          <w:sz w:val="32"/>
          <w:szCs w:val="32"/>
        </w:rPr>
        <w:t>公务用车购置</w:t>
      </w:r>
      <w:r>
        <w:rPr>
          <w:rFonts w:ascii="Times New Roman" w:eastAsia="仿宋_GB2312"/>
          <w:sz w:val="32"/>
          <w:szCs w:val="32"/>
        </w:rPr>
        <w:t>”</w:t>
      </w:r>
      <w:r>
        <w:rPr>
          <w:rFonts w:ascii="Times New Roman" w:eastAsia="仿宋_GB2312"/>
          <w:sz w:val="32"/>
          <w:szCs w:val="32"/>
        </w:rPr>
        <w:t>经费支出</w:t>
      </w:r>
      <w:r w:rsidR="005623A8">
        <w:rPr>
          <w:rFonts w:ascii="Times New Roman" w:eastAsia="仿宋_GB2312"/>
          <w:sz w:val="32"/>
          <w:szCs w:val="32"/>
        </w:rPr>
        <w:t>0</w:t>
      </w:r>
      <w:r>
        <w:rPr>
          <w:rFonts w:ascii="Times New Roman" w:eastAsia="仿宋_GB2312"/>
          <w:sz w:val="32"/>
          <w:szCs w:val="32"/>
        </w:rPr>
        <w:t>万元。公务用车购置费支出</w:t>
      </w:r>
      <w:r w:rsidR="000D50BB">
        <w:rPr>
          <w:rFonts w:ascii="Times New Roman" w:eastAsia="仿宋_GB2312" w:hint="eastAsia"/>
          <w:sz w:val="32"/>
          <w:szCs w:val="32"/>
        </w:rPr>
        <w:t>与</w:t>
      </w:r>
      <w:r>
        <w:rPr>
          <w:rFonts w:ascii="Times New Roman" w:eastAsia="仿宋_GB2312"/>
          <w:sz w:val="32"/>
          <w:szCs w:val="32"/>
        </w:rPr>
        <w:t>预算</w:t>
      </w:r>
      <w:r w:rsidR="000D50BB">
        <w:rPr>
          <w:rFonts w:ascii="Times New Roman" w:eastAsia="仿宋_GB2312" w:hint="eastAsia"/>
          <w:sz w:val="32"/>
          <w:szCs w:val="32"/>
        </w:rPr>
        <w:t>持平</w:t>
      </w:r>
      <w:r>
        <w:rPr>
          <w:rFonts w:ascii="Times New Roman" w:eastAsia="仿宋_GB2312"/>
          <w:sz w:val="32"/>
          <w:szCs w:val="32"/>
        </w:rPr>
        <w:t>，</w:t>
      </w:r>
      <w:r>
        <w:rPr>
          <w:rFonts w:ascii="Times New Roman" w:eastAsia="仿宋_GB2312"/>
          <w:sz w:val="32"/>
          <w:szCs w:val="32"/>
        </w:rPr>
        <w:t>,</w:t>
      </w:r>
      <w:r>
        <w:rPr>
          <w:rFonts w:ascii="Times New Roman" w:eastAsia="仿宋_GB2312"/>
          <w:sz w:val="32"/>
          <w:szCs w:val="32"/>
        </w:rPr>
        <w:t>主要原因是</w:t>
      </w:r>
      <w:r>
        <w:rPr>
          <w:rFonts w:ascii="Times New Roman" w:eastAsia="仿宋_GB2312" w:hint="eastAsia"/>
          <w:sz w:val="32"/>
          <w:szCs w:val="32"/>
        </w:rPr>
        <w:t>无公务用车购置费支出</w:t>
      </w:r>
      <w:r>
        <w:rPr>
          <w:rFonts w:ascii="Times New Roman" w:eastAsia="仿宋_GB2312"/>
          <w:sz w:val="32"/>
          <w:szCs w:val="32"/>
        </w:rPr>
        <w:t>；</w:t>
      </w:r>
      <w:r>
        <w:rPr>
          <w:rFonts w:ascii="Times New Roman" w:eastAsia="仿宋_GB2312" w:hint="eastAsia"/>
          <w:sz w:val="32"/>
          <w:szCs w:val="32"/>
        </w:rPr>
        <w:t>与</w:t>
      </w:r>
      <w:r>
        <w:rPr>
          <w:rFonts w:ascii="Times New Roman" w:eastAsia="仿宋_GB2312" w:hint="eastAsia"/>
          <w:sz w:val="32"/>
          <w:szCs w:val="32"/>
        </w:rPr>
        <w:t>2023</w:t>
      </w:r>
      <w:r>
        <w:rPr>
          <w:rFonts w:ascii="Times New Roman" w:eastAsia="仿宋_GB2312" w:hint="eastAsia"/>
          <w:sz w:val="32"/>
          <w:szCs w:val="32"/>
        </w:rPr>
        <w:t>年度决算持平</w:t>
      </w:r>
      <w:r w:rsidR="000D50BB">
        <w:rPr>
          <w:rFonts w:ascii="Times New Roman" w:eastAsia="仿宋_GB2312" w:hint="eastAsia"/>
          <w:sz w:val="32"/>
          <w:szCs w:val="32"/>
        </w:rPr>
        <w:t>，</w:t>
      </w:r>
      <w:r>
        <w:rPr>
          <w:rFonts w:ascii="Times New Roman" w:eastAsia="仿宋_GB2312"/>
          <w:sz w:val="32"/>
          <w:szCs w:val="32"/>
        </w:rPr>
        <w:t>主要原因是</w:t>
      </w:r>
      <w:r>
        <w:rPr>
          <w:rFonts w:ascii="Times New Roman" w:eastAsia="仿宋_GB2312" w:hint="eastAsia"/>
          <w:sz w:val="32"/>
          <w:szCs w:val="32"/>
        </w:rPr>
        <w:t>无公务用车购置费支出</w:t>
      </w:r>
      <w:r>
        <w:rPr>
          <w:rFonts w:ascii="Times New Roman" w:eastAsia="仿宋_GB2312"/>
          <w:sz w:val="32"/>
          <w:szCs w:val="32"/>
        </w:rPr>
        <w:t>。</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公务用车运行维护费支出</w:t>
      </w:r>
      <w:r>
        <w:rPr>
          <w:rFonts w:ascii="Times New Roman" w:eastAsia="仿宋_GB2312"/>
          <w:b/>
          <w:sz w:val="32"/>
          <w:szCs w:val="32"/>
        </w:rPr>
        <w:t>2.97</w:t>
      </w:r>
      <w:r>
        <w:rPr>
          <w:rFonts w:ascii="Times New Roman" w:eastAsia="仿宋_GB2312"/>
          <w:b/>
          <w:sz w:val="32"/>
          <w:szCs w:val="32"/>
        </w:rPr>
        <w:t>万元：</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年度单位公务用车保有量</w:t>
      </w:r>
      <w:r>
        <w:rPr>
          <w:rFonts w:ascii="Times New Roman" w:eastAsia="仿宋_GB2312"/>
          <w:sz w:val="32"/>
          <w:szCs w:val="32"/>
        </w:rPr>
        <w:t>1</w:t>
      </w:r>
      <w:r>
        <w:rPr>
          <w:rFonts w:ascii="Times New Roman" w:eastAsia="仿宋_GB2312"/>
          <w:sz w:val="32"/>
          <w:szCs w:val="32"/>
        </w:rPr>
        <w:t>辆，发生运行维护费支出</w:t>
      </w:r>
      <w:r>
        <w:rPr>
          <w:rFonts w:ascii="Times New Roman" w:eastAsia="仿宋_GB2312"/>
          <w:sz w:val="32"/>
          <w:szCs w:val="32"/>
        </w:rPr>
        <w:t>2.97</w:t>
      </w:r>
      <w:r>
        <w:rPr>
          <w:rFonts w:ascii="Times New Roman" w:eastAsia="仿宋_GB2312"/>
          <w:sz w:val="32"/>
          <w:szCs w:val="32"/>
        </w:rPr>
        <w:t>万元。公车运行维护费支出较预算减少</w:t>
      </w:r>
      <w:r>
        <w:rPr>
          <w:rFonts w:ascii="Times New Roman" w:eastAsia="仿宋_GB2312"/>
          <w:sz w:val="32"/>
          <w:szCs w:val="32"/>
        </w:rPr>
        <w:t>0.03</w:t>
      </w:r>
      <w:r>
        <w:rPr>
          <w:rFonts w:ascii="Times New Roman" w:eastAsia="仿宋_GB2312"/>
          <w:sz w:val="32"/>
          <w:szCs w:val="32"/>
        </w:rPr>
        <w:t>万元，降低</w:t>
      </w:r>
      <w:r w:rsidR="000D50BB">
        <w:rPr>
          <w:rFonts w:ascii="Times New Roman" w:eastAsia="仿宋_GB2312"/>
          <w:sz w:val="32"/>
          <w:szCs w:val="32"/>
        </w:rPr>
        <w:t>1</w:t>
      </w:r>
      <w:r>
        <w:rPr>
          <w:rFonts w:ascii="Times New Roman" w:eastAsia="仿宋_GB2312"/>
          <w:sz w:val="32"/>
          <w:szCs w:val="32"/>
        </w:rPr>
        <w:t>%,</w:t>
      </w:r>
      <w:r>
        <w:rPr>
          <w:rFonts w:ascii="Times New Roman" w:eastAsia="仿宋_GB2312"/>
          <w:sz w:val="32"/>
          <w:szCs w:val="32"/>
        </w:rPr>
        <w:t>主要原因是</w:t>
      </w:r>
      <w:r>
        <w:rPr>
          <w:rFonts w:ascii="Times New Roman" w:eastAsia="仿宋_GB2312" w:hint="eastAsia"/>
          <w:sz w:val="32"/>
          <w:szCs w:val="32"/>
        </w:rPr>
        <w:t>开源节流，节省公车运行维护费支出</w:t>
      </w:r>
      <w:r>
        <w:rPr>
          <w:rFonts w:ascii="Times New Roman" w:eastAsia="仿宋_GB2312"/>
          <w:sz w:val="32"/>
          <w:szCs w:val="32"/>
        </w:rPr>
        <w:t>；较上年减少</w:t>
      </w:r>
      <w:r>
        <w:rPr>
          <w:rFonts w:ascii="Times New Roman" w:eastAsia="仿宋_GB2312"/>
          <w:sz w:val="32"/>
          <w:szCs w:val="32"/>
        </w:rPr>
        <w:t>0.18</w:t>
      </w:r>
      <w:r>
        <w:rPr>
          <w:rFonts w:ascii="Times New Roman" w:eastAsia="仿宋_GB2312"/>
          <w:sz w:val="32"/>
          <w:szCs w:val="32"/>
        </w:rPr>
        <w:t>万元，降低</w:t>
      </w:r>
      <w:r>
        <w:rPr>
          <w:rFonts w:ascii="Times New Roman" w:eastAsia="仿宋_GB2312"/>
          <w:sz w:val="32"/>
          <w:szCs w:val="32"/>
        </w:rPr>
        <w:t>5.7%</w:t>
      </w:r>
      <w:r>
        <w:rPr>
          <w:rFonts w:ascii="Times New Roman" w:eastAsia="仿宋_GB2312"/>
          <w:sz w:val="32"/>
          <w:szCs w:val="32"/>
        </w:rPr>
        <w:t>，主要原因是</w:t>
      </w:r>
      <w:r>
        <w:rPr>
          <w:rFonts w:ascii="Times New Roman" w:eastAsia="仿宋_GB2312" w:hint="eastAsia"/>
          <w:sz w:val="32"/>
          <w:szCs w:val="32"/>
        </w:rPr>
        <w:t>开源节流，节省公车运行维护费支出</w:t>
      </w:r>
      <w:r>
        <w:rPr>
          <w:rFonts w:ascii="Times New Roman" w:eastAsia="仿宋_GB2312"/>
          <w:sz w:val="32"/>
          <w:szCs w:val="32"/>
        </w:rPr>
        <w:t>。</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楷体_GB2312"/>
          <w:b/>
          <w:sz w:val="32"/>
          <w:szCs w:val="32"/>
        </w:rPr>
        <w:t>3.</w:t>
      </w:r>
      <w:r>
        <w:rPr>
          <w:rFonts w:ascii="Times New Roman" w:eastAsia="楷体_GB2312"/>
          <w:b/>
          <w:sz w:val="32"/>
          <w:szCs w:val="32"/>
        </w:rPr>
        <w:t>公务接待费支出情况。</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年度公务接待费支出预算为</w:t>
      </w:r>
      <w:r w:rsidR="005623A8">
        <w:rPr>
          <w:rFonts w:ascii="Times New Roman" w:eastAsia="仿宋_GB2312"/>
          <w:sz w:val="32"/>
          <w:szCs w:val="32"/>
        </w:rPr>
        <w:t>1</w:t>
      </w:r>
      <w:r>
        <w:rPr>
          <w:rFonts w:ascii="Times New Roman" w:eastAsia="仿宋_GB2312"/>
          <w:sz w:val="32"/>
          <w:szCs w:val="32"/>
        </w:rPr>
        <w:t>万元，支出决算</w:t>
      </w:r>
      <w:r w:rsidR="005623A8">
        <w:rPr>
          <w:rFonts w:ascii="Times New Roman" w:eastAsia="仿宋_GB2312"/>
          <w:sz w:val="32"/>
          <w:szCs w:val="32"/>
        </w:rPr>
        <w:t>0</w:t>
      </w:r>
      <w:r>
        <w:rPr>
          <w:rFonts w:ascii="Times New Roman" w:eastAsia="仿宋_GB2312"/>
          <w:sz w:val="32"/>
          <w:szCs w:val="32"/>
        </w:rPr>
        <w:t>万元，完成预算的</w:t>
      </w:r>
      <w:r w:rsidR="005623A8">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。公务接待费支出较预算减少</w:t>
      </w:r>
      <w:r w:rsidR="005623A8">
        <w:rPr>
          <w:rFonts w:ascii="Times New Roman" w:eastAsia="仿宋_GB2312"/>
          <w:sz w:val="32"/>
          <w:szCs w:val="32"/>
        </w:rPr>
        <w:t>1</w:t>
      </w:r>
      <w:r>
        <w:rPr>
          <w:rFonts w:ascii="Times New Roman" w:eastAsia="仿宋_GB2312"/>
          <w:sz w:val="32"/>
          <w:szCs w:val="32"/>
        </w:rPr>
        <w:t>万元，降低</w:t>
      </w:r>
      <w:r w:rsidR="005623A8">
        <w:rPr>
          <w:rFonts w:ascii="Times New Roman" w:eastAsia="仿宋_GB2312"/>
          <w:sz w:val="32"/>
          <w:szCs w:val="32"/>
        </w:rPr>
        <w:t>100</w:t>
      </w:r>
      <w:r>
        <w:rPr>
          <w:rFonts w:ascii="Times New Roman" w:eastAsia="仿宋_GB2312"/>
          <w:sz w:val="32"/>
          <w:szCs w:val="32"/>
        </w:rPr>
        <w:t>%,</w:t>
      </w:r>
      <w:r>
        <w:rPr>
          <w:rFonts w:ascii="Times New Roman" w:eastAsia="仿宋_GB2312"/>
          <w:sz w:val="32"/>
          <w:szCs w:val="32"/>
        </w:rPr>
        <w:t>主要原因是</w:t>
      </w:r>
      <w:r>
        <w:rPr>
          <w:rFonts w:ascii="仿宋" w:eastAsia="仿宋" w:hAnsi="仿宋" w:cs="仿宋"/>
          <w:spacing w:val="4"/>
          <w:sz w:val="31"/>
          <w:szCs w:val="31"/>
        </w:rPr>
        <w:t>2023年度未发生公务</w:t>
      </w:r>
      <w:r>
        <w:rPr>
          <w:rFonts w:ascii="仿宋" w:eastAsia="仿宋" w:hAnsi="仿宋" w:cs="仿宋"/>
          <w:spacing w:val="6"/>
          <w:sz w:val="31"/>
          <w:szCs w:val="31"/>
        </w:rPr>
        <w:t>接待费用</w:t>
      </w:r>
      <w:r>
        <w:rPr>
          <w:rFonts w:ascii="Times New Roman" w:eastAsia="仿宋_GB2312"/>
          <w:sz w:val="32"/>
          <w:szCs w:val="32"/>
        </w:rPr>
        <w:t>；</w:t>
      </w:r>
      <w:r>
        <w:rPr>
          <w:rFonts w:ascii="Times New Roman" w:eastAsia="仿宋_GB2312" w:hint="eastAsia"/>
          <w:sz w:val="32"/>
          <w:szCs w:val="32"/>
        </w:rPr>
        <w:t>与</w:t>
      </w:r>
      <w:r>
        <w:rPr>
          <w:rFonts w:ascii="Times New Roman" w:eastAsia="仿宋_GB2312" w:hint="eastAsia"/>
          <w:sz w:val="32"/>
          <w:szCs w:val="32"/>
        </w:rPr>
        <w:t>2023</w:t>
      </w:r>
      <w:r>
        <w:rPr>
          <w:rFonts w:ascii="Times New Roman" w:eastAsia="仿宋_GB2312" w:hint="eastAsia"/>
          <w:sz w:val="32"/>
          <w:szCs w:val="32"/>
        </w:rPr>
        <w:t>年度决算持平。</w:t>
      </w:r>
      <w:r>
        <w:rPr>
          <w:rFonts w:ascii="Times New Roman" w:eastAsia="仿宋_GB2312"/>
          <w:sz w:val="32"/>
          <w:szCs w:val="32"/>
        </w:rPr>
        <w:t>本年度共发生公务接待</w:t>
      </w:r>
      <w:r>
        <w:rPr>
          <w:rFonts w:ascii="Times New Roman" w:eastAsia="仿宋_GB2312"/>
          <w:sz w:val="32"/>
          <w:szCs w:val="32"/>
        </w:rPr>
        <w:t>0</w:t>
      </w:r>
      <w:r>
        <w:rPr>
          <w:rFonts w:ascii="Times New Roman" w:eastAsia="仿宋_GB2312"/>
          <w:sz w:val="32"/>
          <w:szCs w:val="32"/>
        </w:rPr>
        <w:t>批次、</w:t>
      </w:r>
      <w:r>
        <w:rPr>
          <w:rFonts w:ascii="Times New Roman" w:eastAsia="仿宋_GB2312"/>
          <w:sz w:val="32"/>
          <w:szCs w:val="32"/>
        </w:rPr>
        <w:t>0</w:t>
      </w:r>
      <w:r>
        <w:rPr>
          <w:rFonts w:ascii="Times New Roman" w:eastAsia="仿宋_GB2312"/>
          <w:sz w:val="32"/>
          <w:szCs w:val="32"/>
        </w:rPr>
        <w:t>人次。</w:t>
      </w:r>
    </w:p>
    <w:p w:rsidR="00B23535" w:rsidRDefault="00C23125">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六、机关运行经费支出说明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年度机关运行经费支出</w:t>
      </w:r>
      <w:r>
        <w:rPr>
          <w:rFonts w:ascii="Times New Roman" w:eastAsia="仿宋_GB2312"/>
          <w:sz w:val="32"/>
          <w:szCs w:val="32"/>
        </w:rPr>
        <w:t>57.23</w:t>
      </w:r>
      <w:r>
        <w:rPr>
          <w:rFonts w:ascii="Times New Roman" w:eastAsia="仿宋_GB2312"/>
          <w:sz w:val="32"/>
          <w:szCs w:val="32"/>
        </w:rPr>
        <w:t>万元，较</w:t>
      </w:r>
      <w:r>
        <w:rPr>
          <w:rFonts w:ascii="Times New Roman" w:eastAsia="仿宋_GB2312"/>
          <w:sz w:val="32"/>
          <w:szCs w:val="32"/>
        </w:rPr>
        <w:t>2023</w:t>
      </w:r>
      <w:r>
        <w:rPr>
          <w:rFonts w:ascii="Times New Roman" w:eastAsia="仿宋_GB2312"/>
          <w:sz w:val="32"/>
          <w:szCs w:val="32"/>
        </w:rPr>
        <w:t>年度增加</w:t>
      </w:r>
      <w:r>
        <w:rPr>
          <w:rFonts w:ascii="Times New Roman" w:eastAsia="仿宋_GB2312"/>
          <w:sz w:val="32"/>
          <w:szCs w:val="32"/>
        </w:rPr>
        <w:t>31.88</w:t>
      </w:r>
      <w:r>
        <w:rPr>
          <w:rFonts w:ascii="Times New Roman" w:eastAsia="仿宋_GB2312"/>
          <w:sz w:val="32"/>
          <w:szCs w:val="32"/>
        </w:rPr>
        <w:t>万元，增长</w:t>
      </w:r>
      <w:r>
        <w:rPr>
          <w:rFonts w:ascii="Times New Roman" w:eastAsia="仿宋_GB2312"/>
          <w:sz w:val="32"/>
          <w:szCs w:val="32"/>
        </w:rPr>
        <w:t>125.8%</w:t>
      </w:r>
      <w:r>
        <w:rPr>
          <w:rFonts w:ascii="Times New Roman" w:eastAsia="仿宋_GB2312"/>
          <w:sz w:val="32"/>
          <w:szCs w:val="32"/>
        </w:rPr>
        <w:t>。主要原因是</w:t>
      </w:r>
      <w:r>
        <w:rPr>
          <w:rFonts w:ascii="Times New Roman" w:eastAsia="仿宋_GB2312" w:hint="eastAsia"/>
          <w:sz w:val="32"/>
          <w:szCs w:val="32"/>
        </w:rPr>
        <w:t>为规范会计核算，将劳务派遣人员工资调整为劳务费</w:t>
      </w:r>
      <w:r>
        <w:rPr>
          <w:rFonts w:ascii="Times New Roman" w:eastAsia="仿宋_GB2312"/>
          <w:sz w:val="32"/>
          <w:szCs w:val="32"/>
        </w:rPr>
        <w:t>。</w:t>
      </w:r>
    </w:p>
    <w:p w:rsidR="00B23535" w:rsidRDefault="00C23125">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七、政府采购支出说明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年度政府采购支出总额</w:t>
      </w:r>
      <w:r w:rsidR="005623A8">
        <w:rPr>
          <w:rFonts w:ascii="Times New Roman" w:eastAsia="仿宋_GB2312"/>
          <w:sz w:val="32"/>
          <w:szCs w:val="32"/>
        </w:rPr>
        <w:t>0</w:t>
      </w:r>
      <w:r>
        <w:rPr>
          <w:rFonts w:ascii="Times New Roman" w:eastAsia="仿宋_GB2312"/>
          <w:sz w:val="32"/>
          <w:szCs w:val="32"/>
        </w:rPr>
        <w:t>万元，从采购类型来看，政府采购货物支出</w:t>
      </w:r>
      <w:r w:rsidR="005623A8">
        <w:rPr>
          <w:rFonts w:ascii="Times New Roman" w:eastAsia="仿宋_GB2312"/>
          <w:sz w:val="32"/>
          <w:szCs w:val="32"/>
        </w:rPr>
        <w:t>0</w:t>
      </w:r>
      <w:r>
        <w:rPr>
          <w:rFonts w:ascii="Times New Roman" w:eastAsia="仿宋_GB2312"/>
          <w:sz w:val="32"/>
          <w:szCs w:val="32"/>
        </w:rPr>
        <w:t>万元、政府采购工程支出</w:t>
      </w:r>
      <w:r w:rsidR="005623A8">
        <w:rPr>
          <w:rFonts w:ascii="Times New Roman" w:eastAsia="仿宋_GB2312"/>
          <w:sz w:val="32"/>
          <w:szCs w:val="32"/>
        </w:rPr>
        <w:t>0</w:t>
      </w:r>
      <w:r>
        <w:rPr>
          <w:rFonts w:ascii="Times New Roman" w:eastAsia="仿宋_GB2312"/>
          <w:sz w:val="32"/>
          <w:szCs w:val="32"/>
        </w:rPr>
        <w:t>万元、政府采购服务支出</w:t>
      </w:r>
      <w:r w:rsidR="005623A8">
        <w:rPr>
          <w:rFonts w:ascii="Times New Roman" w:eastAsia="仿宋_GB2312"/>
          <w:sz w:val="32"/>
          <w:szCs w:val="32"/>
        </w:rPr>
        <w:t>0</w:t>
      </w:r>
      <w:r>
        <w:rPr>
          <w:rFonts w:ascii="Times New Roman" w:eastAsia="仿宋_GB2312"/>
          <w:sz w:val="32"/>
          <w:szCs w:val="32"/>
        </w:rPr>
        <w:t>万元。授予中小企业合同金额</w:t>
      </w:r>
      <w:r w:rsidR="005623A8">
        <w:rPr>
          <w:rFonts w:ascii="Times New Roman" w:eastAsia="仿宋_GB2312"/>
          <w:sz w:val="32"/>
          <w:szCs w:val="32"/>
        </w:rPr>
        <w:t>0</w:t>
      </w:r>
      <w:r>
        <w:rPr>
          <w:rFonts w:ascii="Times New Roman" w:eastAsia="仿宋_GB2312"/>
          <w:sz w:val="32"/>
          <w:szCs w:val="32"/>
        </w:rPr>
        <w:t>万元，占政府采购支出总额的</w:t>
      </w:r>
      <w:r w:rsidR="005623A8">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，其中授予小微企业合同金额</w:t>
      </w:r>
      <w:r w:rsidR="005623A8">
        <w:rPr>
          <w:rFonts w:ascii="Times New Roman" w:eastAsia="仿宋_GB2312"/>
          <w:sz w:val="32"/>
          <w:szCs w:val="32"/>
        </w:rPr>
        <w:t>0</w:t>
      </w:r>
      <w:r>
        <w:rPr>
          <w:rFonts w:ascii="Times New Roman" w:eastAsia="仿宋_GB2312"/>
          <w:sz w:val="32"/>
          <w:szCs w:val="32"/>
        </w:rPr>
        <w:t>万元，占政府采购支出总额的</w:t>
      </w:r>
      <w:r w:rsidR="005623A8">
        <w:rPr>
          <w:rFonts w:ascii="Times New Roman" w:eastAsia="仿宋_GB2312"/>
          <w:sz w:val="32"/>
          <w:szCs w:val="32"/>
        </w:rPr>
        <w:t>0</w:t>
      </w:r>
      <w:r>
        <w:rPr>
          <w:rFonts w:ascii="Times New Roman" w:eastAsia="仿宋_GB2312"/>
          <w:sz w:val="32"/>
          <w:szCs w:val="32"/>
        </w:rPr>
        <w:t>%</w:t>
      </w:r>
      <w:r>
        <w:rPr>
          <w:rFonts w:ascii="Times New Roman" w:eastAsia="仿宋_GB2312"/>
          <w:sz w:val="32"/>
          <w:szCs w:val="32"/>
        </w:rPr>
        <w:t>。</w:t>
      </w:r>
    </w:p>
    <w:p w:rsidR="00B23535" w:rsidRDefault="00C23125">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八、国有资产占用情况说明</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截至</w:t>
      </w:r>
      <w:r>
        <w:rPr>
          <w:rFonts w:ascii="Times New Roman" w:eastAsia="仿宋_GB2312"/>
          <w:sz w:val="32"/>
          <w:szCs w:val="32"/>
        </w:rPr>
        <w:t>2024</w:t>
      </w:r>
      <w:r>
        <w:rPr>
          <w:rFonts w:ascii="Times New Roman" w:eastAsia="仿宋_GB2312"/>
          <w:sz w:val="32"/>
          <w:szCs w:val="32"/>
        </w:rPr>
        <w:t>年</w:t>
      </w:r>
      <w:r>
        <w:rPr>
          <w:rFonts w:ascii="Times New Roman" w:eastAsia="仿宋_GB2312"/>
          <w:sz w:val="32"/>
          <w:szCs w:val="32"/>
        </w:rPr>
        <w:t>12</w:t>
      </w:r>
      <w:r>
        <w:rPr>
          <w:rFonts w:ascii="Times New Roman" w:eastAsia="仿宋_GB2312"/>
          <w:sz w:val="32"/>
          <w:szCs w:val="32"/>
        </w:rPr>
        <w:t>月</w:t>
      </w:r>
      <w:r>
        <w:rPr>
          <w:rFonts w:ascii="Times New Roman" w:eastAsia="仿宋_GB2312"/>
          <w:sz w:val="32"/>
          <w:szCs w:val="32"/>
        </w:rPr>
        <w:t>31</w:t>
      </w:r>
      <w:r>
        <w:rPr>
          <w:rFonts w:ascii="Times New Roman" w:eastAsia="仿宋_GB2312"/>
          <w:sz w:val="32"/>
          <w:szCs w:val="32"/>
        </w:rPr>
        <w:t>日，本部门共有车辆</w:t>
      </w:r>
      <w:r>
        <w:rPr>
          <w:rFonts w:ascii="Times New Roman" w:eastAsia="仿宋_GB2312"/>
          <w:sz w:val="32"/>
          <w:szCs w:val="32"/>
        </w:rPr>
        <w:t>1</w:t>
      </w:r>
      <w:r>
        <w:rPr>
          <w:rFonts w:ascii="Times New Roman" w:eastAsia="仿宋_GB2312"/>
          <w:sz w:val="32"/>
          <w:szCs w:val="32"/>
        </w:rPr>
        <w:t>辆，</w:t>
      </w:r>
      <w:r w:rsidR="000D50BB">
        <w:rPr>
          <w:rFonts w:ascii="Times New Roman" w:eastAsia="仿宋_GB2312" w:hint="eastAsia"/>
          <w:sz w:val="32"/>
          <w:szCs w:val="32"/>
        </w:rPr>
        <w:t>与</w:t>
      </w:r>
      <w:r>
        <w:rPr>
          <w:rFonts w:ascii="Times New Roman" w:eastAsia="仿宋_GB2312"/>
          <w:sz w:val="32"/>
          <w:szCs w:val="32"/>
        </w:rPr>
        <w:t>上年</w:t>
      </w:r>
      <w:r w:rsidR="000D50BB">
        <w:rPr>
          <w:rFonts w:ascii="Times New Roman" w:eastAsia="仿宋_GB2312" w:hint="eastAsia"/>
          <w:sz w:val="32"/>
          <w:szCs w:val="32"/>
        </w:rPr>
        <w:t>持平</w:t>
      </w:r>
      <w:r>
        <w:rPr>
          <w:rFonts w:ascii="Times New Roman" w:eastAsia="仿宋_GB2312"/>
          <w:sz w:val="32"/>
          <w:szCs w:val="32"/>
        </w:rPr>
        <w:t>。其中，副部（省）级及以上领导用车</w:t>
      </w:r>
      <w:r>
        <w:rPr>
          <w:rFonts w:ascii="Times New Roman" w:eastAsia="仿宋_GB2312"/>
          <w:sz w:val="32"/>
          <w:szCs w:val="32"/>
        </w:rPr>
        <w:t>0</w:t>
      </w:r>
      <w:r>
        <w:rPr>
          <w:rFonts w:ascii="Times New Roman" w:eastAsia="仿宋_GB2312"/>
          <w:sz w:val="32"/>
          <w:szCs w:val="32"/>
        </w:rPr>
        <w:t>辆，主要负责人用车</w:t>
      </w:r>
      <w:r>
        <w:rPr>
          <w:rFonts w:ascii="Times New Roman" w:eastAsia="仿宋_GB2312"/>
          <w:sz w:val="32"/>
          <w:szCs w:val="32"/>
        </w:rPr>
        <w:t>0</w:t>
      </w:r>
      <w:r>
        <w:rPr>
          <w:rFonts w:ascii="Times New Roman" w:eastAsia="仿宋_GB2312"/>
          <w:sz w:val="32"/>
          <w:szCs w:val="32"/>
        </w:rPr>
        <w:t>辆，机要通信用车</w:t>
      </w:r>
      <w:r>
        <w:rPr>
          <w:rFonts w:ascii="Times New Roman" w:eastAsia="仿宋_GB2312"/>
          <w:sz w:val="32"/>
          <w:szCs w:val="32"/>
        </w:rPr>
        <w:t>0</w:t>
      </w:r>
      <w:r>
        <w:rPr>
          <w:rFonts w:ascii="Times New Roman" w:eastAsia="仿宋_GB2312"/>
          <w:sz w:val="32"/>
          <w:szCs w:val="32"/>
        </w:rPr>
        <w:t>辆，应急保障用车</w:t>
      </w:r>
      <w:r>
        <w:rPr>
          <w:rFonts w:ascii="Times New Roman" w:eastAsia="仿宋_GB2312"/>
          <w:sz w:val="32"/>
          <w:szCs w:val="32"/>
        </w:rPr>
        <w:t>0</w:t>
      </w:r>
      <w:r>
        <w:rPr>
          <w:rFonts w:ascii="Times New Roman" w:eastAsia="仿宋_GB2312"/>
          <w:sz w:val="32"/>
          <w:szCs w:val="32"/>
        </w:rPr>
        <w:t>辆，执法执勤用车</w:t>
      </w:r>
      <w:r>
        <w:rPr>
          <w:rFonts w:ascii="Times New Roman" w:eastAsia="仿宋_GB2312"/>
          <w:sz w:val="32"/>
          <w:szCs w:val="32"/>
        </w:rPr>
        <w:t>0</w:t>
      </w:r>
      <w:r>
        <w:rPr>
          <w:rFonts w:ascii="Times New Roman" w:eastAsia="仿宋_GB2312"/>
          <w:sz w:val="32"/>
          <w:szCs w:val="32"/>
        </w:rPr>
        <w:t>辆，特种专业技术用车</w:t>
      </w:r>
      <w:r>
        <w:rPr>
          <w:rFonts w:ascii="Times New Roman" w:eastAsia="仿宋_GB2312"/>
          <w:sz w:val="32"/>
          <w:szCs w:val="32"/>
        </w:rPr>
        <w:t>0</w:t>
      </w:r>
      <w:r>
        <w:rPr>
          <w:rFonts w:ascii="Times New Roman" w:eastAsia="仿宋_GB2312"/>
          <w:sz w:val="32"/>
          <w:szCs w:val="32"/>
        </w:rPr>
        <w:t>辆，离退休干部用车</w:t>
      </w:r>
      <w:r>
        <w:rPr>
          <w:rFonts w:ascii="Times New Roman" w:eastAsia="仿宋_GB2312"/>
          <w:sz w:val="32"/>
          <w:szCs w:val="32"/>
        </w:rPr>
        <w:t>0</w:t>
      </w:r>
      <w:r>
        <w:rPr>
          <w:rFonts w:ascii="Times New Roman" w:eastAsia="仿宋_GB2312"/>
          <w:sz w:val="32"/>
          <w:szCs w:val="32"/>
        </w:rPr>
        <w:t>辆，其他用车</w:t>
      </w:r>
      <w:r>
        <w:rPr>
          <w:rFonts w:ascii="Times New Roman" w:eastAsia="仿宋_GB2312"/>
          <w:sz w:val="32"/>
          <w:szCs w:val="32"/>
        </w:rPr>
        <w:t>1</w:t>
      </w:r>
      <w:r>
        <w:rPr>
          <w:rFonts w:ascii="Times New Roman" w:eastAsia="仿宋_GB2312"/>
          <w:sz w:val="32"/>
          <w:szCs w:val="32"/>
        </w:rPr>
        <w:t>辆，其</w:t>
      </w:r>
      <w:r w:rsidRPr="005623A8">
        <w:rPr>
          <w:rFonts w:ascii="Times New Roman" w:eastAsia="仿宋_GB2312"/>
          <w:sz w:val="32"/>
          <w:szCs w:val="32"/>
        </w:rPr>
        <w:t>他用车主要是</w:t>
      </w:r>
      <w:r w:rsidR="005623A8" w:rsidRPr="005623A8">
        <w:rPr>
          <w:rFonts w:ascii="Times New Roman" w:eastAsia="仿宋_GB2312" w:hint="eastAsia"/>
          <w:sz w:val="32"/>
          <w:szCs w:val="32"/>
        </w:rPr>
        <w:t>单位公务用车</w:t>
      </w:r>
      <w:r>
        <w:rPr>
          <w:rFonts w:ascii="Times New Roman" w:eastAsia="仿宋_GB2312"/>
          <w:sz w:val="32"/>
          <w:szCs w:val="32"/>
        </w:rPr>
        <w:t>。单位价值</w:t>
      </w:r>
      <w:r>
        <w:rPr>
          <w:rFonts w:ascii="Times New Roman" w:eastAsia="仿宋_GB2312"/>
          <w:sz w:val="32"/>
          <w:szCs w:val="32"/>
        </w:rPr>
        <w:t>100</w:t>
      </w:r>
      <w:r>
        <w:rPr>
          <w:rFonts w:ascii="Times New Roman" w:eastAsia="仿宋_GB2312"/>
          <w:sz w:val="32"/>
          <w:szCs w:val="32"/>
        </w:rPr>
        <w:t>万元（含）以上设备（不含车辆）</w:t>
      </w:r>
      <w:r>
        <w:rPr>
          <w:rFonts w:ascii="Times New Roman" w:eastAsia="仿宋_GB2312"/>
          <w:sz w:val="32"/>
          <w:szCs w:val="32"/>
        </w:rPr>
        <w:t>0</w:t>
      </w:r>
      <w:r>
        <w:rPr>
          <w:rFonts w:ascii="Times New Roman" w:eastAsia="仿宋_GB2312"/>
          <w:sz w:val="32"/>
          <w:szCs w:val="32"/>
        </w:rPr>
        <w:t>台（套）</w:t>
      </w:r>
      <w:r w:rsidR="000D50BB">
        <w:rPr>
          <w:rFonts w:ascii="Times New Roman" w:eastAsia="仿宋_GB2312" w:hint="eastAsia"/>
          <w:sz w:val="32"/>
          <w:szCs w:val="32"/>
        </w:rPr>
        <w:t>，与上年持平</w:t>
      </w:r>
      <w:r>
        <w:rPr>
          <w:rFonts w:ascii="Times New Roman" w:eastAsia="仿宋_GB2312"/>
          <w:sz w:val="32"/>
          <w:szCs w:val="32"/>
        </w:rPr>
        <w:t>。</w:t>
      </w:r>
    </w:p>
    <w:p w:rsidR="00B23535" w:rsidRDefault="00C23125">
      <w:pPr>
        <w:widowControl/>
        <w:spacing w:line="360" w:lineRule="auto"/>
        <w:ind w:firstLineChars="200" w:firstLine="640"/>
        <w:jc w:val="left"/>
        <w:outlineLvl w:val="1"/>
        <w:rPr>
          <w:rFonts w:ascii="Times New Roman" w:eastAsia="黑体"/>
          <w:sz w:val="32"/>
          <w:szCs w:val="32"/>
        </w:rPr>
      </w:pPr>
      <w:r>
        <w:rPr>
          <w:rFonts w:ascii="Times New Roman" w:eastAsia="黑体"/>
          <w:sz w:val="32"/>
          <w:szCs w:val="32"/>
        </w:rPr>
        <w:t>九、关于</w:t>
      </w:r>
      <w:r>
        <w:rPr>
          <w:rFonts w:ascii="Times New Roman" w:eastAsia="黑体"/>
          <w:sz w:val="32"/>
          <w:szCs w:val="32"/>
        </w:rPr>
        <w:t>2024</w:t>
      </w:r>
      <w:r>
        <w:rPr>
          <w:rFonts w:ascii="Times New Roman" w:eastAsia="黑体"/>
          <w:sz w:val="32"/>
          <w:szCs w:val="32"/>
        </w:rPr>
        <w:t>年度绩效评价情况的说明</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（一）绩效评价工作开展情况</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根据预算绩效管理要求，本部门组织对</w:t>
      </w:r>
      <w:r>
        <w:rPr>
          <w:rFonts w:ascii="Times New Roman" w:eastAsia="仿宋_GB2312"/>
          <w:sz w:val="32"/>
          <w:szCs w:val="32"/>
        </w:rPr>
        <w:t>2024</w:t>
      </w:r>
      <w:r>
        <w:rPr>
          <w:rFonts w:ascii="Times New Roman" w:eastAsia="仿宋_GB2312"/>
          <w:sz w:val="32"/>
          <w:szCs w:val="32"/>
        </w:rPr>
        <w:t>年度本级预算项目支出全面开展绩效自评，共涉及资金</w:t>
      </w:r>
      <w:r>
        <w:rPr>
          <w:rFonts w:ascii="Times New Roman" w:eastAsia="仿宋_GB2312" w:hint="eastAsia"/>
          <w:sz w:val="32"/>
          <w:szCs w:val="32"/>
        </w:rPr>
        <w:t>69.6</w:t>
      </w:r>
      <w:r>
        <w:rPr>
          <w:rFonts w:ascii="Times New Roman" w:eastAsia="仿宋_GB2312"/>
          <w:sz w:val="32"/>
          <w:szCs w:val="32"/>
        </w:rPr>
        <w:t>万元（决算金额）。其中，一般公共预算项目</w:t>
      </w:r>
      <w:r>
        <w:rPr>
          <w:rFonts w:ascii="Times New Roman" w:eastAsia="仿宋_GB2312" w:hint="eastAsia"/>
          <w:sz w:val="32"/>
          <w:szCs w:val="32"/>
        </w:rPr>
        <w:t>7</w:t>
      </w:r>
      <w:r>
        <w:rPr>
          <w:rFonts w:ascii="Times New Roman" w:eastAsia="仿宋_GB2312"/>
          <w:sz w:val="32"/>
          <w:szCs w:val="32"/>
        </w:rPr>
        <w:t>个，涉及资金</w:t>
      </w:r>
      <w:r>
        <w:rPr>
          <w:rFonts w:ascii="Times New Roman" w:eastAsia="仿宋_GB2312" w:hint="eastAsia"/>
          <w:sz w:val="32"/>
          <w:szCs w:val="32"/>
        </w:rPr>
        <w:t>69.6</w:t>
      </w:r>
      <w:r>
        <w:rPr>
          <w:rFonts w:ascii="Times New Roman" w:eastAsia="仿宋_GB2312"/>
          <w:sz w:val="32"/>
          <w:szCs w:val="32"/>
        </w:rPr>
        <w:t>万元，占一般公共预算项目支出总额的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；政府性基金预算项目</w:t>
      </w:r>
      <w:r>
        <w:rPr>
          <w:rFonts w:ascii="Times New Roman" w:eastAsia="仿宋_GB2312" w:hint="eastAsia"/>
          <w:sz w:val="32"/>
          <w:szCs w:val="32"/>
        </w:rPr>
        <w:t>0</w:t>
      </w:r>
      <w:r>
        <w:rPr>
          <w:rFonts w:ascii="Times New Roman" w:eastAsia="仿宋_GB2312"/>
          <w:sz w:val="32"/>
          <w:szCs w:val="32"/>
        </w:rPr>
        <w:t>个，涉及资金</w:t>
      </w:r>
      <w:r>
        <w:rPr>
          <w:rFonts w:ascii="Times New Roman" w:eastAsia="仿宋_GB2312" w:hint="eastAsia"/>
          <w:sz w:val="32"/>
          <w:szCs w:val="32"/>
        </w:rPr>
        <w:t>0</w:t>
      </w:r>
      <w:r>
        <w:rPr>
          <w:rFonts w:ascii="Times New Roman" w:eastAsia="仿宋_GB2312"/>
          <w:sz w:val="32"/>
          <w:szCs w:val="32"/>
        </w:rPr>
        <w:t>万元，占政府性基金预算项目支出总额的</w:t>
      </w:r>
      <w:r>
        <w:rPr>
          <w:rFonts w:ascii="Times New Roman" w:eastAsia="仿宋_GB2312" w:hint="eastAsia"/>
          <w:sz w:val="32"/>
          <w:szCs w:val="32"/>
        </w:rPr>
        <w:t>0</w:t>
      </w:r>
      <w:r>
        <w:rPr>
          <w:rFonts w:ascii="Times New Roman" w:eastAsia="仿宋_GB2312"/>
          <w:sz w:val="32"/>
          <w:szCs w:val="32"/>
        </w:rPr>
        <w:t>%</w:t>
      </w:r>
      <w:r>
        <w:rPr>
          <w:rFonts w:ascii="Times New Roman" w:eastAsia="仿宋_GB2312"/>
          <w:sz w:val="32"/>
          <w:szCs w:val="32"/>
        </w:rPr>
        <w:t>；国有资本经营预算项目</w:t>
      </w:r>
      <w:r>
        <w:rPr>
          <w:rFonts w:ascii="Times New Roman" w:eastAsia="仿宋_GB2312" w:hint="eastAsia"/>
          <w:sz w:val="32"/>
          <w:szCs w:val="32"/>
        </w:rPr>
        <w:t>0</w:t>
      </w:r>
      <w:r>
        <w:rPr>
          <w:rFonts w:ascii="Times New Roman" w:eastAsia="仿宋_GB2312"/>
          <w:sz w:val="32"/>
          <w:szCs w:val="32"/>
        </w:rPr>
        <w:t>个，涉及资金</w:t>
      </w:r>
      <w:r>
        <w:rPr>
          <w:rFonts w:ascii="Times New Roman" w:eastAsia="仿宋_GB2312" w:hint="eastAsia"/>
          <w:sz w:val="32"/>
          <w:szCs w:val="32"/>
        </w:rPr>
        <w:t>0</w:t>
      </w:r>
      <w:r>
        <w:rPr>
          <w:rFonts w:ascii="Times New Roman" w:eastAsia="仿宋_GB2312"/>
          <w:sz w:val="32"/>
          <w:szCs w:val="32"/>
        </w:rPr>
        <w:t>万元，占国有资本经营预算项目支出总额的</w:t>
      </w:r>
      <w:r>
        <w:rPr>
          <w:rFonts w:ascii="Times New Roman" w:eastAsia="仿宋_GB2312" w:hint="eastAsia"/>
          <w:sz w:val="32"/>
          <w:szCs w:val="32"/>
        </w:rPr>
        <w:t>0</w:t>
      </w:r>
      <w:r>
        <w:rPr>
          <w:rFonts w:ascii="Times New Roman" w:eastAsia="仿宋_GB2312"/>
          <w:sz w:val="32"/>
          <w:szCs w:val="32"/>
        </w:rPr>
        <w:t>%</w:t>
      </w:r>
      <w:r>
        <w:rPr>
          <w:rFonts w:ascii="Times New Roman" w:eastAsia="仿宋_GB2312"/>
          <w:sz w:val="32"/>
          <w:szCs w:val="32"/>
        </w:rPr>
        <w:t>。</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组织对</w:t>
      </w:r>
      <w:r>
        <w:rPr>
          <w:rFonts w:ascii="仿宋" w:eastAsia="仿宋" w:hAnsi="仿宋" w:cs="仿宋" w:hint="eastAsia"/>
          <w:sz w:val="32"/>
          <w:szCs w:val="32"/>
        </w:rPr>
        <w:t>第五次全国经济普查项目及统计局2024年住户调查等各项专项调查工作经费项目</w:t>
      </w:r>
      <w:r>
        <w:rPr>
          <w:rFonts w:ascii="Times New Roman" w:eastAsia="仿宋_GB2312"/>
          <w:sz w:val="32"/>
          <w:szCs w:val="32"/>
        </w:rPr>
        <w:t>等</w:t>
      </w:r>
      <w:r>
        <w:rPr>
          <w:rFonts w:ascii="Times New Roman" w:eastAsia="仿宋_GB2312" w:hint="eastAsia"/>
          <w:sz w:val="32"/>
          <w:szCs w:val="32"/>
        </w:rPr>
        <w:t>7</w:t>
      </w:r>
      <w:r>
        <w:rPr>
          <w:rFonts w:ascii="Times New Roman" w:eastAsia="仿宋_GB2312"/>
          <w:sz w:val="32"/>
          <w:szCs w:val="32"/>
        </w:rPr>
        <w:t>个项目开展了部门重点评价，涉及一般公共预算支出</w:t>
      </w:r>
      <w:r>
        <w:rPr>
          <w:rFonts w:ascii="Times New Roman" w:eastAsia="仿宋_GB2312" w:hint="eastAsia"/>
          <w:sz w:val="32"/>
          <w:szCs w:val="32"/>
        </w:rPr>
        <w:t>69.6</w:t>
      </w:r>
      <w:r>
        <w:rPr>
          <w:rFonts w:ascii="Times New Roman" w:eastAsia="仿宋_GB2312"/>
          <w:sz w:val="32"/>
          <w:szCs w:val="32"/>
        </w:rPr>
        <w:t>万元，政府性基金预算支出</w:t>
      </w:r>
      <w:r>
        <w:rPr>
          <w:rFonts w:ascii="Times New Roman" w:eastAsia="仿宋_GB2312" w:hint="eastAsia"/>
          <w:sz w:val="32"/>
          <w:szCs w:val="32"/>
        </w:rPr>
        <w:t>0</w:t>
      </w:r>
      <w:r>
        <w:rPr>
          <w:rFonts w:ascii="Times New Roman" w:eastAsia="仿宋_GB2312"/>
          <w:sz w:val="32"/>
          <w:szCs w:val="32"/>
        </w:rPr>
        <w:t>万元，国有资本经营预算支出</w:t>
      </w:r>
      <w:r>
        <w:rPr>
          <w:rFonts w:ascii="Times New Roman" w:eastAsia="仿宋_GB2312" w:hint="eastAsia"/>
          <w:sz w:val="32"/>
          <w:szCs w:val="32"/>
        </w:rPr>
        <w:t>0</w:t>
      </w:r>
      <w:r>
        <w:rPr>
          <w:rFonts w:ascii="Times New Roman" w:eastAsia="仿宋_GB2312"/>
          <w:sz w:val="32"/>
          <w:szCs w:val="32"/>
        </w:rPr>
        <w:t>万元，从评价情况来看，</w:t>
      </w:r>
      <w:r>
        <w:rPr>
          <w:rFonts w:ascii="Times New Roman" w:eastAsia="仿宋_GB2312" w:hint="eastAsia"/>
          <w:sz w:val="32"/>
          <w:szCs w:val="32"/>
        </w:rPr>
        <w:t>预算绩效评价情况良好，预算绩效评价的到有效实施和监控，能够准确地评估业务绩效和资源利用效率。</w:t>
      </w:r>
      <w:r>
        <w:rPr>
          <w:rFonts w:ascii="Times New Roman" w:eastAsia="仿宋_GB2312"/>
          <w:sz w:val="32"/>
          <w:szCs w:val="32"/>
        </w:rPr>
        <w:t>。</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（二）部门决算中项目绩效自评结果</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本部门在今年部门决算公开中反映</w:t>
      </w:r>
      <w:r>
        <w:rPr>
          <w:rFonts w:ascii="仿宋" w:eastAsia="仿宋" w:hAnsi="仿宋" w:cs="仿宋" w:hint="eastAsia"/>
          <w:sz w:val="32"/>
          <w:szCs w:val="32"/>
        </w:rPr>
        <w:t>第五次全国经济普查项目及统计局2024年住户调查等各项专项调查工作经费项目</w:t>
      </w:r>
      <w:r>
        <w:rPr>
          <w:rFonts w:ascii="Times New Roman" w:eastAsia="仿宋_GB2312"/>
          <w:sz w:val="32"/>
          <w:szCs w:val="32"/>
        </w:rPr>
        <w:t>等</w:t>
      </w:r>
      <w:r>
        <w:rPr>
          <w:rFonts w:ascii="Times New Roman" w:eastAsia="仿宋_GB2312" w:hint="eastAsia"/>
          <w:sz w:val="32"/>
          <w:szCs w:val="32"/>
        </w:rPr>
        <w:t>7</w:t>
      </w:r>
      <w:r>
        <w:rPr>
          <w:rFonts w:ascii="Times New Roman" w:eastAsia="仿宋_GB2312"/>
          <w:sz w:val="32"/>
          <w:szCs w:val="32"/>
        </w:rPr>
        <w:t>个项目绩效自评结果。</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1</w:t>
      </w:r>
      <w:r>
        <w:rPr>
          <w:rFonts w:ascii="Times New Roman" w:eastAsia="仿宋_GB2312" w:hint="eastAsia"/>
          <w:sz w:val="32"/>
          <w:szCs w:val="32"/>
        </w:rPr>
        <w:t>、第五次全国经济普查</w:t>
      </w:r>
      <w:r>
        <w:rPr>
          <w:rFonts w:ascii="Times New Roman" w:eastAsia="仿宋_GB2312"/>
          <w:sz w:val="32"/>
          <w:szCs w:val="32"/>
        </w:rPr>
        <w:t>项目绩效自评情况：根据年初设定的绩效目标，项目绩效自评得分为</w:t>
      </w:r>
      <w:r>
        <w:rPr>
          <w:rFonts w:ascii="Times New Roman" w:eastAsia="仿宋_GB2312" w:hint="eastAsia"/>
          <w:sz w:val="32"/>
          <w:szCs w:val="32"/>
        </w:rPr>
        <w:t>100</w:t>
      </w:r>
      <w:r>
        <w:rPr>
          <w:rFonts w:ascii="Times New Roman" w:eastAsia="仿宋_GB2312"/>
          <w:sz w:val="32"/>
          <w:szCs w:val="32"/>
        </w:rPr>
        <w:t>分（绩效自评表附后）。全年预算数为</w:t>
      </w:r>
      <w:r>
        <w:rPr>
          <w:rFonts w:ascii="Times New Roman" w:eastAsia="仿宋_GB2312" w:hint="eastAsia"/>
          <w:sz w:val="32"/>
          <w:szCs w:val="32"/>
        </w:rPr>
        <w:t>45.3</w:t>
      </w:r>
      <w:r>
        <w:rPr>
          <w:rFonts w:ascii="Times New Roman" w:eastAsia="仿宋_GB2312"/>
          <w:sz w:val="32"/>
          <w:szCs w:val="32"/>
        </w:rPr>
        <w:t>万元，执行数为</w:t>
      </w:r>
      <w:r>
        <w:rPr>
          <w:rFonts w:ascii="Times New Roman" w:eastAsia="仿宋_GB2312" w:hint="eastAsia"/>
          <w:sz w:val="32"/>
          <w:szCs w:val="32"/>
        </w:rPr>
        <w:t>45.3</w:t>
      </w:r>
      <w:r>
        <w:rPr>
          <w:rFonts w:ascii="Times New Roman" w:eastAsia="仿宋_GB2312"/>
          <w:sz w:val="32"/>
          <w:szCs w:val="32"/>
        </w:rPr>
        <w:t>万元，完成预算的</w:t>
      </w:r>
      <w:r>
        <w:rPr>
          <w:rFonts w:ascii="Times New Roman" w:eastAsia="仿宋_GB2312" w:hint="eastAsia"/>
          <w:sz w:val="32"/>
          <w:szCs w:val="32"/>
        </w:rPr>
        <w:t>100</w:t>
      </w:r>
      <w:r>
        <w:rPr>
          <w:rFonts w:ascii="Times New Roman" w:eastAsia="仿宋_GB2312"/>
          <w:sz w:val="32"/>
          <w:szCs w:val="32"/>
        </w:rPr>
        <w:t>%</w:t>
      </w:r>
      <w:r>
        <w:rPr>
          <w:rFonts w:ascii="Times New Roman" w:eastAsia="仿宋_GB2312"/>
          <w:sz w:val="32"/>
          <w:szCs w:val="32"/>
        </w:rPr>
        <w:t>。项目绩效目标完成情况：一是</w:t>
      </w:r>
      <w:r>
        <w:rPr>
          <w:rFonts w:ascii="Times New Roman" w:eastAsia="仿宋_GB2312" w:hint="eastAsia"/>
          <w:sz w:val="32"/>
          <w:szCs w:val="32"/>
        </w:rPr>
        <w:t>完成第五次全国经济普查工作</w:t>
      </w:r>
      <w:r>
        <w:rPr>
          <w:rFonts w:ascii="Times New Roman" w:eastAsia="仿宋_GB2312"/>
          <w:sz w:val="32"/>
          <w:szCs w:val="32"/>
        </w:rPr>
        <w:t>；二是</w:t>
      </w:r>
      <w:r>
        <w:rPr>
          <w:rFonts w:ascii="Times New Roman" w:eastAsia="仿宋_GB2312" w:hint="eastAsia"/>
          <w:sz w:val="32"/>
          <w:szCs w:val="32"/>
        </w:rPr>
        <w:t>项目资金及时拨付</w:t>
      </w:r>
      <w:r>
        <w:rPr>
          <w:rFonts w:ascii="Times New Roman" w:eastAsia="仿宋_GB2312"/>
          <w:sz w:val="32"/>
          <w:szCs w:val="32"/>
        </w:rPr>
        <w:t>。发现的主要问题及原因是：</w:t>
      </w:r>
      <w:r>
        <w:rPr>
          <w:rFonts w:ascii="Times New Roman" w:eastAsia="仿宋_GB2312" w:hint="eastAsia"/>
          <w:sz w:val="32"/>
          <w:szCs w:val="32"/>
        </w:rPr>
        <w:t>无</w:t>
      </w:r>
      <w:r>
        <w:rPr>
          <w:rFonts w:ascii="Times New Roman" w:eastAsia="仿宋_GB2312"/>
          <w:sz w:val="32"/>
          <w:szCs w:val="32"/>
        </w:rPr>
        <w:t>。下一步改进措施：</w:t>
      </w:r>
      <w:r>
        <w:rPr>
          <w:rFonts w:ascii="Times New Roman" w:eastAsia="仿宋_GB2312" w:hint="eastAsia"/>
          <w:sz w:val="32"/>
          <w:szCs w:val="32"/>
        </w:rPr>
        <w:t>无</w:t>
      </w:r>
      <w:r>
        <w:rPr>
          <w:rFonts w:ascii="Times New Roman" w:eastAsia="仿宋_GB2312"/>
          <w:sz w:val="32"/>
          <w:szCs w:val="32"/>
        </w:rPr>
        <w:t>。</w:t>
      </w:r>
    </w:p>
    <w:tbl>
      <w:tblPr>
        <w:tblW w:w="9288" w:type="dxa"/>
        <w:jc w:val="center"/>
        <w:tblLook w:val="04A0"/>
      </w:tblPr>
      <w:tblGrid>
        <w:gridCol w:w="907"/>
        <w:gridCol w:w="1177"/>
        <w:gridCol w:w="767"/>
        <w:gridCol w:w="767"/>
        <w:gridCol w:w="1176"/>
        <w:gridCol w:w="615"/>
        <w:gridCol w:w="565"/>
        <w:gridCol w:w="1176"/>
        <w:gridCol w:w="1173"/>
        <w:gridCol w:w="391"/>
        <w:gridCol w:w="574"/>
      </w:tblGrid>
      <w:tr w:rsidR="00B23535">
        <w:trPr>
          <w:jc w:val="center"/>
        </w:trPr>
        <w:tc>
          <w:tcPr>
            <w:tcW w:w="586" w:type="dxa"/>
            <w:gridSpan w:val="11"/>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方正小标宋_GBK" w:eastAsia="方正小标宋_GBK" w:hAnsi="方正小标宋_GBK" w:cs="方正小标宋_GBK"/>
                <w:color w:val="000000"/>
                <w:sz w:val="40"/>
                <w:szCs w:val="40"/>
              </w:rPr>
            </w:pPr>
            <w:r>
              <w:rPr>
                <w:rFonts w:ascii="黑体" w:eastAsia="黑体" w:hAnsi="黑体" w:cs="黑体" w:hint="eastAsia"/>
                <w:color w:val="000000"/>
                <w:sz w:val="40"/>
                <w:szCs w:val="40"/>
              </w:rPr>
              <w:t>2024年预算项目绩效自评表</w:t>
            </w:r>
          </w:p>
        </w:tc>
      </w:tr>
      <w:tr w:rsidR="00B23535">
        <w:trPr>
          <w:jc w:val="center"/>
        </w:trPr>
        <w:tc>
          <w:tcPr>
            <w:tcW w:w="929" w:type="dxa"/>
            <w:tcBorders>
              <w:top w:val="nil"/>
              <w:left w:val="nil"/>
              <w:bottom w:val="nil"/>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填报单位：</w:t>
            </w:r>
          </w:p>
        </w:tc>
        <w:tc>
          <w:tcPr>
            <w:tcW w:w="1209"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786" w:type="dxa"/>
            <w:gridSpan w:val="2"/>
            <w:tcBorders>
              <w:top w:val="nil"/>
              <w:left w:val="nil"/>
              <w:bottom w:val="nil"/>
              <w:right w:val="nil"/>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209"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561"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81"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209"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996"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586" w:type="dxa"/>
            <w:gridSpan w:val="2"/>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金额单位：万元</w:t>
            </w:r>
          </w:p>
        </w:tc>
      </w:tr>
      <w:tr w:rsidR="00B23535">
        <w:trPr>
          <w:jc w:val="center"/>
        </w:trPr>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一、基本情况</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项目名称</w:t>
            </w:r>
          </w:p>
        </w:tc>
        <w:tc>
          <w:tcPr>
            <w:tcW w:w="786" w:type="dxa"/>
            <w:gridSpan w:val="2"/>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第五次全国经济普查</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项目级次</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市本级项目</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实施（主管）单位</w:t>
            </w:r>
          </w:p>
        </w:tc>
        <w:tc>
          <w:tcPr>
            <w:tcW w:w="586"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410001 - 涞源县统计局本级</w:t>
            </w:r>
          </w:p>
        </w:tc>
      </w:tr>
      <w:tr w:rsidR="00B23535">
        <w:trPr>
          <w:jc w:val="center"/>
        </w:trPr>
        <w:tc>
          <w:tcPr>
            <w:tcW w:w="9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二、预算执行情况</w:t>
            </w:r>
          </w:p>
        </w:tc>
        <w:tc>
          <w:tcPr>
            <w:tcW w:w="786"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预算安排情况</w:t>
            </w:r>
            <w:r>
              <w:rPr>
                <w:rFonts w:ascii="宋体" w:eastAsia="宋体" w:hAnsi="宋体" w:hint="eastAsia"/>
                <w:b/>
                <w:bCs/>
                <w:color w:val="000000"/>
                <w:sz w:val="18"/>
                <w:szCs w:val="18"/>
              </w:rPr>
              <w:br/>
              <w:t>（调整后）</w:t>
            </w:r>
          </w:p>
        </w:tc>
        <w:tc>
          <w:tcPr>
            <w:tcW w:w="4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资金到位情况</w:t>
            </w:r>
          </w:p>
        </w:tc>
        <w:tc>
          <w:tcPr>
            <w:tcW w:w="53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资金执行情况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预算执行进度</w:t>
            </w:r>
          </w:p>
        </w:tc>
      </w:tr>
      <w:tr w:rsidR="00B23535">
        <w:trPr>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预算数</w:t>
            </w:r>
          </w:p>
        </w:tc>
        <w:tc>
          <w:tcPr>
            <w:tcW w:w="786"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45.300000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到位数</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45.300000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执行数</w:t>
            </w:r>
          </w:p>
        </w:tc>
        <w:tc>
          <w:tcPr>
            <w:tcW w:w="536"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45.300000</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786"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45.300000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45.300000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536"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45.300000</w:t>
            </w: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786"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22"/>
                <w:szCs w:val="22"/>
              </w:rPr>
            </w:pPr>
            <w:r>
              <w:rPr>
                <w:rFonts w:ascii="宋体" w:eastAsia="宋体" w:hAnsi="宋体" w:hint="eastAsia"/>
                <w:color w:val="000000"/>
                <w:sz w:val="22"/>
                <w:szCs w:val="22"/>
              </w:rPr>
              <w:t>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536"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三、目标完成情况</w:t>
            </w:r>
          </w:p>
        </w:tc>
        <w:tc>
          <w:tcPr>
            <w:tcW w:w="1209"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年度预期目标</w:t>
            </w:r>
          </w:p>
        </w:tc>
        <w:tc>
          <w:tcPr>
            <w:tcW w:w="53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具体完成情况</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总体完成率</w:t>
            </w:r>
          </w:p>
        </w:tc>
      </w:tr>
      <w:tr w:rsidR="00B23535">
        <w:trPr>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gridSpan w:val="4"/>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完成第五次全国经济普查工作</w:t>
            </w:r>
          </w:p>
        </w:tc>
        <w:tc>
          <w:tcPr>
            <w:tcW w:w="536" w:type="dxa"/>
            <w:gridSpan w:val="5"/>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已按要求完成本年度普查工作</w:t>
            </w:r>
          </w:p>
        </w:tc>
        <w:tc>
          <w:tcPr>
            <w:tcW w:w="5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四、年度绩效指标完成情况</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一级指标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二级指标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三级指标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指标分值</w:t>
            </w:r>
          </w:p>
        </w:tc>
        <w:tc>
          <w:tcPr>
            <w:tcW w:w="12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预期指标值</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实际完成值</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单项指标</w:t>
            </w:r>
            <w:r>
              <w:rPr>
                <w:rFonts w:ascii="宋体" w:eastAsia="宋体" w:hAnsi="宋体" w:hint="eastAsia"/>
                <w:b/>
                <w:bCs/>
                <w:color w:val="000000"/>
                <w:sz w:val="18"/>
                <w:szCs w:val="18"/>
              </w:rPr>
              <w:br/>
              <w:t>完成情况</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自评得分</w:t>
            </w:r>
          </w:p>
        </w:tc>
      </w:tr>
      <w:tr w:rsidR="00B23535">
        <w:trPr>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符号</w:t>
            </w:r>
          </w:p>
        </w:tc>
        <w:tc>
          <w:tcPr>
            <w:tcW w:w="4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值</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单位</w:t>
            </w:r>
            <w:r>
              <w:rPr>
                <w:rFonts w:ascii="宋体" w:eastAsia="宋体" w:hAnsi="宋体" w:hint="eastAsia"/>
                <w:b/>
                <w:bCs/>
                <w:color w:val="000000"/>
                <w:sz w:val="18"/>
                <w:szCs w:val="18"/>
              </w:rPr>
              <w:br/>
              <w:t>（文字描述）</w:t>
            </w: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产出指标</w:t>
            </w:r>
            <w:r>
              <w:rPr>
                <w:rFonts w:ascii="宋体" w:eastAsia="宋体" w:hAnsi="宋体" w:hint="eastAsia"/>
                <w:b/>
                <w:bCs/>
                <w:color w:val="000000"/>
                <w:sz w:val="18"/>
                <w:szCs w:val="18"/>
              </w:rPr>
              <w:br/>
              <w:t>（50）</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数量指标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完成统计工作数量</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完成统计工作数量</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完成率质量</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完成率质量</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时效指标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各项任务完成及时率（%）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各项任务完成及时率（%）</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成本指标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完成工作目标所需资金</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完成工作目标所需资金</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效益指标</w:t>
            </w:r>
            <w:r>
              <w:rPr>
                <w:rFonts w:ascii="宋体" w:eastAsia="宋体" w:hAnsi="宋体" w:hint="eastAsia"/>
                <w:b/>
                <w:bCs/>
                <w:color w:val="000000"/>
                <w:sz w:val="18"/>
                <w:szCs w:val="18"/>
              </w:rPr>
              <w:br/>
              <w:t>（30）</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经济效益指标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社会影响力</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社会影响力</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可持续影响指标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持续提升我局社会影响力</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持续提升我局社会影响力</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满意度指标</w:t>
            </w:r>
            <w:r>
              <w:rPr>
                <w:rFonts w:ascii="宋体" w:eastAsia="宋体" w:hAnsi="宋体" w:hint="eastAsia"/>
                <w:b/>
                <w:bCs/>
                <w:color w:val="000000"/>
                <w:sz w:val="18"/>
                <w:szCs w:val="18"/>
              </w:rPr>
              <w:br/>
              <w:t>（10）</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满意度指标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预算执行率</w:t>
            </w:r>
            <w:r>
              <w:rPr>
                <w:rFonts w:ascii="宋体" w:eastAsia="宋体" w:hAnsi="宋体" w:hint="eastAsia"/>
                <w:b/>
                <w:bCs/>
                <w:color w:val="000000"/>
                <w:sz w:val="18"/>
                <w:szCs w:val="18"/>
              </w:rPr>
              <w:br/>
              <w:t>（10）</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预算执行率</w:t>
            </w:r>
          </w:p>
        </w:tc>
        <w:tc>
          <w:tcPr>
            <w:tcW w:w="786"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jc w:val="center"/>
        </w:trPr>
        <w:tc>
          <w:tcPr>
            <w:tcW w:w="9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36"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自评总分</w:t>
            </w:r>
          </w:p>
        </w:tc>
        <w:tc>
          <w:tcPr>
            <w:tcW w:w="5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right"/>
              <w:textAlignment w:val="center"/>
              <w:rPr>
                <w:rFonts w:ascii="宋体" w:eastAsia="宋体" w:hAnsi="宋体"/>
                <w:b/>
                <w:bCs/>
                <w:color w:val="000000"/>
                <w:sz w:val="18"/>
                <w:szCs w:val="18"/>
              </w:rPr>
            </w:pPr>
            <w:r>
              <w:rPr>
                <w:rFonts w:ascii="宋体" w:eastAsia="宋体" w:hAnsi="宋体" w:hint="eastAsia"/>
                <w:b/>
                <w:bCs/>
                <w:color w:val="000000"/>
                <w:sz w:val="18"/>
                <w:szCs w:val="18"/>
              </w:rPr>
              <w:t>100</w:t>
            </w:r>
          </w:p>
        </w:tc>
      </w:tr>
      <w:tr w:rsidR="00B23535">
        <w:trPr>
          <w:jc w:val="center"/>
        </w:trPr>
        <w:tc>
          <w:tcPr>
            <w:tcW w:w="9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五、存在问题、原因及下一步整改措施</w:t>
            </w:r>
          </w:p>
        </w:tc>
        <w:tc>
          <w:tcPr>
            <w:tcW w:w="586" w:type="dxa"/>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无</w:t>
            </w:r>
          </w:p>
        </w:tc>
      </w:tr>
      <w:tr w:rsidR="00B23535">
        <w:trPr>
          <w:jc w:val="center"/>
        </w:trPr>
        <w:tc>
          <w:tcPr>
            <w:tcW w:w="929"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填报人：</w:t>
            </w:r>
          </w:p>
        </w:tc>
        <w:tc>
          <w:tcPr>
            <w:tcW w:w="1209"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高俊杰</w:t>
            </w:r>
          </w:p>
        </w:tc>
        <w:tc>
          <w:tcPr>
            <w:tcW w:w="786"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786"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0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61"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81"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09" w:type="dxa"/>
            <w:tcBorders>
              <w:top w:val="nil"/>
              <w:left w:val="nil"/>
              <w:bottom w:val="nil"/>
              <w:right w:val="nil"/>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联系电话：</w:t>
            </w:r>
          </w:p>
        </w:tc>
        <w:tc>
          <w:tcPr>
            <w:tcW w:w="996" w:type="dxa"/>
            <w:tcBorders>
              <w:top w:val="nil"/>
              <w:left w:val="nil"/>
              <w:bottom w:val="nil"/>
              <w:right w:val="nil"/>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15232970794</w:t>
            </w:r>
          </w:p>
        </w:tc>
        <w:tc>
          <w:tcPr>
            <w:tcW w:w="536"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86"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5623A8">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2.</w:t>
      </w:r>
      <w:r w:rsidR="00C23125">
        <w:rPr>
          <w:rFonts w:ascii="Times New Roman" w:eastAsia="仿宋_GB2312" w:hint="eastAsia"/>
          <w:sz w:val="32"/>
          <w:szCs w:val="32"/>
        </w:rPr>
        <w:t>统计局</w:t>
      </w:r>
      <w:r w:rsidR="00C23125">
        <w:rPr>
          <w:rFonts w:ascii="Times New Roman" w:eastAsia="仿宋_GB2312" w:hint="eastAsia"/>
          <w:sz w:val="32"/>
          <w:szCs w:val="32"/>
        </w:rPr>
        <w:t>2024</w:t>
      </w:r>
      <w:r w:rsidR="00C23125">
        <w:rPr>
          <w:rFonts w:ascii="Times New Roman" w:eastAsia="仿宋_GB2312" w:hint="eastAsia"/>
          <w:sz w:val="32"/>
          <w:szCs w:val="32"/>
        </w:rPr>
        <w:t>年住户调查等各项专项调查工作经费</w:t>
      </w:r>
      <w:r w:rsidR="00C23125">
        <w:rPr>
          <w:rFonts w:ascii="Times New Roman" w:eastAsia="仿宋_GB2312"/>
          <w:sz w:val="32"/>
          <w:szCs w:val="32"/>
        </w:rPr>
        <w:t>项目绩效自评情况：根据年初设定的绩效目标，项目绩效自评得分为</w:t>
      </w:r>
      <w:r w:rsidR="00C23125">
        <w:rPr>
          <w:rFonts w:ascii="Times New Roman" w:eastAsia="仿宋_GB2312" w:hint="eastAsia"/>
          <w:sz w:val="32"/>
          <w:szCs w:val="32"/>
        </w:rPr>
        <w:t>98.88</w:t>
      </w:r>
      <w:r w:rsidR="00C23125">
        <w:rPr>
          <w:rFonts w:ascii="Times New Roman" w:eastAsia="仿宋_GB2312"/>
          <w:sz w:val="32"/>
          <w:szCs w:val="32"/>
        </w:rPr>
        <w:t>分（绩效自评表附后）。全年预算数为</w:t>
      </w:r>
      <w:r w:rsidR="00C23125">
        <w:rPr>
          <w:rFonts w:ascii="Times New Roman" w:eastAsia="仿宋_GB2312" w:hint="eastAsia"/>
          <w:sz w:val="32"/>
          <w:szCs w:val="32"/>
        </w:rPr>
        <w:t>20</w:t>
      </w:r>
      <w:r w:rsidR="00C23125">
        <w:rPr>
          <w:rFonts w:ascii="Times New Roman" w:eastAsia="仿宋_GB2312"/>
          <w:sz w:val="32"/>
          <w:szCs w:val="32"/>
        </w:rPr>
        <w:t>万元，执行数为</w:t>
      </w:r>
      <w:r w:rsidR="00C23125">
        <w:rPr>
          <w:rFonts w:ascii="Times New Roman" w:eastAsia="仿宋_GB2312" w:hint="eastAsia"/>
          <w:sz w:val="32"/>
          <w:szCs w:val="32"/>
        </w:rPr>
        <w:t>17.76</w:t>
      </w:r>
      <w:r w:rsidR="00C23125">
        <w:rPr>
          <w:rFonts w:ascii="Times New Roman" w:eastAsia="仿宋_GB2312"/>
          <w:sz w:val="32"/>
          <w:szCs w:val="32"/>
        </w:rPr>
        <w:t>万元，完成预算的</w:t>
      </w:r>
      <w:r w:rsidR="00C23125">
        <w:rPr>
          <w:rFonts w:ascii="Times New Roman" w:eastAsia="仿宋_GB2312" w:hint="eastAsia"/>
          <w:sz w:val="32"/>
          <w:szCs w:val="32"/>
        </w:rPr>
        <w:t>88.8</w:t>
      </w:r>
      <w:r w:rsidR="00C23125">
        <w:rPr>
          <w:rFonts w:ascii="Times New Roman" w:eastAsia="仿宋_GB2312"/>
          <w:sz w:val="32"/>
          <w:szCs w:val="32"/>
        </w:rPr>
        <w:t>%</w:t>
      </w:r>
      <w:r w:rsidR="00C23125">
        <w:rPr>
          <w:rFonts w:ascii="Times New Roman" w:eastAsia="仿宋_GB2312"/>
          <w:sz w:val="32"/>
          <w:szCs w:val="32"/>
        </w:rPr>
        <w:t>。项目绩效目标完成情况：</w:t>
      </w:r>
      <w:r w:rsidR="00C23125">
        <w:rPr>
          <w:rFonts w:ascii="Times New Roman" w:eastAsia="仿宋_GB2312" w:hint="eastAsia"/>
          <w:sz w:val="32"/>
          <w:szCs w:val="32"/>
        </w:rPr>
        <w:t>完成统计局</w:t>
      </w:r>
      <w:r w:rsidR="00C23125">
        <w:rPr>
          <w:rFonts w:ascii="Times New Roman" w:eastAsia="仿宋_GB2312" w:hint="eastAsia"/>
          <w:sz w:val="32"/>
          <w:szCs w:val="32"/>
        </w:rPr>
        <w:t>2024</w:t>
      </w:r>
      <w:r w:rsidR="00C23125">
        <w:rPr>
          <w:rFonts w:ascii="Times New Roman" w:eastAsia="仿宋_GB2312" w:hint="eastAsia"/>
          <w:sz w:val="32"/>
          <w:szCs w:val="32"/>
        </w:rPr>
        <w:t>年住户调查等各项专项调查工作</w:t>
      </w:r>
      <w:r w:rsidR="00C23125">
        <w:rPr>
          <w:rFonts w:ascii="Times New Roman" w:eastAsia="仿宋_GB2312"/>
          <w:sz w:val="32"/>
          <w:szCs w:val="32"/>
        </w:rPr>
        <w:t>。发现的主要问题及原因是：</w:t>
      </w:r>
      <w:r w:rsidR="00C23125">
        <w:rPr>
          <w:rFonts w:ascii="Times New Roman" w:eastAsia="仿宋_GB2312" w:hint="eastAsia"/>
          <w:sz w:val="32"/>
          <w:szCs w:val="32"/>
        </w:rPr>
        <w:t>资金未拨付到位。下一步改进措施：加强与财政沟通</w:t>
      </w:r>
      <w:r w:rsidR="00C23125">
        <w:rPr>
          <w:rFonts w:ascii="Times New Roman" w:eastAsia="仿宋_GB2312"/>
          <w:sz w:val="32"/>
          <w:szCs w:val="32"/>
        </w:rPr>
        <w:t>。</w:t>
      </w:r>
    </w:p>
    <w:tbl>
      <w:tblPr>
        <w:tblW w:w="9288" w:type="dxa"/>
        <w:jc w:val="center"/>
        <w:tblLook w:val="04A0"/>
      </w:tblPr>
      <w:tblGrid>
        <w:gridCol w:w="898"/>
        <w:gridCol w:w="1166"/>
        <w:gridCol w:w="761"/>
        <w:gridCol w:w="761"/>
        <w:gridCol w:w="1166"/>
        <w:gridCol w:w="611"/>
        <w:gridCol w:w="561"/>
        <w:gridCol w:w="1166"/>
        <w:gridCol w:w="1163"/>
        <w:gridCol w:w="389"/>
        <w:gridCol w:w="646"/>
      </w:tblGrid>
      <w:tr w:rsidR="00B23535">
        <w:trPr>
          <w:jc w:val="center"/>
        </w:trPr>
        <w:tc>
          <w:tcPr>
            <w:tcW w:w="653" w:type="dxa"/>
            <w:gridSpan w:val="11"/>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方正小标宋_GBK" w:eastAsia="方正小标宋_GBK" w:hAnsi="方正小标宋_GBK" w:cs="方正小标宋_GBK"/>
                <w:color w:val="000000"/>
                <w:sz w:val="40"/>
                <w:szCs w:val="40"/>
              </w:rPr>
            </w:pPr>
            <w:r>
              <w:rPr>
                <w:rFonts w:ascii="黑体" w:eastAsia="黑体" w:hAnsi="黑体" w:cs="黑体" w:hint="eastAsia"/>
                <w:color w:val="000000"/>
                <w:sz w:val="40"/>
                <w:szCs w:val="40"/>
              </w:rPr>
              <w:t>2024年预算项目绩效自评表</w:t>
            </w:r>
          </w:p>
        </w:tc>
      </w:tr>
      <w:tr w:rsidR="00B23535">
        <w:trPr>
          <w:jc w:val="center"/>
        </w:trPr>
        <w:tc>
          <w:tcPr>
            <w:tcW w:w="928" w:type="dxa"/>
            <w:tcBorders>
              <w:top w:val="nil"/>
              <w:left w:val="nil"/>
              <w:bottom w:val="nil"/>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填报单位：</w:t>
            </w:r>
          </w:p>
        </w:tc>
        <w:tc>
          <w:tcPr>
            <w:tcW w:w="1209"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786" w:type="dxa"/>
            <w:gridSpan w:val="2"/>
            <w:tcBorders>
              <w:top w:val="nil"/>
              <w:left w:val="nil"/>
              <w:bottom w:val="nil"/>
              <w:right w:val="nil"/>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209"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561"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81"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209"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996"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653" w:type="dxa"/>
            <w:gridSpan w:val="2"/>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金额单位：万元</w:t>
            </w:r>
          </w:p>
        </w:tc>
      </w:tr>
      <w:tr w:rsidR="00B23535">
        <w:trPr>
          <w:jc w:val="center"/>
        </w:trPr>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一、基本情况</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项目名称</w:t>
            </w:r>
          </w:p>
        </w:tc>
        <w:tc>
          <w:tcPr>
            <w:tcW w:w="786" w:type="dxa"/>
            <w:gridSpan w:val="2"/>
            <w:tcBorders>
              <w:top w:val="single" w:sz="4" w:space="0" w:color="000000"/>
              <w:left w:val="single" w:sz="4" w:space="0" w:color="000000"/>
              <w:bottom w:val="single" w:sz="4" w:space="0" w:color="000000"/>
              <w:right w:val="nil"/>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统计局2024年住户调查等各项专项调查工作经费</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项目级次</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市本级项目</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实施（主管）单位</w:t>
            </w:r>
          </w:p>
        </w:tc>
        <w:tc>
          <w:tcPr>
            <w:tcW w:w="653"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410001 - 涞源县统计局本级</w:t>
            </w:r>
          </w:p>
        </w:tc>
      </w:tr>
      <w:tr w:rsidR="00B23535">
        <w:trPr>
          <w:jc w:val="center"/>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二、预算执行情况</w:t>
            </w:r>
          </w:p>
        </w:tc>
        <w:tc>
          <w:tcPr>
            <w:tcW w:w="786"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预算安排情况</w:t>
            </w:r>
            <w:r>
              <w:rPr>
                <w:rFonts w:ascii="宋体" w:eastAsia="宋体" w:hAnsi="宋体" w:hint="eastAsia"/>
                <w:b/>
                <w:bCs/>
                <w:color w:val="000000"/>
                <w:sz w:val="18"/>
                <w:szCs w:val="18"/>
              </w:rPr>
              <w:br/>
              <w:t>（调整后）</w:t>
            </w:r>
          </w:p>
        </w:tc>
        <w:tc>
          <w:tcPr>
            <w:tcW w:w="4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资金到位情况</w:t>
            </w:r>
          </w:p>
        </w:tc>
        <w:tc>
          <w:tcPr>
            <w:tcW w:w="4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资金执行情况</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预算执行进度</w:t>
            </w:r>
          </w:p>
        </w:tc>
      </w:tr>
      <w:tr w:rsidR="00B23535">
        <w:trPr>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预算数</w:t>
            </w:r>
          </w:p>
        </w:tc>
        <w:tc>
          <w:tcPr>
            <w:tcW w:w="786"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到位数</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执行数</w:t>
            </w:r>
          </w:p>
        </w:tc>
        <w:tc>
          <w:tcPr>
            <w:tcW w:w="470"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17.760000</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88.8</w:t>
            </w:r>
          </w:p>
        </w:tc>
      </w:tr>
      <w:tr w:rsidR="00B23535">
        <w:trPr>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786"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70"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17.760000</w:t>
            </w: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786"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22"/>
                <w:szCs w:val="22"/>
              </w:rPr>
            </w:pPr>
            <w:r>
              <w:rPr>
                <w:rFonts w:ascii="宋体" w:eastAsia="宋体" w:hAnsi="宋体" w:hint="eastAsia"/>
                <w:color w:val="000000"/>
                <w:sz w:val="22"/>
                <w:szCs w:val="22"/>
              </w:rPr>
              <w:t>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c>
          <w:tcPr>
            <w:tcW w:w="12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70"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三、目标完成情况</w:t>
            </w:r>
          </w:p>
        </w:tc>
        <w:tc>
          <w:tcPr>
            <w:tcW w:w="1209"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年度预期目标</w:t>
            </w:r>
          </w:p>
        </w:tc>
        <w:tc>
          <w:tcPr>
            <w:tcW w:w="47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具体完成情况</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总体完成率</w:t>
            </w:r>
          </w:p>
        </w:tc>
      </w:tr>
      <w:tr w:rsidR="00B23535">
        <w:trPr>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gridSpan w:val="4"/>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完成各项统计调查工作</w:t>
            </w:r>
          </w:p>
        </w:tc>
        <w:tc>
          <w:tcPr>
            <w:tcW w:w="470" w:type="dxa"/>
            <w:gridSpan w:val="5"/>
            <w:tcBorders>
              <w:top w:val="single" w:sz="4" w:space="0" w:color="B0C4DE"/>
              <w:left w:val="single" w:sz="4" w:space="0" w:color="B0C4DE"/>
              <w:bottom w:val="single" w:sz="4" w:space="0" w:color="B0C4DE"/>
              <w:right w:val="single" w:sz="4" w:space="0" w:color="B0C4DE"/>
            </w:tcBorders>
            <w:shd w:val="clear" w:color="auto" w:fill="auto"/>
            <w:noWrap/>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已完成本年各项统计调查工作</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98.88</w:t>
            </w:r>
          </w:p>
        </w:tc>
      </w:tr>
      <w:tr w:rsidR="00B23535">
        <w:trPr>
          <w:jc w:val="center"/>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四、年度绩效指标完成情况</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一级指标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二级指标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三级指标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指标分值</w:t>
            </w:r>
          </w:p>
        </w:tc>
        <w:tc>
          <w:tcPr>
            <w:tcW w:w="12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预期指标值</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实际完成值</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单项指标</w:t>
            </w:r>
            <w:r>
              <w:rPr>
                <w:rFonts w:ascii="宋体" w:eastAsia="宋体" w:hAnsi="宋体" w:hint="eastAsia"/>
                <w:b/>
                <w:bCs/>
                <w:color w:val="000000"/>
                <w:sz w:val="18"/>
                <w:szCs w:val="18"/>
              </w:rPr>
              <w:br/>
              <w:t>完成情况</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自评得分</w:t>
            </w:r>
          </w:p>
        </w:tc>
      </w:tr>
      <w:tr w:rsidR="00B23535">
        <w:trPr>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符号</w:t>
            </w:r>
          </w:p>
        </w:tc>
        <w:tc>
          <w:tcPr>
            <w:tcW w:w="4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值</w:t>
            </w: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单位</w:t>
            </w:r>
            <w:r>
              <w:rPr>
                <w:rFonts w:ascii="宋体" w:eastAsia="宋体" w:hAnsi="宋体" w:hint="eastAsia"/>
                <w:b/>
                <w:bCs/>
                <w:color w:val="000000"/>
                <w:sz w:val="18"/>
                <w:szCs w:val="18"/>
              </w:rPr>
              <w:br/>
              <w:t>（文字描述）</w:t>
            </w: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产出指标</w:t>
            </w:r>
            <w:r>
              <w:rPr>
                <w:rFonts w:ascii="宋体" w:eastAsia="宋体" w:hAnsi="宋体" w:hint="eastAsia"/>
                <w:b/>
                <w:bCs/>
                <w:color w:val="000000"/>
                <w:sz w:val="18"/>
                <w:szCs w:val="18"/>
              </w:rPr>
              <w:br/>
              <w:t>（50）</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数量指标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调查企业户数</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完成情况</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时效指标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完成时限</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成本指标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预算执行率（%）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效益指标</w:t>
            </w:r>
            <w:r>
              <w:rPr>
                <w:rFonts w:ascii="宋体" w:eastAsia="宋体" w:hAnsi="宋体" w:hint="eastAsia"/>
                <w:b/>
                <w:bCs/>
                <w:color w:val="000000"/>
                <w:sz w:val="18"/>
                <w:szCs w:val="18"/>
              </w:rPr>
              <w:br/>
              <w:t>（30）</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经济效益指标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社会效益指标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可持续影响指标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持续提升我局社会影响力</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满意度指标</w:t>
            </w:r>
            <w:r>
              <w:rPr>
                <w:rFonts w:ascii="宋体" w:eastAsia="宋体" w:hAnsi="宋体" w:hint="eastAsia"/>
                <w:b/>
                <w:bCs/>
                <w:color w:val="000000"/>
                <w:sz w:val="18"/>
                <w:szCs w:val="18"/>
              </w:rPr>
              <w:br/>
              <w:t>（10）</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满意度指标</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8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涞源县统计局</w:t>
            </w:r>
          </w:p>
        </w:tc>
        <w:tc>
          <w:tcPr>
            <w:tcW w:w="99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6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6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预算执行率</w:t>
            </w:r>
            <w:r>
              <w:rPr>
                <w:rFonts w:ascii="宋体" w:eastAsia="宋体" w:hAnsi="宋体" w:hint="eastAsia"/>
                <w:b/>
                <w:bCs/>
                <w:color w:val="000000"/>
                <w:sz w:val="18"/>
                <w:szCs w:val="18"/>
              </w:rPr>
              <w:br/>
              <w:t>（10）</w:t>
            </w:r>
          </w:p>
        </w:tc>
        <w:tc>
          <w:tcPr>
            <w:tcW w:w="7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预算执行率</w:t>
            </w:r>
          </w:p>
        </w:tc>
        <w:tc>
          <w:tcPr>
            <w:tcW w:w="786"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81"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0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96"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47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653"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8.88</w:t>
            </w:r>
          </w:p>
        </w:tc>
      </w:tr>
      <w:tr w:rsidR="00B23535">
        <w:trPr>
          <w:jc w:val="center"/>
        </w:trPr>
        <w:tc>
          <w:tcPr>
            <w:tcW w:w="9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470"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自评总分</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98.88</w:t>
            </w:r>
          </w:p>
        </w:tc>
      </w:tr>
      <w:tr w:rsidR="00B23535">
        <w:trPr>
          <w:jc w:val="center"/>
        </w:trPr>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五、存在问题、原因及下一步整改措施</w:t>
            </w:r>
          </w:p>
        </w:tc>
        <w:tc>
          <w:tcPr>
            <w:tcW w:w="653" w:type="dxa"/>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资金未全部拨付到位。</w:t>
            </w:r>
          </w:p>
        </w:tc>
      </w:tr>
      <w:tr w:rsidR="00B23535">
        <w:trPr>
          <w:jc w:val="center"/>
        </w:trPr>
        <w:tc>
          <w:tcPr>
            <w:tcW w:w="928"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填报人：</w:t>
            </w:r>
          </w:p>
        </w:tc>
        <w:tc>
          <w:tcPr>
            <w:tcW w:w="1209"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高俊杰</w:t>
            </w:r>
          </w:p>
        </w:tc>
        <w:tc>
          <w:tcPr>
            <w:tcW w:w="786"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786"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0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61"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81"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09" w:type="dxa"/>
            <w:tcBorders>
              <w:top w:val="nil"/>
              <w:left w:val="nil"/>
              <w:bottom w:val="nil"/>
              <w:right w:val="nil"/>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联系电话：</w:t>
            </w:r>
          </w:p>
        </w:tc>
        <w:tc>
          <w:tcPr>
            <w:tcW w:w="996" w:type="dxa"/>
            <w:tcBorders>
              <w:top w:val="nil"/>
              <w:left w:val="nil"/>
              <w:bottom w:val="nil"/>
              <w:right w:val="nil"/>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15232970794</w:t>
            </w:r>
          </w:p>
        </w:tc>
        <w:tc>
          <w:tcPr>
            <w:tcW w:w="470"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6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5623A8">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3.</w:t>
      </w:r>
      <w:r w:rsidR="00C23125">
        <w:rPr>
          <w:rFonts w:ascii="Times New Roman" w:eastAsia="仿宋_GB2312" w:hint="eastAsia"/>
          <w:sz w:val="32"/>
          <w:szCs w:val="32"/>
        </w:rPr>
        <w:t>统计报表年鉴印制</w:t>
      </w:r>
      <w:r w:rsidR="00C23125">
        <w:rPr>
          <w:rFonts w:ascii="Times New Roman" w:eastAsia="仿宋_GB2312"/>
          <w:sz w:val="32"/>
          <w:szCs w:val="32"/>
        </w:rPr>
        <w:t>项目绩效自评情况：根据年初设定的绩效目标，项目绩效自评得分为</w:t>
      </w:r>
      <w:r w:rsidR="00C23125">
        <w:rPr>
          <w:rFonts w:ascii="Times New Roman" w:eastAsia="仿宋_GB2312" w:hint="eastAsia"/>
          <w:sz w:val="32"/>
          <w:szCs w:val="32"/>
        </w:rPr>
        <w:t>100</w:t>
      </w:r>
      <w:r w:rsidR="00C23125">
        <w:rPr>
          <w:rFonts w:ascii="Times New Roman" w:eastAsia="仿宋_GB2312"/>
          <w:sz w:val="32"/>
          <w:szCs w:val="32"/>
        </w:rPr>
        <w:t>分（绩效自评表附后）。全年预算数为</w:t>
      </w:r>
      <w:r w:rsidR="00C23125">
        <w:rPr>
          <w:rFonts w:ascii="Times New Roman" w:eastAsia="仿宋_GB2312" w:hint="eastAsia"/>
          <w:sz w:val="32"/>
          <w:szCs w:val="32"/>
        </w:rPr>
        <w:t>1.6</w:t>
      </w:r>
      <w:r w:rsidR="00C23125">
        <w:rPr>
          <w:rFonts w:ascii="Times New Roman" w:eastAsia="仿宋_GB2312"/>
          <w:sz w:val="32"/>
          <w:szCs w:val="32"/>
        </w:rPr>
        <w:t>万元，执行数为</w:t>
      </w:r>
      <w:r w:rsidR="00C23125">
        <w:rPr>
          <w:rFonts w:ascii="Times New Roman" w:eastAsia="仿宋_GB2312" w:hint="eastAsia"/>
          <w:sz w:val="32"/>
          <w:szCs w:val="32"/>
        </w:rPr>
        <w:t>1.6</w:t>
      </w:r>
      <w:r w:rsidR="00C23125">
        <w:rPr>
          <w:rFonts w:ascii="Times New Roman" w:eastAsia="仿宋_GB2312"/>
          <w:sz w:val="32"/>
          <w:szCs w:val="32"/>
        </w:rPr>
        <w:t>万元，完成预算的</w:t>
      </w:r>
      <w:r w:rsidR="00C23125">
        <w:rPr>
          <w:rFonts w:ascii="Times New Roman" w:eastAsia="仿宋_GB2312" w:hint="eastAsia"/>
          <w:sz w:val="32"/>
          <w:szCs w:val="32"/>
        </w:rPr>
        <w:t>100</w:t>
      </w:r>
      <w:r w:rsidR="00C23125">
        <w:rPr>
          <w:rFonts w:ascii="Times New Roman" w:eastAsia="仿宋_GB2312"/>
          <w:sz w:val="32"/>
          <w:szCs w:val="32"/>
        </w:rPr>
        <w:t>%</w:t>
      </w:r>
      <w:r w:rsidR="00C23125">
        <w:rPr>
          <w:rFonts w:ascii="Times New Roman" w:eastAsia="仿宋_GB2312"/>
          <w:sz w:val="32"/>
          <w:szCs w:val="32"/>
        </w:rPr>
        <w:t>。项目绩效目标完成情况：</w:t>
      </w:r>
      <w:r w:rsidR="00C23125">
        <w:rPr>
          <w:rFonts w:ascii="Times New Roman" w:eastAsia="仿宋_GB2312" w:hint="eastAsia"/>
          <w:sz w:val="32"/>
          <w:szCs w:val="32"/>
        </w:rPr>
        <w:t>完成统计报表年鉴印制工作</w:t>
      </w:r>
      <w:r w:rsidR="00C23125">
        <w:rPr>
          <w:rFonts w:ascii="Times New Roman" w:eastAsia="仿宋_GB2312"/>
          <w:sz w:val="32"/>
          <w:szCs w:val="32"/>
        </w:rPr>
        <w:t>。发现的主要问题及原因是：</w:t>
      </w:r>
      <w:r w:rsidR="00C23125">
        <w:rPr>
          <w:rFonts w:ascii="Times New Roman" w:eastAsia="仿宋_GB2312" w:hint="eastAsia"/>
          <w:sz w:val="32"/>
          <w:szCs w:val="32"/>
        </w:rPr>
        <w:t>无。下一步改进措施：无</w:t>
      </w:r>
      <w:r w:rsidR="00C23125">
        <w:rPr>
          <w:rFonts w:ascii="Times New Roman" w:eastAsia="仿宋_GB2312"/>
          <w:sz w:val="32"/>
          <w:szCs w:val="32"/>
        </w:rPr>
        <w:t>。</w:t>
      </w:r>
    </w:p>
    <w:tbl>
      <w:tblPr>
        <w:tblW w:w="9288" w:type="dxa"/>
        <w:jc w:val="center"/>
        <w:tblLook w:val="04A0"/>
      </w:tblPr>
      <w:tblGrid>
        <w:gridCol w:w="916"/>
        <w:gridCol w:w="1194"/>
        <w:gridCol w:w="778"/>
        <w:gridCol w:w="778"/>
        <w:gridCol w:w="1195"/>
        <w:gridCol w:w="561"/>
        <w:gridCol w:w="518"/>
        <w:gridCol w:w="1195"/>
        <w:gridCol w:w="1181"/>
        <w:gridCol w:w="392"/>
        <w:gridCol w:w="580"/>
      </w:tblGrid>
      <w:tr w:rsidR="00B23535">
        <w:trPr>
          <w:jc w:val="center"/>
        </w:trPr>
        <w:tc>
          <w:tcPr>
            <w:tcW w:w="589" w:type="dxa"/>
            <w:gridSpan w:val="11"/>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方正小标宋_GBK" w:eastAsia="方正小标宋_GBK" w:hAnsi="方正小标宋_GBK" w:cs="方正小标宋_GBK"/>
                <w:color w:val="000000"/>
                <w:sz w:val="40"/>
                <w:szCs w:val="40"/>
              </w:rPr>
            </w:pPr>
            <w:r>
              <w:rPr>
                <w:rFonts w:ascii="黑体" w:eastAsia="黑体" w:hAnsi="黑体" w:cs="黑体" w:hint="eastAsia"/>
                <w:color w:val="000000"/>
                <w:sz w:val="40"/>
                <w:szCs w:val="40"/>
              </w:rPr>
              <w:t>2024年预算项目绩效自评表</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填报单位：</w:t>
            </w:r>
          </w:p>
        </w:tc>
        <w:tc>
          <w:tcPr>
            <w:tcW w:w="1219"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792" w:type="dxa"/>
            <w:gridSpan w:val="2"/>
            <w:tcBorders>
              <w:top w:val="nil"/>
              <w:left w:val="nil"/>
              <w:bottom w:val="nil"/>
              <w:right w:val="nil"/>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524"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53"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005"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589" w:type="dxa"/>
            <w:gridSpan w:val="2"/>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金额单位：万元</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一、基本情况</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项目名称</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统计报表年鉴印制</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项目级次</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市本级项目</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实施（主管）单位</w:t>
            </w:r>
          </w:p>
        </w:tc>
        <w:tc>
          <w:tcPr>
            <w:tcW w:w="589"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410001 - 涞源县统计局本级</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二、预算执行情况</w:t>
            </w:r>
          </w:p>
        </w:tc>
        <w:tc>
          <w:tcPr>
            <w:tcW w:w="792"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预算安排情况</w:t>
            </w:r>
            <w:r>
              <w:rPr>
                <w:rFonts w:ascii="宋体" w:eastAsia="宋体" w:hAnsi="宋体" w:hint="eastAsia"/>
                <w:b/>
                <w:bCs/>
                <w:color w:val="000000"/>
                <w:sz w:val="18"/>
                <w:szCs w:val="18"/>
              </w:rPr>
              <w:br/>
              <w:t>（调整后）</w:t>
            </w:r>
          </w:p>
        </w:tc>
        <w:tc>
          <w:tcPr>
            <w:tcW w:w="4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资金到位情况</w:t>
            </w:r>
          </w:p>
        </w:tc>
        <w:tc>
          <w:tcPr>
            <w:tcW w:w="5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资金执行情况</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预算执行进度</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预算数</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1.600000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到位数</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1.600000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执行数</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1.600000</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1.600000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1.600000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1.600000</w:t>
            </w: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22"/>
                <w:szCs w:val="22"/>
              </w:rPr>
            </w:pPr>
            <w:r>
              <w:rPr>
                <w:rFonts w:ascii="宋体" w:eastAsia="宋体" w:hAnsi="宋体" w:hint="eastAsia"/>
                <w:color w:val="000000"/>
                <w:sz w:val="22"/>
                <w:szCs w:val="22"/>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三、目标完成情况</w:t>
            </w:r>
          </w:p>
        </w:tc>
        <w:tc>
          <w:tcPr>
            <w:tcW w:w="122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年度预期目标</w:t>
            </w:r>
          </w:p>
        </w:tc>
        <w:tc>
          <w:tcPr>
            <w:tcW w:w="5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具体完成情况</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总体完成率</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完成报表年鉴印制</w:t>
            </w:r>
          </w:p>
        </w:tc>
        <w:tc>
          <w:tcPr>
            <w:tcW w:w="539" w:type="dxa"/>
            <w:gridSpan w:val="5"/>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完成本年度报表印刷工作</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四、年度绩效指标完成情况</w:t>
            </w: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一级指标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二级指标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三级指标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指标分值</w:t>
            </w:r>
          </w:p>
        </w:tc>
        <w:tc>
          <w:tcPr>
            <w:tcW w:w="12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预期指标值</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实际完成值</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单项指标</w:t>
            </w:r>
            <w:r>
              <w:rPr>
                <w:rFonts w:ascii="宋体" w:eastAsia="宋体" w:hAnsi="宋体" w:hint="eastAsia"/>
                <w:b/>
                <w:bCs/>
                <w:color w:val="000000"/>
                <w:sz w:val="18"/>
                <w:szCs w:val="18"/>
              </w:rPr>
              <w:br/>
              <w:t>完成情况</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自评得分</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符号</w:t>
            </w:r>
          </w:p>
        </w:tc>
        <w:tc>
          <w:tcPr>
            <w:tcW w:w="4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值</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单位</w:t>
            </w:r>
            <w:r>
              <w:rPr>
                <w:rFonts w:ascii="宋体" w:eastAsia="宋体" w:hAnsi="宋体" w:hint="eastAsia"/>
                <w:b/>
                <w:bCs/>
                <w:color w:val="000000"/>
                <w:sz w:val="18"/>
                <w:szCs w:val="18"/>
              </w:rPr>
              <w:br/>
              <w:t>（文字描述）</w:t>
            </w: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产出指标</w:t>
            </w:r>
            <w:r>
              <w:rPr>
                <w:rFonts w:ascii="宋体" w:eastAsia="宋体" w:hAnsi="宋体" w:hint="eastAsia"/>
                <w:b/>
                <w:bCs/>
                <w:color w:val="000000"/>
                <w:sz w:val="18"/>
                <w:szCs w:val="18"/>
              </w:rPr>
              <w:br/>
              <w:t>（50）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数量指标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印刷数量</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完成统计工作数量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印刷合格率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完成率质量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时效指标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完成时限</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各项任务完成及时率（%）</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成本指标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预算执行率（%）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完成工作目标所需资金</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效益指标</w:t>
            </w:r>
            <w:r>
              <w:rPr>
                <w:rFonts w:ascii="宋体" w:eastAsia="宋体" w:hAnsi="宋体" w:hint="eastAsia"/>
                <w:b/>
                <w:bCs/>
                <w:color w:val="000000"/>
                <w:sz w:val="18"/>
                <w:szCs w:val="18"/>
              </w:rPr>
              <w:br/>
              <w:t>（30）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经济效益指标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社会影响力</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可持续影响指标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可持续性服务</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持续提升我局社会影响力</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满意度指标</w:t>
            </w:r>
            <w:r>
              <w:rPr>
                <w:rFonts w:ascii="宋体" w:eastAsia="宋体" w:hAnsi="宋体" w:hint="eastAsia"/>
                <w:b/>
                <w:bCs/>
                <w:color w:val="000000"/>
                <w:sz w:val="18"/>
                <w:szCs w:val="18"/>
              </w:rPr>
              <w:br/>
              <w:t>（10）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满意度指标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预算执行率</w:t>
            </w:r>
            <w:r>
              <w:rPr>
                <w:rFonts w:ascii="宋体" w:eastAsia="宋体" w:hAnsi="宋体" w:hint="eastAsia"/>
                <w:b/>
                <w:bCs/>
                <w:color w:val="000000"/>
                <w:sz w:val="18"/>
                <w:szCs w:val="18"/>
              </w:rPr>
              <w:br/>
              <w:t>（10）</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预算执行率</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39"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自评总分</w:t>
            </w:r>
          </w:p>
        </w:tc>
        <w:tc>
          <w:tcPr>
            <w:tcW w:w="5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right"/>
              <w:textAlignment w:val="center"/>
              <w:rPr>
                <w:rFonts w:ascii="宋体" w:eastAsia="宋体" w:hAnsi="宋体"/>
                <w:b/>
                <w:bCs/>
                <w:color w:val="000000"/>
                <w:sz w:val="18"/>
                <w:szCs w:val="18"/>
              </w:rPr>
            </w:pPr>
            <w:r>
              <w:rPr>
                <w:rFonts w:ascii="宋体" w:eastAsia="宋体" w:hAnsi="宋体" w:hint="eastAsia"/>
                <w:b/>
                <w:bCs/>
                <w:color w:val="000000"/>
                <w:sz w:val="18"/>
                <w:szCs w:val="18"/>
              </w:rPr>
              <w:t>100</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五、存在问题、原因及下一步整改措施</w:t>
            </w:r>
          </w:p>
        </w:tc>
        <w:tc>
          <w:tcPr>
            <w:tcW w:w="589" w:type="dxa"/>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无</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填报人：</w:t>
            </w:r>
          </w:p>
        </w:tc>
        <w:tc>
          <w:tcPr>
            <w:tcW w:w="1219"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高俊杰</w:t>
            </w: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24"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联系电话：</w:t>
            </w:r>
          </w:p>
        </w:tc>
        <w:tc>
          <w:tcPr>
            <w:tcW w:w="1005" w:type="dxa"/>
            <w:tcBorders>
              <w:top w:val="nil"/>
              <w:left w:val="nil"/>
              <w:bottom w:val="nil"/>
              <w:right w:val="nil"/>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15232970794</w:t>
            </w:r>
          </w:p>
        </w:tc>
        <w:tc>
          <w:tcPr>
            <w:tcW w:w="53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8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5623A8">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4.</w:t>
      </w:r>
      <w:r w:rsidR="00C23125">
        <w:rPr>
          <w:rFonts w:ascii="Times New Roman" w:eastAsia="仿宋_GB2312" w:hint="eastAsia"/>
          <w:sz w:val="32"/>
          <w:szCs w:val="32"/>
        </w:rPr>
        <w:t>涞源县统计局</w:t>
      </w:r>
      <w:r w:rsidR="00C23125">
        <w:rPr>
          <w:rFonts w:ascii="Times New Roman" w:eastAsia="仿宋_GB2312" w:hint="eastAsia"/>
          <w:sz w:val="32"/>
          <w:szCs w:val="32"/>
        </w:rPr>
        <w:t>2024</w:t>
      </w:r>
      <w:r w:rsidR="00C23125">
        <w:rPr>
          <w:rFonts w:ascii="Times New Roman" w:eastAsia="仿宋_GB2312" w:hint="eastAsia"/>
          <w:sz w:val="32"/>
          <w:szCs w:val="32"/>
        </w:rPr>
        <w:t>年</w:t>
      </w:r>
      <w:r w:rsidR="00C23125">
        <w:rPr>
          <w:rFonts w:ascii="Times New Roman" w:eastAsia="仿宋_GB2312" w:hint="eastAsia"/>
          <w:sz w:val="32"/>
          <w:szCs w:val="32"/>
        </w:rPr>
        <w:t>AKTD</w:t>
      </w:r>
      <w:r w:rsidR="00C23125">
        <w:rPr>
          <w:rFonts w:ascii="Times New Roman" w:eastAsia="仿宋_GB2312"/>
          <w:sz w:val="32"/>
          <w:szCs w:val="32"/>
        </w:rPr>
        <w:t>项目绩效自评情况：根据年初设定的绩效目标，项目绩效自评得分为</w:t>
      </w:r>
      <w:r w:rsidR="00C23125">
        <w:rPr>
          <w:rFonts w:ascii="Times New Roman" w:eastAsia="仿宋_GB2312" w:hint="eastAsia"/>
          <w:sz w:val="32"/>
          <w:szCs w:val="32"/>
        </w:rPr>
        <w:t>100</w:t>
      </w:r>
      <w:r w:rsidR="00C23125">
        <w:rPr>
          <w:rFonts w:ascii="Times New Roman" w:eastAsia="仿宋_GB2312"/>
          <w:sz w:val="32"/>
          <w:szCs w:val="32"/>
        </w:rPr>
        <w:t>分（绩效自评表附后）。全年预算数为</w:t>
      </w:r>
      <w:r w:rsidR="00C23125">
        <w:rPr>
          <w:rFonts w:ascii="Times New Roman" w:eastAsia="仿宋_GB2312" w:hint="eastAsia"/>
          <w:sz w:val="32"/>
          <w:szCs w:val="32"/>
        </w:rPr>
        <w:t>2.14</w:t>
      </w:r>
      <w:r w:rsidR="00C23125">
        <w:rPr>
          <w:rFonts w:ascii="Times New Roman" w:eastAsia="仿宋_GB2312"/>
          <w:sz w:val="32"/>
          <w:szCs w:val="32"/>
        </w:rPr>
        <w:t>万元，执行数为</w:t>
      </w:r>
      <w:r w:rsidR="00C23125">
        <w:rPr>
          <w:rFonts w:ascii="Times New Roman" w:eastAsia="仿宋_GB2312" w:hint="eastAsia"/>
          <w:sz w:val="32"/>
          <w:szCs w:val="32"/>
        </w:rPr>
        <w:t>2.14</w:t>
      </w:r>
      <w:r w:rsidR="00C23125">
        <w:rPr>
          <w:rFonts w:ascii="Times New Roman" w:eastAsia="仿宋_GB2312"/>
          <w:sz w:val="32"/>
          <w:szCs w:val="32"/>
        </w:rPr>
        <w:t>万元，完成预算的</w:t>
      </w:r>
      <w:r w:rsidR="00C23125">
        <w:rPr>
          <w:rFonts w:ascii="Times New Roman" w:eastAsia="仿宋_GB2312" w:hint="eastAsia"/>
          <w:sz w:val="32"/>
          <w:szCs w:val="32"/>
        </w:rPr>
        <w:t>100</w:t>
      </w:r>
      <w:r w:rsidR="00C23125">
        <w:rPr>
          <w:rFonts w:ascii="Times New Roman" w:eastAsia="仿宋_GB2312"/>
          <w:sz w:val="32"/>
          <w:szCs w:val="32"/>
        </w:rPr>
        <w:t>%</w:t>
      </w:r>
      <w:r w:rsidR="00C23125">
        <w:rPr>
          <w:rFonts w:ascii="Times New Roman" w:eastAsia="仿宋_GB2312"/>
          <w:sz w:val="32"/>
          <w:szCs w:val="32"/>
        </w:rPr>
        <w:t>。项目绩效目标完成情况：</w:t>
      </w:r>
      <w:r w:rsidR="00C23125">
        <w:rPr>
          <w:rFonts w:ascii="Times New Roman" w:eastAsia="仿宋_GB2312" w:hint="eastAsia"/>
          <w:sz w:val="32"/>
          <w:szCs w:val="32"/>
        </w:rPr>
        <w:t>完成涞源县统计局</w:t>
      </w:r>
      <w:r w:rsidR="00C23125">
        <w:rPr>
          <w:rFonts w:ascii="Times New Roman" w:eastAsia="仿宋_GB2312" w:hint="eastAsia"/>
          <w:sz w:val="32"/>
          <w:szCs w:val="32"/>
        </w:rPr>
        <w:t>2024</w:t>
      </w:r>
      <w:r w:rsidR="00C23125">
        <w:rPr>
          <w:rFonts w:ascii="Times New Roman" w:eastAsia="仿宋_GB2312" w:hint="eastAsia"/>
          <w:sz w:val="32"/>
          <w:szCs w:val="32"/>
        </w:rPr>
        <w:t>年</w:t>
      </w:r>
      <w:r w:rsidR="00C23125">
        <w:rPr>
          <w:rFonts w:ascii="Times New Roman" w:eastAsia="仿宋_GB2312" w:hint="eastAsia"/>
          <w:sz w:val="32"/>
          <w:szCs w:val="32"/>
        </w:rPr>
        <w:t>AKTD</w:t>
      </w:r>
      <w:r w:rsidR="00C23125">
        <w:rPr>
          <w:rFonts w:ascii="Times New Roman" w:eastAsia="仿宋_GB2312" w:hint="eastAsia"/>
          <w:sz w:val="32"/>
          <w:szCs w:val="32"/>
        </w:rPr>
        <w:t>工作</w:t>
      </w:r>
      <w:r w:rsidR="00C23125">
        <w:rPr>
          <w:rFonts w:ascii="Times New Roman" w:eastAsia="仿宋_GB2312"/>
          <w:sz w:val="32"/>
          <w:szCs w:val="32"/>
        </w:rPr>
        <w:t>。发现的主要问题及原因是：</w:t>
      </w:r>
      <w:r w:rsidR="00C23125">
        <w:rPr>
          <w:rFonts w:ascii="Times New Roman" w:eastAsia="仿宋_GB2312" w:hint="eastAsia"/>
          <w:sz w:val="32"/>
          <w:szCs w:val="32"/>
        </w:rPr>
        <w:t>无。下一步改进措施：无</w:t>
      </w:r>
      <w:r w:rsidR="00C23125">
        <w:rPr>
          <w:rFonts w:ascii="Times New Roman" w:eastAsia="仿宋_GB2312"/>
          <w:sz w:val="32"/>
          <w:szCs w:val="32"/>
        </w:rPr>
        <w:t>。</w:t>
      </w:r>
    </w:p>
    <w:tbl>
      <w:tblPr>
        <w:tblW w:w="9288" w:type="dxa"/>
        <w:jc w:val="center"/>
        <w:tblLook w:val="04A0"/>
      </w:tblPr>
      <w:tblGrid>
        <w:gridCol w:w="848"/>
        <w:gridCol w:w="1097"/>
        <w:gridCol w:w="1030"/>
        <w:gridCol w:w="951"/>
        <w:gridCol w:w="1097"/>
        <w:gridCol w:w="553"/>
        <w:gridCol w:w="515"/>
        <w:gridCol w:w="1097"/>
        <w:gridCol w:w="1164"/>
        <w:gridCol w:w="389"/>
        <w:gridCol w:w="547"/>
      </w:tblGrid>
      <w:tr w:rsidR="00B23535">
        <w:trPr>
          <w:jc w:val="center"/>
        </w:trPr>
        <w:tc>
          <w:tcPr>
            <w:tcW w:w="562" w:type="dxa"/>
            <w:gridSpan w:val="11"/>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方正小标宋_GBK" w:eastAsia="方正小标宋_GBK" w:hAnsi="方正小标宋_GBK" w:cs="方正小标宋_GBK"/>
                <w:color w:val="000000"/>
                <w:sz w:val="40"/>
                <w:szCs w:val="40"/>
              </w:rPr>
            </w:pPr>
            <w:r>
              <w:rPr>
                <w:rFonts w:ascii="黑体" w:eastAsia="黑体" w:hAnsi="黑体" w:cs="黑体" w:hint="eastAsia"/>
                <w:color w:val="000000"/>
                <w:sz w:val="40"/>
                <w:szCs w:val="40"/>
              </w:rPr>
              <w:t>2024年预算项目绩效自评表</w:t>
            </w:r>
          </w:p>
        </w:tc>
      </w:tr>
      <w:tr w:rsidR="00B23535">
        <w:trPr>
          <w:jc w:val="center"/>
        </w:trPr>
        <w:tc>
          <w:tcPr>
            <w:tcW w:w="876" w:type="dxa"/>
            <w:tcBorders>
              <w:top w:val="nil"/>
              <w:left w:val="nil"/>
              <w:bottom w:val="nil"/>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填报单位：</w:t>
            </w:r>
          </w:p>
        </w:tc>
        <w:tc>
          <w:tcPr>
            <w:tcW w:w="1137"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984" w:type="dxa"/>
            <w:gridSpan w:val="2"/>
            <w:tcBorders>
              <w:top w:val="nil"/>
              <w:left w:val="nil"/>
              <w:bottom w:val="nil"/>
              <w:right w:val="nil"/>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137"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97"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35"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137"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939"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562" w:type="dxa"/>
            <w:gridSpan w:val="2"/>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金额单位：万元</w:t>
            </w:r>
          </w:p>
        </w:tc>
      </w:tr>
      <w:tr w:rsidR="00B23535">
        <w:trPr>
          <w:jc w:val="center"/>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一、基本情况</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项目名称</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涞源县统计局2024年AKTD</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项目级次</w:t>
            </w:r>
          </w:p>
        </w:tc>
        <w:tc>
          <w:tcPr>
            <w:tcW w:w="435"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市本级项目</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实施（主管）单位</w:t>
            </w:r>
          </w:p>
        </w:tc>
        <w:tc>
          <w:tcPr>
            <w:tcW w:w="562"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410001 - 涞源县统计局本级</w:t>
            </w:r>
          </w:p>
        </w:tc>
      </w:tr>
      <w:tr w:rsidR="00B23535">
        <w:trPr>
          <w:jc w:val="center"/>
        </w:trPr>
        <w:tc>
          <w:tcPr>
            <w:tcW w:w="8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二、预算执行情况</w:t>
            </w:r>
          </w:p>
        </w:tc>
        <w:tc>
          <w:tcPr>
            <w:tcW w:w="984"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预算安排情况</w:t>
            </w:r>
            <w:r>
              <w:rPr>
                <w:rFonts w:ascii="宋体" w:eastAsia="宋体" w:hAnsi="宋体" w:hint="eastAsia"/>
                <w:b/>
                <w:bCs/>
                <w:color w:val="000000"/>
                <w:sz w:val="18"/>
                <w:szCs w:val="18"/>
              </w:rPr>
              <w:br/>
              <w:t>（调整后）</w:t>
            </w:r>
          </w:p>
        </w:tc>
        <w:tc>
          <w:tcPr>
            <w:tcW w:w="43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资金到位情况</w:t>
            </w:r>
          </w:p>
        </w:tc>
        <w:tc>
          <w:tcPr>
            <w:tcW w:w="5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资金执行情况</w:t>
            </w:r>
          </w:p>
        </w:tc>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预算执行进度</w:t>
            </w:r>
          </w:p>
        </w:tc>
      </w:tr>
      <w:tr w:rsidR="00B23535">
        <w:trPr>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预算数</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2.140000</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到位数</w:t>
            </w:r>
          </w:p>
        </w:tc>
        <w:tc>
          <w:tcPr>
            <w:tcW w:w="435"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2.140000</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执行数</w:t>
            </w:r>
          </w:p>
        </w:tc>
        <w:tc>
          <w:tcPr>
            <w:tcW w:w="518"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2.140000</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2.140000</w:t>
            </w:r>
          </w:p>
        </w:tc>
        <w:tc>
          <w:tcPr>
            <w:tcW w:w="113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35"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2.140000</w:t>
            </w:r>
          </w:p>
        </w:tc>
        <w:tc>
          <w:tcPr>
            <w:tcW w:w="113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518"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2.140000</w:t>
            </w: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984"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22"/>
                <w:szCs w:val="22"/>
              </w:rPr>
            </w:pPr>
            <w:r>
              <w:rPr>
                <w:rFonts w:ascii="宋体" w:eastAsia="宋体" w:hAnsi="宋体" w:hint="eastAsia"/>
                <w:color w:val="000000"/>
                <w:sz w:val="22"/>
                <w:szCs w:val="22"/>
              </w:rPr>
              <w:t>0</w:t>
            </w:r>
          </w:p>
        </w:tc>
        <w:tc>
          <w:tcPr>
            <w:tcW w:w="113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c>
          <w:tcPr>
            <w:tcW w:w="113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518"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8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三、目标完成情况</w:t>
            </w:r>
          </w:p>
        </w:tc>
        <w:tc>
          <w:tcPr>
            <w:tcW w:w="1137"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年度预期目标</w:t>
            </w:r>
          </w:p>
        </w:tc>
        <w:tc>
          <w:tcPr>
            <w:tcW w:w="51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具体完成情况</w:t>
            </w:r>
          </w:p>
        </w:tc>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总体完成率</w:t>
            </w:r>
          </w:p>
        </w:tc>
      </w:tr>
      <w:tr w:rsidR="00B23535">
        <w:trPr>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gridSpan w:val="4"/>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完成本单位信息安全保密</w:t>
            </w:r>
          </w:p>
        </w:tc>
        <w:tc>
          <w:tcPr>
            <w:tcW w:w="518" w:type="dxa"/>
            <w:gridSpan w:val="5"/>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已按时完成</w:t>
            </w:r>
          </w:p>
        </w:tc>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8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四、年度绩效指标完成情况</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一级指标</w:t>
            </w: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二级指标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三级指标</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指标分值</w:t>
            </w:r>
          </w:p>
        </w:tc>
        <w:tc>
          <w:tcPr>
            <w:tcW w:w="113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预期指标值</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实际完成值</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单项指标</w:t>
            </w:r>
            <w:r>
              <w:rPr>
                <w:rFonts w:ascii="宋体" w:eastAsia="宋体" w:hAnsi="宋体" w:hint="eastAsia"/>
                <w:b/>
                <w:bCs/>
                <w:color w:val="000000"/>
                <w:sz w:val="18"/>
                <w:szCs w:val="18"/>
              </w:rPr>
              <w:br/>
              <w:t>完成情况</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自评得分</w:t>
            </w:r>
          </w:p>
        </w:tc>
      </w:tr>
      <w:tr w:rsidR="00B23535">
        <w:trPr>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4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符号</w:t>
            </w:r>
          </w:p>
        </w:tc>
        <w:tc>
          <w:tcPr>
            <w:tcW w:w="4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值</w:t>
            </w: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单位</w:t>
            </w:r>
            <w:r>
              <w:rPr>
                <w:rFonts w:ascii="宋体" w:eastAsia="宋体" w:hAnsi="宋体" w:hint="eastAsia"/>
                <w:b/>
                <w:bCs/>
                <w:color w:val="000000"/>
                <w:sz w:val="18"/>
                <w:szCs w:val="18"/>
              </w:rPr>
              <w:br/>
              <w:t>（文字描述）</w:t>
            </w: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产出指标</w:t>
            </w:r>
            <w:r>
              <w:rPr>
                <w:rFonts w:ascii="宋体" w:eastAsia="宋体" w:hAnsi="宋体" w:hint="eastAsia"/>
                <w:b/>
                <w:bCs/>
                <w:color w:val="000000"/>
                <w:sz w:val="18"/>
                <w:szCs w:val="18"/>
              </w:rPr>
              <w:br/>
              <w:t>（50）</w:t>
            </w: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数量指标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设备采购数量</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购置质量合格率（%）</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时效指标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按期完成率</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成本指标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预算执行</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效益指标</w:t>
            </w:r>
            <w:r>
              <w:rPr>
                <w:rFonts w:ascii="宋体" w:eastAsia="宋体" w:hAnsi="宋体" w:hint="eastAsia"/>
                <w:b/>
                <w:bCs/>
                <w:color w:val="000000"/>
                <w:sz w:val="18"/>
                <w:szCs w:val="18"/>
              </w:rPr>
              <w:br/>
              <w:t>（30）</w:t>
            </w: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经济效益指标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社会效益显著</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可持续影响指标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可持续性</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满意度指标</w:t>
            </w:r>
            <w:r>
              <w:rPr>
                <w:rFonts w:ascii="宋体" w:eastAsia="宋体" w:hAnsi="宋体" w:hint="eastAsia"/>
                <w:b/>
                <w:bCs/>
                <w:color w:val="000000"/>
                <w:sz w:val="18"/>
                <w:szCs w:val="18"/>
              </w:rPr>
              <w:br/>
              <w:t>（10）</w:t>
            </w:r>
          </w:p>
        </w:tc>
        <w:tc>
          <w:tcPr>
            <w:tcW w:w="10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满意度指标</w:t>
            </w:r>
          </w:p>
        </w:tc>
        <w:tc>
          <w:tcPr>
            <w:tcW w:w="9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9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98</w:t>
            </w:r>
          </w:p>
        </w:tc>
        <w:tc>
          <w:tcPr>
            <w:tcW w:w="1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预算安排</w:t>
            </w:r>
          </w:p>
        </w:tc>
        <w:tc>
          <w:tcPr>
            <w:tcW w:w="93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0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98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9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137"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6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预算执行率</w:t>
            </w:r>
            <w:r>
              <w:rPr>
                <w:rFonts w:ascii="宋体" w:eastAsia="宋体" w:hAnsi="宋体" w:hint="eastAsia"/>
                <w:b/>
                <w:bCs/>
                <w:color w:val="000000"/>
                <w:sz w:val="18"/>
                <w:szCs w:val="18"/>
              </w:rPr>
              <w:br/>
              <w:t>（10）</w:t>
            </w:r>
          </w:p>
        </w:tc>
        <w:tc>
          <w:tcPr>
            <w:tcW w:w="10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预算执行率</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497"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35"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93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18"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jc w:val="center"/>
        </w:trPr>
        <w:tc>
          <w:tcPr>
            <w:tcW w:w="8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18"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自评总分</w:t>
            </w:r>
          </w:p>
        </w:tc>
        <w:tc>
          <w:tcPr>
            <w:tcW w:w="5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right"/>
              <w:textAlignment w:val="center"/>
              <w:rPr>
                <w:rFonts w:ascii="宋体" w:eastAsia="宋体" w:hAnsi="宋体"/>
                <w:b/>
                <w:bCs/>
                <w:color w:val="000000"/>
                <w:sz w:val="18"/>
                <w:szCs w:val="18"/>
              </w:rPr>
            </w:pPr>
            <w:r>
              <w:rPr>
                <w:rFonts w:ascii="宋体" w:eastAsia="宋体" w:hAnsi="宋体" w:hint="eastAsia"/>
                <w:b/>
                <w:bCs/>
                <w:color w:val="000000"/>
                <w:sz w:val="18"/>
                <w:szCs w:val="18"/>
              </w:rPr>
              <w:t>100</w:t>
            </w:r>
          </w:p>
        </w:tc>
      </w:tr>
      <w:tr w:rsidR="00B23535">
        <w:trPr>
          <w:jc w:val="center"/>
        </w:trPr>
        <w:tc>
          <w:tcPr>
            <w:tcW w:w="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五、存在问题、原因及下一步整改措施</w:t>
            </w:r>
          </w:p>
        </w:tc>
        <w:tc>
          <w:tcPr>
            <w:tcW w:w="562" w:type="dxa"/>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无</w:t>
            </w:r>
          </w:p>
        </w:tc>
      </w:tr>
      <w:tr w:rsidR="00B23535">
        <w:trPr>
          <w:jc w:val="center"/>
        </w:trPr>
        <w:tc>
          <w:tcPr>
            <w:tcW w:w="876"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填报人：</w:t>
            </w:r>
          </w:p>
        </w:tc>
        <w:tc>
          <w:tcPr>
            <w:tcW w:w="1137"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高俊杰</w:t>
            </w:r>
          </w:p>
        </w:tc>
        <w:tc>
          <w:tcPr>
            <w:tcW w:w="1066"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984"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137"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97"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35"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137" w:type="dxa"/>
            <w:tcBorders>
              <w:top w:val="nil"/>
              <w:left w:val="nil"/>
              <w:bottom w:val="nil"/>
              <w:right w:val="nil"/>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联系电话：</w:t>
            </w:r>
          </w:p>
        </w:tc>
        <w:tc>
          <w:tcPr>
            <w:tcW w:w="939" w:type="dxa"/>
            <w:tcBorders>
              <w:top w:val="nil"/>
              <w:left w:val="nil"/>
              <w:bottom w:val="nil"/>
              <w:right w:val="nil"/>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15232970794</w:t>
            </w:r>
          </w:p>
        </w:tc>
        <w:tc>
          <w:tcPr>
            <w:tcW w:w="518"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6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5623A8">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5.</w:t>
      </w:r>
      <w:r w:rsidR="00C23125">
        <w:rPr>
          <w:rFonts w:ascii="Times New Roman" w:eastAsia="仿宋_GB2312" w:hint="eastAsia"/>
          <w:sz w:val="32"/>
          <w:szCs w:val="32"/>
        </w:rPr>
        <w:t>统计局网络维护费</w:t>
      </w:r>
      <w:r w:rsidR="00C23125">
        <w:rPr>
          <w:rFonts w:ascii="Times New Roman" w:eastAsia="仿宋_GB2312"/>
          <w:sz w:val="32"/>
          <w:szCs w:val="32"/>
        </w:rPr>
        <w:t>项目绩效自评情况：根据年初设定的绩效目标，项目绩效自评得分为</w:t>
      </w:r>
      <w:r w:rsidR="00C23125">
        <w:rPr>
          <w:rFonts w:ascii="Times New Roman" w:eastAsia="仿宋_GB2312" w:hint="eastAsia"/>
          <w:sz w:val="32"/>
          <w:szCs w:val="32"/>
        </w:rPr>
        <w:t>100</w:t>
      </w:r>
      <w:r w:rsidR="00C23125">
        <w:rPr>
          <w:rFonts w:ascii="Times New Roman" w:eastAsia="仿宋_GB2312"/>
          <w:sz w:val="32"/>
          <w:szCs w:val="32"/>
        </w:rPr>
        <w:t>分（绩效自评表附后）。全年预算数为</w:t>
      </w:r>
      <w:r w:rsidR="00C23125">
        <w:rPr>
          <w:rFonts w:ascii="Times New Roman" w:eastAsia="仿宋_GB2312" w:hint="eastAsia"/>
          <w:sz w:val="32"/>
          <w:szCs w:val="32"/>
        </w:rPr>
        <w:t>0.8</w:t>
      </w:r>
      <w:r w:rsidR="00C23125">
        <w:rPr>
          <w:rFonts w:ascii="Times New Roman" w:eastAsia="仿宋_GB2312"/>
          <w:sz w:val="32"/>
          <w:szCs w:val="32"/>
        </w:rPr>
        <w:t>万元，执行数为</w:t>
      </w:r>
      <w:r w:rsidR="00C23125">
        <w:rPr>
          <w:rFonts w:ascii="Times New Roman" w:eastAsia="仿宋_GB2312" w:hint="eastAsia"/>
          <w:sz w:val="32"/>
          <w:szCs w:val="32"/>
        </w:rPr>
        <w:t>0.8</w:t>
      </w:r>
      <w:r w:rsidR="00C23125">
        <w:rPr>
          <w:rFonts w:ascii="Times New Roman" w:eastAsia="仿宋_GB2312"/>
          <w:sz w:val="32"/>
          <w:szCs w:val="32"/>
        </w:rPr>
        <w:t>万元，完成预算的</w:t>
      </w:r>
      <w:r w:rsidR="00C23125">
        <w:rPr>
          <w:rFonts w:ascii="Times New Roman" w:eastAsia="仿宋_GB2312" w:hint="eastAsia"/>
          <w:sz w:val="32"/>
          <w:szCs w:val="32"/>
        </w:rPr>
        <w:t>100</w:t>
      </w:r>
      <w:r w:rsidR="00C23125">
        <w:rPr>
          <w:rFonts w:ascii="Times New Roman" w:eastAsia="仿宋_GB2312"/>
          <w:sz w:val="32"/>
          <w:szCs w:val="32"/>
        </w:rPr>
        <w:t>%</w:t>
      </w:r>
      <w:r w:rsidR="00C23125">
        <w:rPr>
          <w:rFonts w:ascii="Times New Roman" w:eastAsia="仿宋_GB2312"/>
          <w:sz w:val="32"/>
          <w:szCs w:val="32"/>
        </w:rPr>
        <w:t>。项目绩效目标完成情况：</w:t>
      </w:r>
      <w:r w:rsidR="00C23125">
        <w:rPr>
          <w:rFonts w:ascii="Times New Roman" w:eastAsia="仿宋_GB2312" w:hint="eastAsia"/>
          <w:sz w:val="32"/>
          <w:szCs w:val="32"/>
        </w:rPr>
        <w:t>完成统计局网络维护工作</w:t>
      </w:r>
      <w:r w:rsidR="00C23125">
        <w:rPr>
          <w:rFonts w:ascii="Times New Roman" w:eastAsia="仿宋_GB2312"/>
          <w:sz w:val="32"/>
          <w:szCs w:val="32"/>
        </w:rPr>
        <w:t>。发现的主要问题及原因是：</w:t>
      </w:r>
      <w:r w:rsidR="00C23125">
        <w:rPr>
          <w:rFonts w:ascii="Times New Roman" w:eastAsia="仿宋_GB2312" w:hint="eastAsia"/>
          <w:sz w:val="32"/>
          <w:szCs w:val="32"/>
        </w:rPr>
        <w:t>无。下一步改进措施：无</w:t>
      </w:r>
      <w:r w:rsidR="00C23125">
        <w:rPr>
          <w:rFonts w:ascii="Times New Roman" w:eastAsia="仿宋_GB2312"/>
          <w:sz w:val="32"/>
          <w:szCs w:val="32"/>
        </w:rPr>
        <w:t>。</w:t>
      </w:r>
    </w:p>
    <w:tbl>
      <w:tblPr>
        <w:tblW w:w="9288" w:type="dxa"/>
        <w:jc w:val="center"/>
        <w:tblLook w:val="04A0"/>
      </w:tblPr>
      <w:tblGrid>
        <w:gridCol w:w="916"/>
        <w:gridCol w:w="1194"/>
        <w:gridCol w:w="778"/>
        <w:gridCol w:w="778"/>
        <w:gridCol w:w="1195"/>
        <w:gridCol w:w="561"/>
        <w:gridCol w:w="518"/>
        <w:gridCol w:w="1195"/>
        <w:gridCol w:w="1181"/>
        <w:gridCol w:w="392"/>
        <w:gridCol w:w="580"/>
      </w:tblGrid>
      <w:tr w:rsidR="00B23535">
        <w:trPr>
          <w:jc w:val="center"/>
        </w:trPr>
        <w:tc>
          <w:tcPr>
            <w:tcW w:w="589" w:type="dxa"/>
            <w:gridSpan w:val="11"/>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方正小标宋_GBK" w:eastAsia="方正小标宋_GBK" w:hAnsi="方正小标宋_GBK" w:cs="方正小标宋_GBK"/>
                <w:color w:val="000000"/>
                <w:sz w:val="40"/>
                <w:szCs w:val="40"/>
              </w:rPr>
            </w:pPr>
            <w:r>
              <w:rPr>
                <w:rFonts w:ascii="黑体" w:eastAsia="黑体" w:hAnsi="黑体" w:cs="黑体" w:hint="eastAsia"/>
                <w:color w:val="000000"/>
                <w:sz w:val="40"/>
                <w:szCs w:val="40"/>
              </w:rPr>
              <w:t>2024年预算项目绩效自评表</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填报单位：</w:t>
            </w:r>
          </w:p>
        </w:tc>
        <w:tc>
          <w:tcPr>
            <w:tcW w:w="1219"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792" w:type="dxa"/>
            <w:gridSpan w:val="2"/>
            <w:tcBorders>
              <w:top w:val="nil"/>
              <w:left w:val="nil"/>
              <w:bottom w:val="nil"/>
              <w:right w:val="nil"/>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524"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53"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005"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589" w:type="dxa"/>
            <w:gridSpan w:val="2"/>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金额单位：万元</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一、基本情况</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项目名称</w:t>
            </w:r>
          </w:p>
        </w:tc>
        <w:tc>
          <w:tcPr>
            <w:tcW w:w="792" w:type="dxa"/>
            <w:gridSpan w:val="2"/>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统计局网络维护费</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项目级次</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市本级项目</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实施（主管）单位</w:t>
            </w:r>
          </w:p>
        </w:tc>
        <w:tc>
          <w:tcPr>
            <w:tcW w:w="589"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410001 - 涞源县统计局本级</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二、预算执行情况</w:t>
            </w:r>
          </w:p>
        </w:tc>
        <w:tc>
          <w:tcPr>
            <w:tcW w:w="792"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预算安排情况</w:t>
            </w:r>
            <w:r>
              <w:rPr>
                <w:rFonts w:ascii="宋体" w:eastAsia="宋体" w:hAnsi="宋体" w:hint="eastAsia"/>
                <w:b/>
                <w:bCs/>
                <w:color w:val="000000"/>
                <w:sz w:val="18"/>
                <w:szCs w:val="18"/>
              </w:rPr>
              <w:br/>
              <w:t>（调整后）</w:t>
            </w:r>
          </w:p>
        </w:tc>
        <w:tc>
          <w:tcPr>
            <w:tcW w:w="4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资金到位情况</w:t>
            </w:r>
          </w:p>
        </w:tc>
        <w:tc>
          <w:tcPr>
            <w:tcW w:w="5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资金执行情况</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预算执行进度</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预算数</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0.800000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到位数</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0.800000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执行数</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0.800000</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0.800000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0.800000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0.800000</w:t>
            </w: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22"/>
                <w:szCs w:val="22"/>
              </w:rPr>
            </w:pPr>
            <w:r>
              <w:rPr>
                <w:rFonts w:ascii="宋体" w:eastAsia="宋体" w:hAnsi="宋体" w:hint="eastAsia"/>
                <w:color w:val="000000"/>
                <w:sz w:val="22"/>
                <w:szCs w:val="22"/>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三、目标完成情况</w:t>
            </w:r>
          </w:p>
        </w:tc>
        <w:tc>
          <w:tcPr>
            <w:tcW w:w="122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年度预期目标</w:t>
            </w:r>
          </w:p>
        </w:tc>
        <w:tc>
          <w:tcPr>
            <w:tcW w:w="5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具体完成情况</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总体完成率</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gridSpan w:val="4"/>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对本单位网络维护</w:t>
            </w:r>
          </w:p>
        </w:tc>
        <w:tc>
          <w:tcPr>
            <w:tcW w:w="539" w:type="dxa"/>
            <w:gridSpan w:val="5"/>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对本单位网络维护</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四、年度绩效指标完成情况</w:t>
            </w: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一级指标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二级指标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三级指标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指标分值</w:t>
            </w:r>
          </w:p>
        </w:tc>
        <w:tc>
          <w:tcPr>
            <w:tcW w:w="12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预期指标值</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实际完成值</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单项指标</w:t>
            </w:r>
            <w:r>
              <w:rPr>
                <w:rFonts w:ascii="宋体" w:eastAsia="宋体" w:hAnsi="宋体" w:hint="eastAsia"/>
                <w:b/>
                <w:bCs/>
                <w:color w:val="000000"/>
                <w:sz w:val="18"/>
                <w:szCs w:val="18"/>
              </w:rPr>
              <w:br/>
              <w:t>完成情况</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自评得分</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符号</w:t>
            </w:r>
          </w:p>
        </w:tc>
        <w:tc>
          <w:tcPr>
            <w:tcW w:w="4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值</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单位</w:t>
            </w:r>
            <w:r>
              <w:rPr>
                <w:rFonts w:ascii="宋体" w:eastAsia="宋体" w:hAnsi="宋体" w:hint="eastAsia"/>
                <w:b/>
                <w:bCs/>
                <w:color w:val="000000"/>
                <w:sz w:val="18"/>
                <w:szCs w:val="18"/>
              </w:rPr>
              <w:br/>
              <w:t>（文字描述）</w:t>
            </w: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产出指标</w:t>
            </w:r>
            <w:r>
              <w:rPr>
                <w:rFonts w:ascii="宋体" w:eastAsia="宋体" w:hAnsi="宋体" w:hint="eastAsia"/>
                <w:b/>
                <w:bCs/>
                <w:color w:val="000000"/>
                <w:sz w:val="18"/>
                <w:szCs w:val="18"/>
              </w:rPr>
              <w:br/>
              <w:t>（50）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数量指标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数量指标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完成统计工作数量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质量指标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完成率质量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时效指标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及时性</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各项任务完成及时率（%）</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成本指标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预算执行率（%）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完成工作目标所需资金</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效益指标</w:t>
            </w:r>
            <w:r>
              <w:rPr>
                <w:rFonts w:ascii="宋体" w:eastAsia="宋体" w:hAnsi="宋体" w:hint="eastAsia"/>
                <w:b/>
                <w:bCs/>
                <w:color w:val="000000"/>
                <w:sz w:val="18"/>
                <w:szCs w:val="18"/>
              </w:rPr>
              <w:br/>
              <w:t>（30）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经济效益指标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社会影响力</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可持续影响指标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可持续性</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持续提升我局社会影响力</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满意度指标</w:t>
            </w:r>
            <w:r>
              <w:rPr>
                <w:rFonts w:ascii="宋体" w:eastAsia="宋体" w:hAnsi="宋体" w:hint="eastAsia"/>
                <w:b/>
                <w:bCs/>
                <w:color w:val="000000"/>
                <w:sz w:val="18"/>
                <w:szCs w:val="18"/>
              </w:rPr>
              <w:br/>
              <w:t>（10）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满意度指标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预算执行率</w:t>
            </w:r>
            <w:r>
              <w:rPr>
                <w:rFonts w:ascii="宋体" w:eastAsia="宋体" w:hAnsi="宋体" w:hint="eastAsia"/>
                <w:b/>
                <w:bCs/>
                <w:color w:val="000000"/>
                <w:sz w:val="18"/>
                <w:szCs w:val="18"/>
              </w:rPr>
              <w:br/>
              <w:t>（10）</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预算执行率</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39"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自评总分</w:t>
            </w:r>
          </w:p>
        </w:tc>
        <w:tc>
          <w:tcPr>
            <w:tcW w:w="5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right"/>
              <w:textAlignment w:val="center"/>
              <w:rPr>
                <w:rFonts w:ascii="宋体" w:eastAsia="宋体" w:hAnsi="宋体"/>
                <w:b/>
                <w:bCs/>
                <w:color w:val="000000"/>
                <w:sz w:val="18"/>
                <w:szCs w:val="18"/>
              </w:rPr>
            </w:pPr>
            <w:r>
              <w:rPr>
                <w:rFonts w:ascii="宋体" w:eastAsia="宋体" w:hAnsi="宋体" w:hint="eastAsia"/>
                <w:b/>
                <w:bCs/>
                <w:color w:val="000000"/>
                <w:sz w:val="18"/>
                <w:szCs w:val="18"/>
              </w:rPr>
              <w:t>100</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五、存在问题、原因及下一步整改措施</w:t>
            </w:r>
          </w:p>
        </w:tc>
        <w:tc>
          <w:tcPr>
            <w:tcW w:w="589" w:type="dxa"/>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无</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填报人：</w:t>
            </w:r>
          </w:p>
        </w:tc>
        <w:tc>
          <w:tcPr>
            <w:tcW w:w="1219"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高俊杰</w:t>
            </w: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24"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联系电话：</w:t>
            </w:r>
          </w:p>
        </w:tc>
        <w:tc>
          <w:tcPr>
            <w:tcW w:w="1005" w:type="dxa"/>
            <w:tcBorders>
              <w:top w:val="nil"/>
              <w:left w:val="nil"/>
              <w:bottom w:val="nil"/>
              <w:right w:val="nil"/>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15232970794</w:t>
            </w:r>
          </w:p>
        </w:tc>
        <w:tc>
          <w:tcPr>
            <w:tcW w:w="53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8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5623A8">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6.</w:t>
      </w:r>
      <w:r w:rsidR="00C23125">
        <w:rPr>
          <w:rFonts w:ascii="Times New Roman" w:eastAsia="仿宋_GB2312" w:hint="eastAsia"/>
          <w:sz w:val="32"/>
          <w:szCs w:val="32"/>
        </w:rPr>
        <w:t>统计局信访稳定经费</w:t>
      </w:r>
      <w:r w:rsidR="00C23125">
        <w:rPr>
          <w:rFonts w:ascii="Times New Roman" w:eastAsia="仿宋_GB2312"/>
          <w:sz w:val="32"/>
          <w:szCs w:val="32"/>
        </w:rPr>
        <w:t>项目绩效自评情况：根据年初设定的绩效目标，项目绩效自评得分为</w:t>
      </w:r>
      <w:r w:rsidR="00C23125">
        <w:rPr>
          <w:rFonts w:ascii="Times New Roman" w:eastAsia="仿宋_GB2312" w:hint="eastAsia"/>
          <w:sz w:val="32"/>
          <w:szCs w:val="32"/>
        </w:rPr>
        <w:t>100</w:t>
      </w:r>
      <w:r w:rsidR="00C23125">
        <w:rPr>
          <w:rFonts w:ascii="Times New Roman" w:eastAsia="仿宋_GB2312"/>
          <w:sz w:val="32"/>
          <w:szCs w:val="32"/>
        </w:rPr>
        <w:t>分（绩效自评表附后）。全年预算数为</w:t>
      </w:r>
      <w:r w:rsidR="00C23125">
        <w:rPr>
          <w:rFonts w:ascii="Times New Roman" w:eastAsia="仿宋_GB2312" w:hint="eastAsia"/>
          <w:sz w:val="32"/>
          <w:szCs w:val="32"/>
        </w:rPr>
        <w:t>2.0</w:t>
      </w:r>
      <w:r w:rsidR="00C23125">
        <w:rPr>
          <w:rFonts w:ascii="Times New Roman" w:eastAsia="仿宋_GB2312"/>
          <w:sz w:val="32"/>
          <w:szCs w:val="32"/>
        </w:rPr>
        <w:t>万元，执行数为</w:t>
      </w:r>
      <w:r w:rsidR="00C23125">
        <w:rPr>
          <w:rFonts w:ascii="Times New Roman" w:eastAsia="仿宋_GB2312" w:hint="eastAsia"/>
          <w:sz w:val="32"/>
          <w:szCs w:val="32"/>
        </w:rPr>
        <w:t>2.0</w:t>
      </w:r>
      <w:r w:rsidR="00C23125">
        <w:rPr>
          <w:rFonts w:ascii="Times New Roman" w:eastAsia="仿宋_GB2312"/>
          <w:sz w:val="32"/>
          <w:szCs w:val="32"/>
        </w:rPr>
        <w:t>万元，完成预算的</w:t>
      </w:r>
      <w:r w:rsidR="00C23125">
        <w:rPr>
          <w:rFonts w:ascii="Times New Roman" w:eastAsia="仿宋_GB2312" w:hint="eastAsia"/>
          <w:sz w:val="32"/>
          <w:szCs w:val="32"/>
        </w:rPr>
        <w:t>100</w:t>
      </w:r>
      <w:r w:rsidR="00C23125">
        <w:rPr>
          <w:rFonts w:ascii="Times New Roman" w:eastAsia="仿宋_GB2312"/>
          <w:sz w:val="32"/>
          <w:szCs w:val="32"/>
        </w:rPr>
        <w:t>%</w:t>
      </w:r>
      <w:r w:rsidR="00C23125">
        <w:rPr>
          <w:rFonts w:ascii="Times New Roman" w:eastAsia="仿宋_GB2312"/>
          <w:sz w:val="32"/>
          <w:szCs w:val="32"/>
        </w:rPr>
        <w:t>。项目绩效目标完成情况：</w:t>
      </w:r>
      <w:r w:rsidR="00C23125">
        <w:rPr>
          <w:rFonts w:ascii="Times New Roman" w:eastAsia="仿宋_GB2312" w:hint="eastAsia"/>
          <w:sz w:val="32"/>
          <w:szCs w:val="32"/>
        </w:rPr>
        <w:t>完成统计局信访稳定工作</w:t>
      </w:r>
      <w:r w:rsidR="00C23125">
        <w:rPr>
          <w:rFonts w:ascii="Times New Roman" w:eastAsia="仿宋_GB2312"/>
          <w:sz w:val="32"/>
          <w:szCs w:val="32"/>
        </w:rPr>
        <w:t>。发现的主要问题及原因是：</w:t>
      </w:r>
      <w:r w:rsidR="00C23125">
        <w:rPr>
          <w:rFonts w:ascii="Times New Roman" w:eastAsia="仿宋_GB2312" w:hint="eastAsia"/>
          <w:sz w:val="32"/>
          <w:szCs w:val="32"/>
        </w:rPr>
        <w:t>无。下一步改进措施：无</w:t>
      </w:r>
      <w:r w:rsidR="00C23125">
        <w:rPr>
          <w:rFonts w:ascii="Times New Roman" w:eastAsia="仿宋_GB2312"/>
          <w:sz w:val="32"/>
          <w:szCs w:val="32"/>
        </w:rPr>
        <w:t>。</w:t>
      </w:r>
    </w:p>
    <w:tbl>
      <w:tblPr>
        <w:tblW w:w="9288" w:type="dxa"/>
        <w:jc w:val="center"/>
        <w:tblLook w:val="04A0"/>
      </w:tblPr>
      <w:tblGrid>
        <w:gridCol w:w="916"/>
        <w:gridCol w:w="1194"/>
        <w:gridCol w:w="778"/>
        <w:gridCol w:w="778"/>
        <w:gridCol w:w="1195"/>
        <w:gridCol w:w="561"/>
        <w:gridCol w:w="518"/>
        <w:gridCol w:w="1195"/>
        <w:gridCol w:w="1181"/>
        <w:gridCol w:w="392"/>
        <w:gridCol w:w="580"/>
      </w:tblGrid>
      <w:tr w:rsidR="00B23535">
        <w:trPr>
          <w:jc w:val="center"/>
        </w:trPr>
        <w:tc>
          <w:tcPr>
            <w:tcW w:w="589" w:type="dxa"/>
            <w:gridSpan w:val="11"/>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方正小标宋_GBK" w:eastAsia="方正小标宋_GBK" w:hAnsi="方正小标宋_GBK" w:cs="方正小标宋_GBK"/>
                <w:color w:val="000000"/>
                <w:sz w:val="40"/>
                <w:szCs w:val="40"/>
              </w:rPr>
            </w:pPr>
            <w:r>
              <w:rPr>
                <w:rFonts w:ascii="黑体" w:eastAsia="黑体" w:hAnsi="黑体" w:cs="黑体" w:hint="eastAsia"/>
                <w:color w:val="000000"/>
                <w:sz w:val="40"/>
                <w:szCs w:val="40"/>
              </w:rPr>
              <w:t>2024年预算项目绩效自评表</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填报单位：</w:t>
            </w:r>
          </w:p>
        </w:tc>
        <w:tc>
          <w:tcPr>
            <w:tcW w:w="1219"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792" w:type="dxa"/>
            <w:gridSpan w:val="2"/>
            <w:tcBorders>
              <w:top w:val="nil"/>
              <w:left w:val="nil"/>
              <w:bottom w:val="nil"/>
              <w:right w:val="nil"/>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524"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53"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005"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589" w:type="dxa"/>
            <w:gridSpan w:val="2"/>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金额单位：万元</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一、基本情况</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项目名称</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统计局信访稳定经费</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项目级次</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市本级项目</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实施（主管）单位</w:t>
            </w:r>
          </w:p>
        </w:tc>
        <w:tc>
          <w:tcPr>
            <w:tcW w:w="589"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410001 - 涞源县统计局本级</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二、预算执行情况</w:t>
            </w:r>
          </w:p>
        </w:tc>
        <w:tc>
          <w:tcPr>
            <w:tcW w:w="792"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预算安排情况</w:t>
            </w:r>
            <w:r>
              <w:rPr>
                <w:rFonts w:ascii="宋体" w:eastAsia="宋体" w:hAnsi="宋体" w:hint="eastAsia"/>
                <w:b/>
                <w:bCs/>
                <w:color w:val="000000"/>
                <w:sz w:val="18"/>
                <w:szCs w:val="18"/>
              </w:rPr>
              <w:br/>
              <w:t>（调整后）</w:t>
            </w:r>
          </w:p>
        </w:tc>
        <w:tc>
          <w:tcPr>
            <w:tcW w:w="4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资金到位情况</w:t>
            </w:r>
          </w:p>
        </w:tc>
        <w:tc>
          <w:tcPr>
            <w:tcW w:w="53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资金执行情况</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预算执行进度</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预算数</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到位数</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执行数</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2.000000</w:t>
            </w: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22"/>
                <w:szCs w:val="22"/>
              </w:rPr>
            </w:pPr>
            <w:r>
              <w:rPr>
                <w:rFonts w:ascii="宋体" w:eastAsia="宋体" w:hAnsi="宋体" w:hint="eastAsia"/>
                <w:color w:val="000000"/>
                <w:sz w:val="22"/>
                <w:szCs w:val="22"/>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三、目标完成情况</w:t>
            </w:r>
          </w:p>
        </w:tc>
        <w:tc>
          <w:tcPr>
            <w:tcW w:w="122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年度预期目标</w:t>
            </w:r>
          </w:p>
        </w:tc>
        <w:tc>
          <w:tcPr>
            <w:tcW w:w="5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具体完成情况</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总体完成率</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gridSpan w:val="4"/>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完成第五次全国经济普查工作</w:t>
            </w:r>
          </w:p>
        </w:tc>
        <w:tc>
          <w:tcPr>
            <w:tcW w:w="539" w:type="dxa"/>
            <w:gridSpan w:val="5"/>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已按要求完成本年度普查工作</w:t>
            </w:r>
          </w:p>
        </w:tc>
        <w:tc>
          <w:tcPr>
            <w:tcW w:w="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100</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四、年度绩效指标完成情况</w:t>
            </w: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一级指标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二级指标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三级指标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指标分值</w:t>
            </w:r>
          </w:p>
        </w:tc>
        <w:tc>
          <w:tcPr>
            <w:tcW w:w="12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预期指标值</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实际完成值</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单项指标</w:t>
            </w:r>
            <w:r>
              <w:rPr>
                <w:rFonts w:ascii="宋体" w:eastAsia="宋体" w:hAnsi="宋体" w:hint="eastAsia"/>
                <w:b/>
                <w:bCs/>
                <w:color w:val="000000"/>
                <w:sz w:val="18"/>
                <w:szCs w:val="18"/>
              </w:rPr>
              <w:br/>
              <w:t>完成情况</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自评得分</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符号</w:t>
            </w:r>
          </w:p>
        </w:tc>
        <w:tc>
          <w:tcPr>
            <w:tcW w:w="4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值</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单位</w:t>
            </w:r>
            <w:r>
              <w:rPr>
                <w:rFonts w:ascii="宋体" w:eastAsia="宋体" w:hAnsi="宋体" w:hint="eastAsia"/>
                <w:b/>
                <w:bCs/>
                <w:color w:val="000000"/>
                <w:sz w:val="18"/>
                <w:szCs w:val="18"/>
              </w:rPr>
              <w:br/>
              <w:t>（文字描述）</w:t>
            </w: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产出指标</w:t>
            </w:r>
            <w:r>
              <w:rPr>
                <w:rFonts w:ascii="宋体" w:eastAsia="宋体" w:hAnsi="宋体" w:hint="eastAsia"/>
                <w:b/>
                <w:bCs/>
                <w:color w:val="000000"/>
                <w:sz w:val="18"/>
                <w:szCs w:val="18"/>
              </w:rPr>
              <w:br/>
              <w:t>（50）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数量指标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资金到位率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时效指标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完成时间</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成本指标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成本控制率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效益指标</w:t>
            </w:r>
            <w:r>
              <w:rPr>
                <w:rFonts w:ascii="宋体" w:eastAsia="宋体" w:hAnsi="宋体" w:hint="eastAsia"/>
                <w:b/>
                <w:bCs/>
                <w:color w:val="000000"/>
                <w:sz w:val="18"/>
                <w:szCs w:val="18"/>
              </w:rPr>
              <w:br/>
              <w:t>（30）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经济效益指标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社会影响力</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可持续影响指标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持续提升我局社会影响力</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满意度指标</w:t>
            </w:r>
            <w:r>
              <w:rPr>
                <w:rFonts w:ascii="宋体" w:eastAsia="宋体" w:hAnsi="宋体" w:hint="eastAsia"/>
                <w:b/>
                <w:bCs/>
                <w:color w:val="000000"/>
                <w:sz w:val="18"/>
                <w:szCs w:val="18"/>
              </w:rPr>
              <w:br/>
              <w:t>（10）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满意度指标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95</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百分比</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完成</w:t>
            </w:r>
          </w:p>
        </w:tc>
        <w:tc>
          <w:tcPr>
            <w:tcW w:w="58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89"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预算执行率</w:t>
            </w:r>
            <w:r>
              <w:rPr>
                <w:rFonts w:ascii="宋体" w:eastAsia="宋体" w:hAnsi="宋体" w:hint="eastAsia"/>
                <w:b/>
                <w:bCs/>
                <w:color w:val="000000"/>
                <w:sz w:val="18"/>
                <w:szCs w:val="18"/>
              </w:rPr>
              <w:br/>
              <w:t>（10）</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预算执行率</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3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89"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10</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39"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自评总分</w:t>
            </w:r>
          </w:p>
        </w:tc>
        <w:tc>
          <w:tcPr>
            <w:tcW w:w="58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right"/>
              <w:textAlignment w:val="center"/>
              <w:rPr>
                <w:rFonts w:ascii="宋体" w:eastAsia="宋体" w:hAnsi="宋体"/>
                <w:b/>
                <w:bCs/>
                <w:color w:val="000000"/>
                <w:sz w:val="18"/>
                <w:szCs w:val="18"/>
              </w:rPr>
            </w:pPr>
            <w:r>
              <w:rPr>
                <w:rFonts w:ascii="宋体" w:eastAsia="宋体" w:hAnsi="宋体" w:hint="eastAsia"/>
                <w:b/>
                <w:bCs/>
                <w:color w:val="000000"/>
                <w:sz w:val="18"/>
                <w:szCs w:val="18"/>
              </w:rPr>
              <w:t>100</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五、存在问题、原因及下一步整改措施</w:t>
            </w:r>
          </w:p>
        </w:tc>
        <w:tc>
          <w:tcPr>
            <w:tcW w:w="589" w:type="dxa"/>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无</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填报人：</w:t>
            </w:r>
          </w:p>
        </w:tc>
        <w:tc>
          <w:tcPr>
            <w:tcW w:w="1219"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高俊杰</w:t>
            </w: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24"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联系电话：</w:t>
            </w:r>
          </w:p>
        </w:tc>
        <w:tc>
          <w:tcPr>
            <w:tcW w:w="1005" w:type="dxa"/>
            <w:tcBorders>
              <w:top w:val="nil"/>
              <w:left w:val="nil"/>
              <w:bottom w:val="nil"/>
              <w:right w:val="nil"/>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15232970794</w:t>
            </w:r>
          </w:p>
        </w:tc>
        <w:tc>
          <w:tcPr>
            <w:tcW w:w="53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89"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5623A8">
      <w:pPr>
        <w:widowControl/>
        <w:spacing w:line="360" w:lineRule="auto"/>
        <w:ind w:firstLineChars="200" w:firstLine="640"/>
        <w:jc w:val="left"/>
        <w:rPr>
          <w:rFonts w:ascii="Times New Roman" w:eastAsia="仿宋_GB2312"/>
          <w:sz w:val="32"/>
          <w:szCs w:val="32"/>
        </w:rPr>
      </w:pPr>
      <w:r>
        <w:rPr>
          <w:rFonts w:ascii="Times New Roman" w:eastAsia="仿宋_GB2312" w:hint="eastAsia"/>
          <w:sz w:val="32"/>
          <w:szCs w:val="32"/>
        </w:rPr>
        <w:t>7.</w:t>
      </w:r>
      <w:r w:rsidR="00C23125">
        <w:rPr>
          <w:rFonts w:ascii="Times New Roman" w:eastAsia="仿宋_GB2312" w:hint="eastAsia"/>
          <w:sz w:val="32"/>
          <w:szCs w:val="32"/>
        </w:rPr>
        <w:t>脱贫攻坚普查费用</w:t>
      </w:r>
      <w:r w:rsidR="00C23125">
        <w:rPr>
          <w:rFonts w:ascii="Times New Roman" w:eastAsia="仿宋_GB2312"/>
          <w:sz w:val="32"/>
          <w:szCs w:val="32"/>
        </w:rPr>
        <w:t>项目绩效自评情况：根据年初设定的绩效目标，项目绩效自评得分为</w:t>
      </w:r>
      <w:r w:rsidR="00C23125">
        <w:rPr>
          <w:rFonts w:ascii="Times New Roman" w:eastAsia="仿宋_GB2312" w:hint="eastAsia"/>
          <w:sz w:val="32"/>
          <w:szCs w:val="32"/>
        </w:rPr>
        <w:t>0</w:t>
      </w:r>
      <w:r w:rsidR="00C23125">
        <w:rPr>
          <w:rFonts w:ascii="Times New Roman" w:eastAsia="仿宋_GB2312"/>
          <w:sz w:val="32"/>
          <w:szCs w:val="32"/>
        </w:rPr>
        <w:t>分（绩效自评表附后）。全年预算数为</w:t>
      </w:r>
      <w:r w:rsidR="00C23125">
        <w:rPr>
          <w:rFonts w:ascii="Times New Roman" w:eastAsia="仿宋_GB2312" w:hint="eastAsia"/>
          <w:sz w:val="32"/>
          <w:szCs w:val="32"/>
        </w:rPr>
        <w:t>10</w:t>
      </w:r>
      <w:r w:rsidR="00C23125">
        <w:rPr>
          <w:rFonts w:ascii="Times New Roman" w:eastAsia="仿宋_GB2312"/>
          <w:sz w:val="32"/>
          <w:szCs w:val="32"/>
        </w:rPr>
        <w:t>万元，执行数为</w:t>
      </w:r>
      <w:r w:rsidR="00C23125">
        <w:rPr>
          <w:rFonts w:ascii="Times New Roman" w:eastAsia="仿宋_GB2312" w:hint="eastAsia"/>
          <w:sz w:val="32"/>
          <w:szCs w:val="32"/>
        </w:rPr>
        <w:t>10</w:t>
      </w:r>
      <w:r w:rsidR="00C23125">
        <w:rPr>
          <w:rFonts w:ascii="Times New Roman" w:eastAsia="仿宋_GB2312"/>
          <w:sz w:val="32"/>
          <w:szCs w:val="32"/>
        </w:rPr>
        <w:t>万元，完成预算的</w:t>
      </w:r>
      <w:r w:rsidR="00C23125">
        <w:rPr>
          <w:rFonts w:ascii="Times New Roman" w:eastAsia="仿宋_GB2312" w:hint="eastAsia"/>
          <w:sz w:val="32"/>
          <w:szCs w:val="32"/>
        </w:rPr>
        <w:t>0</w:t>
      </w:r>
      <w:r w:rsidR="00C23125">
        <w:rPr>
          <w:rFonts w:ascii="Times New Roman" w:eastAsia="仿宋_GB2312"/>
          <w:sz w:val="32"/>
          <w:szCs w:val="32"/>
        </w:rPr>
        <w:t>%</w:t>
      </w:r>
      <w:r w:rsidR="00C23125">
        <w:rPr>
          <w:rFonts w:ascii="Times New Roman" w:eastAsia="仿宋_GB2312"/>
          <w:sz w:val="32"/>
          <w:szCs w:val="32"/>
        </w:rPr>
        <w:t>。项目绩效目标完成情况：</w:t>
      </w:r>
      <w:r w:rsidR="00C23125">
        <w:rPr>
          <w:rFonts w:ascii="Times New Roman" w:eastAsia="仿宋_GB2312" w:hint="eastAsia"/>
          <w:sz w:val="32"/>
          <w:szCs w:val="32"/>
        </w:rPr>
        <w:t>未完成脱贫攻坚普查费用工作</w:t>
      </w:r>
      <w:r w:rsidR="00C23125">
        <w:rPr>
          <w:rFonts w:ascii="Times New Roman" w:eastAsia="仿宋_GB2312"/>
          <w:sz w:val="32"/>
          <w:szCs w:val="32"/>
        </w:rPr>
        <w:t>。</w:t>
      </w:r>
      <w:r w:rsidR="00C23125">
        <w:rPr>
          <w:rFonts w:ascii="仿宋" w:eastAsia="仿宋" w:hAnsi="仿宋" w:cs="仿宋"/>
          <w:spacing w:val="1"/>
          <w:sz w:val="31"/>
          <w:szCs w:val="31"/>
        </w:rPr>
        <w:t>发现的主要问题及原因是：资金未拨付到</w:t>
      </w:r>
      <w:r w:rsidR="00C23125">
        <w:rPr>
          <w:rFonts w:ascii="仿宋" w:eastAsia="仿宋" w:hAnsi="仿宋" w:cs="仿宋"/>
          <w:sz w:val="31"/>
          <w:szCs w:val="31"/>
        </w:rPr>
        <w:t>位。</w:t>
      </w:r>
      <w:r w:rsidR="00C23125">
        <w:rPr>
          <w:rFonts w:ascii="仿宋" w:eastAsia="仿宋" w:hAnsi="仿宋" w:cs="仿宋"/>
          <w:spacing w:val="8"/>
          <w:sz w:val="31"/>
          <w:szCs w:val="31"/>
        </w:rPr>
        <w:t>下一步改进措施：加强与财政沟通</w:t>
      </w:r>
      <w:r w:rsidR="00C23125">
        <w:rPr>
          <w:rFonts w:ascii="Times New Roman" w:eastAsia="仿宋_GB2312"/>
          <w:sz w:val="32"/>
          <w:szCs w:val="32"/>
        </w:rPr>
        <w:t>。</w:t>
      </w:r>
    </w:p>
    <w:tbl>
      <w:tblPr>
        <w:tblW w:w="9288" w:type="dxa"/>
        <w:jc w:val="center"/>
        <w:tblLook w:val="04A0"/>
      </w:tblPr>
      <w:tblGrid>
        <w:gridCol w:w="922"/>
        <w:gridCol w:w="1199"/>
        <w:gridCol w:w="781"/>
        <w:gridCol w:w="781"/>
        <w:gridCol w:w="1200"/>
        <w:gridCol w:w="563"/>
        <w:gridCol w:w="520"/>
        <w:gridCol w:w="1200"/>
        <w:gridCol w:w="1186"/>
        <w:gridCol w:w="393"/>
        <w:gridCol w:w="543"/>
      </w:tblGrid>
      <w:tr w:rsidR="00B23535">
        <w:trPr>
          <w:jc w:val="center"/>
        </w:trPr>
        <w:tc>
          <w:tcPr>
            <w:tcW w:w="550" w:type="dxa"/>
            <w:gridSpan w:val="11"/>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方正小标宋_GBK" w:eastAsia="方正小标宋_GBK" w:hAnsi="方正小标宋_GBK" w:cs="方正小标宋_GBK"/>
                <w:color w:val="000000"/>
                <w:sz w:val="40"/>
                <w:szCs w:val="40"/>
              </w:rPr>
            </w:pPr>
            <w:r>
              <w:rPr>
                <w:rFonts w:ascii="黑体" w:eastAsia="黑体" w:hAnsi="黑体" w:cs="黑体" w:hint="eastAsia"/>
                <w:color w:val="000000"/>
                <w:sz w:val="40"/>
                <w:szCs w:val="40"/>
              </w:rPr>
              <w:t>2024年预算项目绩效自评表</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填报单位：</w:t>
            </w:r>
          </w:p>
        </w:tc>
        <w:tc>
          <w:tcPr>
            <w:tcW w:w="1219"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792" w:type="dxa"/>
            <w:gridSpan w:val="2"/>
            <w:tcBorders>
              <w:top w:val="nil"/>
              <w:left w:val="nil"/>
              <w:bottom w:val="nil"/>
              <w:right w:val="nil"/>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524"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453"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220" w:type="dxa"/>
            <w:tcBorders>
              <w:top w:val="nil"/>
              <w:left w:val="nil"/>
              <w:bottom w:val="nil"/>
              <w:right w:val="nil"/>
            </w:tcBorders>
            <w:shd w:val="clear" w:color="auto" w:fill="auto"/>
            <w:vAlign w:val="center"/>
          </w:tcPr>
          <w:p w:rsidR="00B23535" w:rsidRDefault="00B23535">
            <w:pPr>
              <w:keepNext/>
              <w:snapToGrid w:val="0"/>
              <w:rPr>
                <w:rFonts w:ascii="宋体" w:eastAsia="宋体" w:hAnsi="宋体"/>
                <w:b/>
                <w:bCs/>
                <w:color w:val="000000"/>
                <w:sz w:val="18"/>
                <w:szCs w:val="18"/>
              </w:rPr>
            </w:pPr>
          </w:p>
        </w:tc>
        <w:tc>
          <w:tcPr>
            <w:tcW w:w="1005" w:type="dxa"/>
            <w:tcBorders>
              <w:top w:val="nil"/>
              <w:left w:val="nil"/>
              <w:bottom w:val="nil"/>
              <w:right w:val="nil"/>
            </w:tcBorders>
            <w:shd w:val="clear" w:color="auto" w:fill="auto"/>
            <w:noWrap/>
          </w:tcPr>
          <w:p w:rsidR="00B23535" w:rsidRDefault="00B23535">
            <w:pPr>
              <w:keepNext/>
              <w:snapToGrid w:val="0"/>
              <w:rPr>
                <w:rFonts w:ascii="宋体" w:eastAsia="宋体" w:hAnsi="宋体"/>
                <w:b/>
                <w:bCs/>
                <w:color w:val="000000"/>
                <w:sz w:val="18"/>
                <w:szCs w:val="18"/>
              </w:rPr>
            </w:pPr>
          </w:p>
        </w:tc>
        <w:tc>
          <w:tcPr>
            <w:tcW w:w="550" w:type="dxa"/>
            <w:gridSpan w:val="2"/>
            <w:tcBorders>
              <w:top w:val="nil"/>
              <w:left w:val="nil"/>
              <w:bottom w:val="nil"/>
              <w:right w:val="nil"/>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金额单位：万元</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一、基本情况</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项目名称</w:t>
            </w:r>
          </w:p>
        </w:tc>
        <w:tc>
          <w:tcPr>
            <w:tcW w:w="792" w:type="dxa"/>
            <w:gridSpan w:val="2"/>
            <w:tcBorders>
              <w:top w:val="single" w:sz="4" w:space="0" w:color="000000"/>
              <w:left w:val="single" w:sz="4" w:space="0" w:color="000000"/>
              <w:bottom w:val="single" w:sz="4" w:space="0" w:color="000000"/>
              <w:right w:val="nil"/>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脱贫攻坚普查费用</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项目级次</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市本级项目</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实施（主管）单位</w:t>
            </w:r>
          </w:p>
        </w:tc>
        <w:tc>
          <w:tcPr>
            <w:tcW w:w="550"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410001 - 涞源县统计局本级</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二、预算执行情况</w:t>
            </w:r>
          </w:p>
        </w:tc>
        <w:tc>
          <w:tcPr>
            <w:tcW w:w="792" w:type="dxa"/>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预算安排情况</w:t>
            </w:r>
            <w:r>
              <w:rPr>
                <w:rFonts w:ascii="宋体" w:eastAsia="宋体" w:hAnsi="宋体" w:hint="eastAsia"/>
                <w:b/>
                <w:bCs/>
                <w:color w:val="000000"/>
                <w:sz w:val="18"/>
                <w:szCs w:val="18"/>
              </w:rPr>
              <w:br/>
              <w:t>（调整后）</w:t>
            </w:r>
          </w:p>
        </w:tc>
        <w:tc>
          <w:tcPr>
            <w:tcW w:w="4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资金到位情况</w:t>
            </w:r>
          </w:p>
        </w:tc>
        <w:tc>
          <w:tcPr>
            <w:tcW w:w="5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资金执行情况</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预算执行进度</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预算数</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10.000000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到位数</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执行数</w:t>
            </w:r>
          </w:p>
        </w:tc>
        <w:tc>
          <w:tcPr>
            <w:tcW w:w="578"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0.000000</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10.000000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0.000000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其中：财政资金</w:t>
            </w:r>
          </w:p>
        </w:tc>
        <w:tc>
          <w:tcPr>
            <w:tcW w:w="578" w:type="dxa"/>
            <w:gridSpan w:val="2"/>
            <w:tcBorders>
              <w:top w:val="single" w:sz="4" w:space="0" w:color="000000"/>
              <w:left w:val="single" w:sz="4" w:space="0" w:color="000000"/>
              <w:bottom w:val="single" w:sz="4" w:space="0" w:color="000000"/>
              <w:right w:val="single" w:sz="4" w:space="0" w:color="000000"/>
            </w:tcBorders>
            <w:shd w:val="clear" w:color="auto" w:fill="auto"/>
            <w:noWrap/>
          </w:tcPr>
          <w:p w:rsidR="00B23535" w:rsidRDefault="00C23125">
            <w:pPr>
              <w:keepNext/>
              <w:widowControl/>
              <w:snapToGrid w:val="0"/>
              <w:jc w:val="right"/>
              <w:textAlignment w:val="top"/>
              <w:rPr>
                <w:rFonts w:ascii="宋体" w:eastAsia="宋体" w:hAnsi="宋体"/>
                <w:color w:val="000000"/>
                <w:sz w:val="22"/>
                <w:szCs w:val="22"/>
              </w:rPr>
            </w:pPr>
            <w:r>
              <w:rPr>
                <w:rFonts w:ascii="宋体" w:eastAsia="宋体" w:hAnsi="宋体" w:hint="eastAsia"/>
                <w:color w:val="000000"/>
                <w:sz w:val="22"/>
                <w:szCs w:val="22"/>
              </w:rPr>
              <w:t>0.000000</w:t>
            </w: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22"/>
                <w:szCs w:val="22"/>
              </w:rPr>
            </w:pPr>
            <w:r>
              <w:rPr>
                <w:rFonts w:ascii="宋体" w:eastAsia="宋体" w:hAnsi="宋体" w:hint="eastAsia"/>
                <w:color w:val="000000"/>
                <w:sz w:val="22"/>
                <w:szCs w:val="22"/>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4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c>
          <w:tcPr>
            <w:tcW w:w="12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其他</w:t>
            </w:r>
          </w:p>
        </w:tc>
        <w:tc>
          <w:tcPr>
            <w:tcW w:w="578" w:type="dxa"/>
            <w:gridSpan w:val="2"/>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三、目标完成情况</w:t>
            </w:r>
          </w:p>
        </w:tc>
        <w:tc>
          <w:tcPr>
            <w:tcW w:w="1220"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年度预期目标</w:t>
            </w:r>
          </w:p>
        </w:tc>
        <w:tc>
          <w:tcPr>
            <w:tcW w:w="5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具体完成情况</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总体完成率</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gridSpan w:val="4"/>
            <w:tcBorders>
              <w:top w:val="single" w:sz="4" w:space="0" w:color="000000"/>
              <w:left w:val="single" w:sz="4" w:space="0" w:color="000000"/>
              <w:bottom w:val="nil"/>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偿还脱贫攻坚普查欠款</w:t>
            </w:r>
          </w:p>
        </w:tc>
        <w:tc>
          <w:tcPr>
            <w:tcW w:w="578" w:type="dxa"/>
            <w:gridSpan w:val="5"/>
            <w:tcBorders>
              <w:top w:val="single" w:sz="4" w:space="0" w:color="B0C4DE"/>
              <w:left w:val="single" w:sz="4" w:space="0" w:color="B0C4DE"/>
              <w:bottom w:val="single" w:sz="4" w:space="0" w:color="B0C4DE"/>
              <w:right w:val="single" w:sz="4" w:space="0" w:color="B0C4DE"/>
            </w:tcBorders>
            <w:shd w:val="clear" w:color="auto" w:fill="auto"/>
            <w:noWrap/>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0</w:t>
            </w:r>
          </w:p>
        </w:tc>
      </w:tr>
      <w:tr w:rsidR="00B23535">
        <w:trPr>
          <w:jc w:val="center"/>
        </w:trPr>
        <w:tc>
          <w:tcPr>
            <w:tcW w:w="9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四、年度绩效指标完成情况</w:t>
            </w: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一级指标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二级指标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三级指标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指标分值</w:t>
            </w:r>
          </w:p>
        </w:tc>
        <w:tc>
          <w:tcPr>
            <w:tcW w:w="12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预期指标值</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实际完成值</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单项指标</w:t>
            </w:r>
            <w:r>
              <w:rPr>
                <w:rFonts w:ascii="宋体" w:eastAsia="宋体" w:hAnsi="宋体" w:hint="eastAsia"/>
                <w:b/>
                <w:bCs/>
                <w:color w:val="000000"/>
                <w:sz w:val="18"/>
                <w:szCs w:val="18"/>
              </w:rPr>
              <w:br/>
              <w:t>完成情况</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自评得分</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符号</w:t>
            </w:r>
          </w:p>
        </w:tc>
        <w:tc>
          <w:tcPr>
            <w:tcW w:w="4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值</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单位</w:t>
            </w:r>
            <w:r>
              <w:rPr>
                <w:rFonts w:ascii="宋体" w:eastAsia="宋体" w:hAnsi="宋体" w:hint="eastAsia"/>
                <w:b/>
                <w:bCs/>
                <w:color w:val="000000"/>
                <w:sz w:val="18"/>
                <w:szCs w:val="18"/>
              </w:rPr>
              <w:br/>
              <w:t>（文字描述）</w:t>
            </w: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B23535">
            <w:pPr>
              <w:keepNext/>
              <w:snapToGrid w:val="0"/>
              <w:jc w:val="center"/>
              <w:rPr>
                <w:rFonts w:ascii="宋体" w:eastAsia="宋体" w:hAnsi="宋体"/>
                <w:b/>
                <w:bCs/>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产出指标</w:t>
            </w:r>
            <w:r>
              <w:rPr>
                <w:rFonts w:ascii="宋体" w:eastAsia="宋体" w:hAnsi="宋体" w:hint="eastAsia"/>
                <w:b/>
                <w:bCs/>
                <w:color w:val="000000"/>
                <w:sz w:val="18"/>
                <w:szCs w:val="18"/>
              </w:rPr>
              <w:br/>
              <w:t>（50）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数量指标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数量指标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支持普查对象人数</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质量指标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15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支持普查对象人数</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时效指标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及时性</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资金发放准时率</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成本指标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预算执行率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资金成本</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效益指标</w:t>
            </w:r>
            <w:r>
              <w:rPr>
                <w:rFonts w:ascii="宋体" w:eastAsia="宋体" w:hAnsi="宋体" w:hint="eastAsia"/>
                <w:b/>
                <w:bCs/>
                <w:color w:val="000000"/>
                <w:sz w:val="18"/>
                <w:szCs w:val="18"/>
              </w:rPr>
              <w:br/>
              <w:t>（30）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经济效益指标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经济效益指标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产生经济效益数量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社会效益指标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社会影响度</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产生经济效益数量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生态效益指标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生态效益指标</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产生经济效益数量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可持续影响指标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可持续性</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5</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产生可持续影响数量</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满意度指标</w:t>
            </w:r>
            <w:r>
              <w:rPr>
                <w:rFonts w:ascii="宋体" w:eastAsia="宋体" w:hAnsi="宋体" w:hint="eastAsia"/>
                <w:b/>
                <w:bCs/>
                <w:color w:val="000000"/>
                <w:sz w:val="18"/>
                <w:szCs w:val="18"/>
              </w:rPr>
              <w:br/>
              <w:t>（10）</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满意度指标</w:t>
            </w:r>
          </w:p>
        </w:tc>
        <w:tc>
          <w:tcPr>
            <w:tcW w:w="79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服务对象满意度</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w:t>
            </w:r>
          </w:p>
        </w:tc>
        <w:tc>
          <w:tcPr>
            <w:tcW w:w="4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90</w:t>
            </w:r>
          </w:p>
        </w:tc>
        <w:tc>
          <w:tcPr>
            <w:tcW w:w="12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满意程度</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未完成</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trHeight w:val="312"/>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b/>
                <w:bCs/>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792"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24"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22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5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50" w:type="dxa"/>
            <w:vMerge/>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预算执行率</w:t>
            </w:r>
            <w:r>
              <w:rPr>
                <w:rFonts w:ascii="宋体" w:eastAsia="宋体" w:hAnsi="宋体" w:hint="eastAsia"/>
                <w:b/>
                <w:bCs/>
                <w:color w:val="000000"/>
                <w:sz w:val="18"/>
                <w:szCs w:val="18"/>
              </w:rPr>
              <w:br/>
              <w:t>（10）</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预算执行率</w:t>
            </w:r>
          </w:p>
        </w:tc>
        <w:tc>
          <w:tcPr>
            <w:tcW w:w="792"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center"/>
              <w:textAlignment w:val="top"/>
              <w:rPr>
                <w:rFonts w:ascii="宋体" w:eastAsia="宋体" w:hAnsi="宋体"/>
                <w:color w:val="000000"/>
                <w:sz w:val="18"/>
                <w:szCs w:val="18"/>
              </w:rPr>
            </w:pPr>
            <w:r>
              <w:rPr>
                <w:rFonts w:ascii="宋体" w:eastAsia="宋体" w:hAnsi="宋体" w:hint="eastAsia"/>
                <w:color w:val="000000"/>
                <w:sz w:val="18"/>
                <w:szCs w:val="18"/>
              </w:rPr>
              <w:t>10</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jc w:val="center"/>
              <w:rPr>
                <w:rFonts w:ascii="宋体" w:eastAsia="宋体" w:hAnsi="宋体"/>
                <w:color w:val="000000"/>
                <w:sz w:val="18"/>
                <w:szCs w:val="18"/>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B23535">
            <w:pPr>
              <w:keepNext/>
              <w:snapToGrid w:val="0"/>
              <w:rPr>
                <w:rFonts w:ascii="宋体" w:eastAsia="宋体" w:hAnsi="宋体"/>
                <w:color w:val="000000"/>
                <w:sz w:val="18"/>
                <w:szCs w:val="18"/>
              </w:rPr>
            </w:pP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0</w:t>
            </w:r>
          </w:p>
        </w:tc>
      </w:tr>
      <w:tr w:rsidR="00B23535">
        <w:trPr>
          <w:jc w:val="center"/>
        </w:trPr>
        <w:tc>
          <w:tcPr>
            <w:tcW w:w="9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B23535">
            <w:pPr>
              <w:keepNext/>
              <w:snapToGrid w:val="0"/>
              <w:jc w:val="center"/>
              <w:rPr>
                <w:rFonts w:ascii="宋体" w:eastAsia="宋体" w:hAnsi="宋体"/>
                <w:color w:val="000000"/>
                <w:sz w:val="18"/>
                <w:szCs w:val="18"/>
              </w:rPr>
            </w:pPr>
          </w:p>
        </w:tc>
        <w:tc>
          <w:tcPr>
            <w:tcW w:w="578"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b/>
                <w:bCs/>
                <w:color w:val="000000"/>
                <w:sz w:val="18"/>
                <w:szCs w:val="18"/>
              </w:rPr>
            </w:pPr>
            <w:r>
              <w:rPr>
                <w:rFonts w:ascii="宋体" w:eastAsia="宋体" w:hAnsi="宋体" w:hint="eastAsia"/>
                <w:b/>
                <w:bCs/>
                <w:color w:val="000000"/>
                <w:sz w:val="18"/>
                <w:szCs w:val="18"/>
              </w:rPr>
              <w:t>自评总分</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right"/>
              <w:textAlignment w:val="center"/>
              <w:rPr>
                <w:rFonts w:ascii="宋体" w:eastAsia="宋体" w:hAnsi="宋体"/>
                <w:b/>
                <w:bCs/>
                <w:color w:val="000000"/>
                <w:sz w:val="18"/>
                <w:szCs w:val="18"/>
              </w:rPr>
            </w:pPr>
            <w:r>
              <w:rPr>
                <w:rFonts w:ascii="宋体" w:eastAsia="宋体" w:hAnsi="宋体" w:hint="eastAsia"/>
                <w:b/>
                <w:bCs/>
                <w:color w:val="000000"/>
                <w:sz w:val="18"/>
                <w:szCs w:val="18"/>
              </w:rPr>
              <w:t>0</w:t>
            </w:r>
          </w:p>
        </w:tc>
      </w:tr>
      <w:tr w:rsidR="00B23535">
        <w:trPr>
          <w:jc w:val="center"/>
        </w:trPr>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五、存在问题、原因及下一步整改措施</w:t>
            </w:r>
          </w:p>
        </w:tc>
        <w:tc>
          <w:tcPr>
            <w:tcW w:w="550" w:type="dxa"/>
            <w:gridSpan w:val="10"/>
            <w:tcBorders>
              <w:top w:val="single" w:sz="4" w:space="0" w:color="000000"/>
              <w:left w:val="single" w:sz="4" w:space="0" w:color="000000"/>
              <w:bottom w:val="single" w:sz="4" w:space="0" w:color="000000"/>
              <w:right w:val="single" w:sz="4" w:space="0" w:color="000000"/>
            </w:tcBorders>
            <w:shd w:val="clear" w:color="auto" w:fill="auto"/>
            <w:noWrap/>
            <w:vAlign w:val="center"/>
          </w:tcPr>
          <w:p w:rsidR="00B23535" w:rsidRDefault="00C23125">
            <w:pPr>
              <w:keepNext/>
              <w:widowControl/>
              <w:snapToGrid w:val="0"/>
              <w:jc w:val="center"/>
              <w:textAlignment w:val="center"/>
              <w:rPr>
                <w:rFonts w:ascii="宋体" w:eastAsia="宋体" w:hAnsi="宋体"/>
                <w:color w:val="000000"/>
                <w:sz w:val="18"/>
                <w:szCs w:val="18"/>
              </w:rPr>
            </w:pPr>
            <w:r>
              <w:rPr>
                <w:rFonts w:ascii="宋体" w:eastAsia="宋体" w:hAnsi="宋体" w:hint="eastAsia"/>
                <w:color w:val="000000"/>
                <w:sz w:val="18"/>
                <w:szCs w:val="18"/>
              </w:rPr>
              <w:t>资金拨付未完成，结转2025年完成</w:t>
            </w:r>
          </w:p>
        </w:tc>
      </w:tr>
      <w:tr w:rsidR="00B23535">
        <w:trPr>
          <w:jc w:val="center"/>
        </w:trPr>
        <w:tc>
          <w:tcPr>
            <w:tcW w:w="935"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填报人：</w:t>
            </w:r>
          </w:p>
        </w:tc>
        <w:tc>
          <w:tcPr>
            <w:tcW w:w="1219" w:type="dxa"/>
            <w:tcBorders>
              <w:top w:val="nil"/>
              <w:left w:val="nil"/>
              <w:bottom w:val="nil"/>
              <w:right w:val="nil"/>
            </w:tcBorders>
            <w:shd w:val="clear" w:color="auto" w:fill="auto"/>
            <w:noWrap/>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高俊杰</w:t>
            </w: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792"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24"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453"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1220" w:type="dxa"/>
            <w:tcBorders>
              <w:top w:val="nil"/>
              <w:left w:val="nil"/>
              <w:bottom w:val="nil"/>
              <w:right w:val="nil"/>
            </w:tcBorders>
            <w:shd w:val="clear" w:color="auto" w:fill="auto"/>
            <w:vAlign w:val="center"/>
          </w:tcPr>
          <w:p w:rsidR="00B23535" w:rsidRDefault="00C23125">
            <w:pPr>
              <w:keepNext/>
              <w:widowControl/>
              <w:snapToGrid w:val="0"/>
              <w:jc w:val="left"/>
              <w:textAlignment w:val="center"/>
              <w:rPr>
                <w:rFonts w:ascii="宋体" w:eastAsia="宋体" w:hAnsi="宋体"/>
                <w:color w:val="000000"/>
                <w:sz w:val="18"/>
                <w:szCs w:val="18"/>
              </w:rPr>
            </w:pPr>
            <w:r>
              <w:rPr>
                <w:rFonts w:ascii="宋体" w:eastAsia="宋体" w:hAnsi="宋体" w:hint="eastAsia"/>
                <w:color w:val="000000"/>
                <w:sz w:val="18"/>
                <w:szCs w:val="18"/>
              </w:rPr>
              <w:t>联系电话：</w:t>
            </w:r>
          </w:p>
        </w:tc>
        <w:tc>
          <w:tcPr>
            <w:tcW w:w="1005" w:type="dxa"/>
            <w:tcBorders>
              <w:top w:val="nil"/>
              <w:left w:val="nil"/>
              <w:bottom w:val="nil"/>
              <w:right w:val="nil"/>
            </w:tcBorders>
            <w:shd w:val="clear" w:color="auto" w:fill="auto"/>
          </w:tcPr>
          <w:p w:rsidR="00B23535" w:rsidRDefault="00C23125">
            <w:pPr>
              <w:keepNext/>
              <w:widowControl/>
              <w:snapToGrid w:val="0"/>
              <w:jc w:val="left"/>
              <w:textAlignment w:val="top"/>
              <w:rPr>
                <w:rFonts w:ascii="宋体" w:eastAsia="宋体" w:hAnsi="宋体"/>
                <w:color w:val="000000"/>
                <w:sz w:val="18"/>
                <w:szCs w:val="18"/>
              </w:rPr>
            </w:pPr>
            <w:r>
              <w:rPr>
                <w:rFonts w:ascii="宋体" w:eastAsia="宋体" w:hAnsi="宋体" w:hint="eastAsia"/>
                <w:color w:val="000000"/>
                <w:sz w:val="18"/>
                <w:szCs w:val="18"/>
              </w:rPr>
              <w:t>15232970794</w:t>
            </w:r>
          </w:p>
        </w:tc>
        <w:tc>
          <w:tcPr>
            <w:tcW w:w="578"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c>
          <w:tcPr>
            <w:tcW w:w="550" w:type="dxa"/>
            <w:tcBorders>
              <w:top w:val="nil"/>
              <w:left w:val="nil"/>
              <w:bottom w:val="nil"/>
              <w:right w:val="nil"/>
            </w:tcBorders>
            <w:shd w:val="clear" w:color="auto" w:fill="auto"/>
          </w:tcPr>
          <w:p w:rsidR="00B23535" w:rsidRDefault="00B23535">
            <w:pPr>
              <w:keepNext/>
              <w:snapToGrid w:val="0"/>
              <w:rPr>
                <w:rFonts w:ascii="宋体" w:eastAsia="宋体" w:hAnsi="宋体"/>
                <w:color w:val="000000"/>
                <w:sz w:val="18"/>
                <w:szCs w:val="18"/>
              </w:rPr>
            </w:pPr>
          </w:p>
        </w:tc>
      </w:tr>
    </w:tbl>
    <w:p w:rsidR="00B23535" w:rsidRDefault="00B23535">
      <w:pPr>
        <w:widowControl/>
        <w:spacing w:line="360" w:lineRule="auto"/>
        <w:ind w:firstLineChars="200" w:firstLine="640"/>
        <w:jc w:val="left"/>
        <w:rPr>
          <w:rFonts w:ascii="Times New Roman" w:eastAsia="仿宋_GB2312"/>
          <w:sz w:val="32"/>
          <w:szCs w:val="32"/>
        </w:rPr>
      </w:pP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（三）部门评价项目绩效评价结果</w:t>
      </w:r>
    </w:p>
    <w:p w:rsidR="008253F5" w:rsidRPr="008253F5" w:rsidRDefault="008253F5" w:rsidP="008253F5">
      <w:pPr>
        <w:adjustRightInd w:val="0"/>
        <w:snapToGrid w:val="0"/>
        <w:spacing w:line="580" w:lineRule="exact"/>
        <w:ind w:firstLineChars="200" w:firstLine="640"/>
        <w:rPr>
          <w:rFonts w:ascii="Times New Roman" w:eastAsia="仿宋_GB2312"/>
          <w:sz w:val="32"/>
          <w:szCs w:val="32"/>
        </w:rPr>
      </w:pPr>
      <w:r w:rsidRPr="008253F5">
        <w:rPr>
          <w:rFonts w:ascii="Times New Roman" w:eastAsia="仿宋_GB2312" w:hint="eastAsia"/>
          <w:sz w:val="32"/>
          <w:szCs w:val="32"/>
        </w:rPr>
        <w:t>2024</w:t>
      </w:r>
      <w:r w:rsidRPr="008253F5">
        <w:rPr>
          <w:rFonts w:ascii="Times New Roman" w:eastAsia="仿宋_GB2312" w:hint="eastAsia"/>
          <w:sz w:val="32"/>
          <w:szCs w:val="32"/>
        </w:rPr>
        <w:t>年度部门整体预算支出绩效财政重点评价情况如下：</w:t>
      </w:r>
    </w:p>
    <w:p w:rsidR="00B23535" w:rsidRDefault="00C23125" w:rsidP="008253F5">
      <w:pPr>
        <w:widowControl/>
        <w:spacing w:line="580" w:lineRule="exact"/>
        <w:ind w:firstLineChars="200" w:firstLine="640"/>
        <w:rPr>
          <w:rFonts w:ascii="Times New Roman" w:eastAsia="仿宋_GB2312"/>
          <w:sz w:val="32"/>
          <w:szCs w:val="32"/>
        </w:rPr>
      </w:pPr>
      <w:r>
        <w:rPr>
          <w:rFonts w:ascii="Times New Roman" w:eastAsia="仿宋_GB2312" w:hint="eastAsia"/>
          <w:sz w:val="32"/>
          <w:szCs w:val="32"/>
        </w:rPr>
        <w:t>按照评价标准和等级确认办法，该项目绩效评价得分</w:t>
      </w:r>
      <w:r>
        <w:rPr>
          <w:rFonts w:ascii="Times New Roman" w:eastAsia="仿宋_GB2312" w:hint="eastAsia"/>
          <w:sz w:val="32"/>
          <w:szCs w:val="32"/>
        </w:rPr>
        <w:t>80</w:t>
      </w:r>
      <w:r>
        <w:rPr>
          <w:rFonts w:ascii="Times New Roman" w:eastAsia="仿宋_GB2312" w:hint="eastAsia"/>
          <w:sz w:val="32"/>
          <w:szCs w:val="32"/>
        </w:rPr>
        <w:t>分，评价等级为“良”。具体评分情况如下：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6"/>
        <w:gridCol w:w="2237"/>
        <w:gridCol w:w="2237"/>
        <w:gridCol w:w="2237"/>
      </w:tblGrid>
      <w:tr w:rsidR="00B23535">
        <w:trPr>
          <w:trHeight w:val="353"/>
        </w:trPr>
        <w:tc>
          <w:tcPr>
            <w:tcW w:w="2236" w:type="dxa"/>
            <w:noWrap/>
            <w:vAlign w:val="center"/>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一级指标</w:t>
            </w:r>
          </w:p>
        </w:tc>
        <w:tc>
          <w:tcPr>
            <w:tcW w:w="2237" w:type="dxa"/>
            <w:noWrap/>
            <w:vAlign w:val="center"/>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标准分值</w:t>
            </w:r>
          </w:p>
        </w:tc>
        <w:tc>
          <w:tcPr>
            <w:tcW w:w="2237" w:type="dxa"/>
            <w:noWrap/>
            <w:vAlign w:val="center"/>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评价得分</w:t>
            </w:r>
          </w:p>
        </w:tc>
        <w:tc>
          <w:tcPr>
            <w:tcW w:w="2237" w:type="dxa"/>
            <w:noWrap/>
            <w:vAlign w:val="center"/>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得分率</w:t>
            </w:r>
          </w:p>
        </w:tc>
      </w:tr>
      <w:tr w:rsidR="00B23535">
        <w:tc>
          <w:tcPr>
            <w:tcW w:w="2236" w:type="dxa"/>
            <w:noWrap/>
          </w:tcPr>
          <w:p w:rsidR="00B23535" w:rsidRDefault="00C23125">
            <w:pPr>
              <w:spacing w:line="360" w:lineRule="exact"/>
              <w:ind w:firstLineChars="100" w:firstLine="240"/>
              <w:rPr>
                <w:rFonts w:ascii="仿宋" w:eastAsia="仿宋" w:hAnsi="仿宋" w:cs="仿宋"/>
                <w:szCs w:val="21"/>
              </w:rPr>
            </w:pPr>
            <w:r>
              <w:rPr>
                <w:rFonts w:ascii="仿宋" w:eastAsia="仿宋" w:hAnsi="仿宋" w:cs="仿宋" w:hint="eastAsia"/>
                <w:szCs w:val="21"/>
              </w:rPr>
              <w:t>决策</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14</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10</w:t>
            </w:r>
          </w:p>
        </w:tc>
        <w:tc>
          <w:tcPr>
            <w:tcW w:w="2237" w:type="dxa"/>
            <w:noWrap/>
            <w:vAlign w:val="center"/>
          </w:tcPr>
          <w:p w:rsidR="00B23535" w:rsidRDefault="00C23125">
            <w:pPr>
              <w:widowControl/>
              <w:spacing w:line="360" w:lineRule="exact"/>
              <w:ind w:firstLineChars="100" w:firstLine="240"/>
              <w:jc w:val="center"/>
              <w:textAlignment w:val="top"/>
              <w:rPr>
                <w:rFonts w:ascii="仿宋" w:eastAsia="仿宋" w:hAnsi="仿宋" w:cs="仿宋"/>
                <w:szCs w:val="21"/>
              </w:rPr>
            </w:pPr>
            <w:r>
              <w:rPr>
                <w:rFonts w:ascii="仿宋" w:eastAsia="仿宋" w:hAnsi="仿宋" w:cs="仿宋" w:hint="eastAsia"/>
                <w:color w:val="000000"/>
                <w:szCs w:val="21"/>
              </w:rPr>
              <w:t>57.14%</w:t>
            </w:r>
          </w:p>
        </w:tc>
      </w:tr>
      <w:tr w:rsidR="00B23535">
        <w:tc>
          <w:tcPr>
            <w:tcW w:w="2236" w:type="dxa"/>
            <w:noWrap/>
          </w:tcPr>
          <w:p w:rsidR="00B23535" w:rsidRDefault="00C23125">
            <w:pPr>
              <w:spacing w:line="360" w:lineRule="exact"/>
              <w:ind w:firstLineChars="100" w:firstLine="240"/>
              <w:rPr>
                <w:rFonts w:ascii="仿宋" w:eastAsia="仿宋" w:hAnsi="仿宋" w:cs="仿宋"/>
                <w:szCs w:val="21"/>
              </w:rPr>
            </w:pPr>
            <w:r>
              <w:rPr>
                <w:rFonts w:ascii="仿宋" w:eastAsia="仿宋" w:hAnsi="仿宋" w:cs="仿宋" w:hint="eastAsia"/>
                <w:szCs w:val="21"/>
              </w:rPr>
              <w:t>过程</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26</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18.5</w:t>
            </w:r>
          </w:p>
        </w:tc>
        <w:tc>
          <w:tcPr>
            <w:tcW w:w="2237" w:type="dxa"/>
            <w:noWrap/>
            <w:vAlign w:val="center"/>
          </w:tcPr>
          <w:p w:rsidR="00B23535" w:rsidRDefault="00C23125">
            <w:pPr>
              <w:widowControl/>
              <w:spacing w:line="360" w:lineRule="exact"/>
              <w:ind w:firstLineChars="100" w:firstLine="240"/>
              <w:jc w:val="center"/>
              <w:textAlignment w:val="top"/>
              <w:rPr>
                <w:rFonts w:ascii="仿宋" w:eastAsia="仿宋" w:hAnsi="仿宋" w:cs="仿宋"/>
                <w:szCs w:val="21"/>
              </w:rPr>
            </w:pPr>
            <w:r>
              <w:rPr>
                <w:rFonts w:ascii="仿宋" w:eastAsia="仿宋" w:hAnsi="仿宋" w:cs="仿宋" w:hint="eastAsia"/>
                <w:color w:val="000000"/>
                <w:szCs w:val="21"/>
              </w:rPr>
              <w:t>50.00%</w:t>
            </w:r>
          </w:p>
        </w:tc>
      </w:tr>
      <w:tr w:rsidR="00B23535">
        <w:tc>
          <w:tcPr>
            <w:tcW w:w="2236" w:type="dxa"/>
            <w:noWrap/>
          </w:tcPr>
          <w:p w:rsidR="00B23535" w:rsidRDefault="00C23125">
            <w:pPr>
              <w:spacing w:line="360" w:lineRule="exact"/>
              <w:ind w:firstLineChars="100" w:firstLine="240"/>
              <w:rPr>
                <w:rFonts w:ascii="仿宋" w:eastAsia="仿宋" w:hAnsi="仿宋" w:cs="仿宋"/>
                <w:szCs w:val="21"/>
              </w:rPr>
            </w:pPr>
            <w:r>
              <w:rPr>
                <w:rFonts w:ascii="仿宋" w:eastAsia="仿宋" w:hAnsi="仿宋" w:cs="仿宋" w:hint="eastAsia"/>
                <w:szCs w:val="21"/>
              </w:rPr>
              <w:t>产出</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40</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32</w:t>
            </w:r>
          </w:p>
        </w:tc>
        <w:tc>
          <w:tcPr>
            <w:tcW w:w="2237" w:type="dxa"/>
            <w:noWrap/>
            <w:vAlign w:val="center"/>
          </w:tcPr>
          <w:p w:rsidR="00B23535" w:rsidRDefault="00C23125">
            <w:pPr>
              <w:widowControl/>
              <w:spacing w:line="360" w:lineRule="exact"/>
              <w:ind w:firstLineChars="100" w:firstLine="240"/>
              <w:jc w:val="center"/>
              <w:textAlignment w:val="top"/>
              <w:rPr>
                <w:rFonts w:ascii="仿宋" w:eastAsia="仿宋" w:hAnsi="仿宋" w:cs="仿宋"/>
                <w:szCs w:val="21"/>
              </w:rPr>
            </w:pPr>
            <w:r>
              <w:rPr>
                <w:rFonts w:ascii="仿宋" w:eastAsia="仿宋" w:hAnsi="仿宋" w:cs="仿宋" w:hint="eastAsia"/>
                <w:color w:val="000000"/>
                <w:szCs w:val="21"/>
              </w:rPr>
              <w:t>73.75%</w:t>
            </w:r>
          </w:p>
        </w:tc>
      </w:tr>
      <w:tr w:rsidR="00B23535">
        <w:tc>
          <w:tcPr>
            <w:tcW w:w="2236" w:type="dxa"/>
            <w:noWrap/>
          </w:tcPr>
          <w:p w:rsidR="00B23535" w:rsidRDefault="00C23125">
            <w:pPr>
              <w:spacing w:line="360" w:lineRule="exact"/>
              <w:ind w:firstLineChars="100" w:firstLine="240"/>
              <w:rPr>
                <w:rFonts w:ascii="仿宋" w:eastAsia="仿宋" w:hAnsi="仿宋" w:cs="仿宋"/>
                <w:szCs w:val="21"/>
              </w:rPr>
            </w:pPr>
            <w:r>
              <w:rPr>
                <w:rFonts w:ascii="仿宋" w:eastAsia="仿宋" w:hAnsi="仿宋" w:cs="仿宋" w:hint="eastAsia"/>
                <w:szCs w:val="21"/>
              </w:rPr>
              <w:t>效益</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20</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19.5</w:t>
            </w:r>
          </w:p>
        </w:tc>
        <w:tc>
          <w:tcPr>
            <w:tcW w:w="2237" w:type="dxa"/>
            <w:noWrap/>
            <w:vAlign w:val="center"/>
          </w:tcPr>
          <w:p w:rsidR="00B23535" w:rsidRDefault="00C23125">
            <w:pPr>
              <w:widowControl/>
              <w:spacing w:line="360" w:lineRule="exact"/>
              <w:ind w:firstLineChars="100" w:firstLine="240"/>
              <w:jc w:val="center"/>
              <w:textAlignment w:val="top"/>
              <w:rPr>
                <w:rFonts w:ascii="仿宋" w:eastAsia="仿宋" w:hAnsi="仿宋" w:cs="仿宋"/>
                <w:szCs w:val="21"/>
              </w:rPr>
            </w:pPr>
            <w:r>
              <w:rPr>
                <w:rFonts w:ascii="仿宋" w:eastAsia="仿宋" w:hAnsi="仿宋" w:cs="仿宋" w:hint="eastAsia"/>
                <w:color w:val="000000"/>
                <w:szCs w:val="21"/>
              </w:rPr>
              <w:t>100.00%</w:t>
            </w:r>
          </w:p>
        </w:tc>
      </w:tr>
      <w:tr w:rsidR="00B23535">
        <w:tc>
          <w:tcPr>
            <w:tcW w:w="2236" w:type="dxa"/>
            <w:noWrap/>
          </w:tcPr>
          <w:p w:rsidR="00B23535" w:rsidRDefault="00C23125">
            <w:pPr>
              <w:spacing w:line="360" w:lineRule="exact"/>
              <w:ind w:firstLineChars="100" w:firstLine="240"/>
              <w:rPr>
                <w:rFonts w:ascii="仿宋" w:eastAsia="仿宋" w:hAnsi="仿宋" w:cs="仿宋"/>
                <w:szCs w:val="21"/>
              </w:rPr>
            </w:pPr>
            <w:r>
              <w:rPr>
                <w:rFonts w:ascii="仿宋" w:eastAsia="仿宋" w:hAnsi="仿宋" w:cs="仿宋" w:hint="eastAsia"/>
                <w:szCs w:val="21"/>
              </w:rPr>
              <w:t>合计</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100</w:t>
            </w:r>
          </w:p>
        </w:tc>
        <w:tc>
          <w:tcPr>
            <w:tcW w:w="2237" w:type="dxa"/>
            <w:noWrap/>
            <w:vAlign w:val="bottom"/>
          </w:tcPr>
          <w:p w:rsidR="00B23535" w:rsidRDefault="00C23125">
            <w:pPr>
              <w:spacing w:line="360" w:lineRule="exact"/>
              <w:ind w:firstLineChars="100" w:firstLine="240"/>
              <w:jc w:val="center"/>
              <w:rPr>
                <w:rFonts w:ascii="仿宋" w:eastAsia="仿宋" w:hAnsi="仿宋" w:cs="仿宋"/>
                <w:szCs w:val="21"/>
              </w:rPr>
            </w:pPr>
            <w:r>
              <w:rPr>
                <w:rFonts w:ascii="仿宋" w:eastAsia="仿宋" w:hAnsi="仿宋" w:cs="仿宋" w:hint="eastAsia"/>
                <w:szCs w:val="21"/>
              </w:rPr>
              <w:t>80</w:t>
            </w:r>
          </w:p>
        </w:tc>
        <w:tc>
          <w:tcPr>
            <w:tcW w:w="2237" w:type="dxa"/>
            <w:noWrap/>
            <w:vAlign w:val="center"/>
          </w:tcPr>
          <w:p w:rsidR="00B23535" w:rsidRDefault="00C23125">
            <w:pPr>
              <w:widowControl/>
              <w:spacing w:line="360" w:lineRule="exact"/>
              <w:ind w:firstLineChars="100" w:firstLine="240"/>
              <w:jc w:val="center"/>
              <w:textAlignment w:val="top"/>
              <w:rPr>
                <w:rFonts w:ascii="仿宋" w:eastAsia="仿宋" w:hAnsi="仿宋" w:cs="仿宋"/>
                <w:szCs w:val="21"/>
              </w:rPr>
            </w:pPr>
            <w:r>
              <w:rPr>
                <w:rFonts w:ascii="仿宋" w:eastAsia="仿宋" w:hAnsi="仿宋" w:cs="仿宋" w:hint="eastAsia"/>
                <w:color w:val="000000"/>
                <w:szCs w:val="21"/>
              </w:rPr>
              <w:t>70.50%</w:t>
            </w:r>
          </w:p>
        </w:tc>
      </w:tr>
    </w:tbl>
    <w:p w:rsidR="00B23535" w:rsidRDefault="00C23125">
      <w:pPr>
        <w:widowControl/>
        <w:spacing w:line="360" w:lineRule="auto"/>
        <w:ind w:firstLineChars="200" w:firstLine="640"/>
        <w:jc w:val="left"/>
        <w:rPr>
          <w:rFonts w:ascii="Times New Roman" w:eastAsia="仿宋_GB2312"/>
          <w:sz w:val="32"/>
          <w:szCs w:val="32"/>
        </w:rPr>
      </w:pPr>
      <w:bookmarkStart w:id="0" w:name="_GoBack"/>
      <w:r>
        <w:rPr>
          <w:rFonts w:ascii="Times New Roman" w:eastAsia="仿宋_GB2312" w:hint="eastAsia"/>
          <w:sz w:val="32"/>
          <w:szCs w:val="32"/>
        </w:rPr>
        <w:t>整体来看，涞源县统计局按照县政府重点工作任务制定了</w:t>
      </w:r>
      <w:r>
        <w:rPr>
          <w:rFonts w:ascii="Times New Roman" w:eastAsia="仿宋_GB2312" w:hint="eastAsia"/>
          <w:sz w:val="32"/>
          <w:szCs w:val="32"/>
        </w:rPr>
        <w:t>2024</w:t>
      </w:r>
      <w:r>
        <w:rPr>
          <w:rFonts w:ascii="Times New Roman" w:eastAsia="仿宋_GB2312" w:hint="eastAsia"/>
          <w:sz w:val="32"/>
          <w:szCs w:val="32"/>
        </w:rPr>
        <w:t>年度本部门总体绩效目标和五项分项绩效目标：由于部门绩效目标设定不够具体，绩效指标设置不可量化，未能突出部门重点工作内容，项目绩效目标指标设定未体现项目主要产出内容，实际执行过程中未按照预算绩效目标执行。实际执行评价结果为“中”。</w:t>
      </w:r>
      <w:bookmarkEnd w:id="0"/>
    </w:p>
    <w:p w:rsidR="00B23535" w:rsidRDefault="00C23125">
      <w:pPr>
        <w:widowControl/>
        <w:spacing w:line="360" w:lineRule="auto"/>
        <w:ind w:firstLineChars="200" w:firstLine="640"/>
        <w:jc w:val="left"/>
        <w:rPr>
          <w:rFonts w:ascii="Times New Roman" w:eastAsia="黑体"/>
          <w:sz w:val="32"/>
          <w:szCs w:val="32"/>
        </w:rPr>
      </w:pPr>
      <w:r>
        <w:rPr>
          <w:rFonts w:ascii="Times New Roman" w:eastAsia="黑体"/>
          <w:sz w:val="32"/>
          <w:szCs w:val="32"/>
        </w:rPr>
        <w:t>十、其他需要说明的情况</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1.</w:t>
      </w:r>
      <w:r>
        <w:rPr>
          <w:rFonts w:ascii="Times New Roman" w:eastAsia="仿宋_GB2312"/>
          <w:sz w:val="32"/>
          <w:szCs w:val="32"/>
        </w:rPr>
        <w:t>本部门</w:t>
      </w:r>
      <w:r>
        <w:rPr>
          <w:rFonts w:ascii="Times New Roman" w:eastAsia="仿宋_GB2312"/>
          <w:sz w:val="32"/>
          <w:szCs w:val="32"/>
        </w:rPr>
        <w:t>2024</w:t>
      </w:r>
      <w:r>
        <w:rPr>
          <w:rFonts w:ascii="Times New Roman" w:eastAsia="仿宋_GB2312"/>
          <w:sz w:val="32"/>
          <w:szCs w:val="32"/>
        </w:rPr>
        <w:t>年度政府性基金预算财政拨款收入支出决算表（公开</w:t>
      </w:r>
      <w:r>
        <w:rPr>
          <w:rFonts w:ascii="Times New Roman" w:eastAsia="仿宋_GB2312"/>
          <w:sz w:val="32"/>
          <w:szCs w:val="32"/>
        </w:rPr>
        <w:t>07</w:t>
      </w:r>
      <w:r>
        <w:rPr>
          <w:rFonts w:ascii="Times New Roman" w:eastAsia="仿宋_GB2312"/>
          <w:sz w:val="32"/>
          <w:szCs w:val="32"/>
        </w:rPr>
        <w:t>表）、国有资本经营预算财政拨款支出决算表（公开</w:t>
      </w:r>
      <w:r>
        <w:rPr>
          <w:rFonts w:ascii="Times New Roman" w:eastAsia="仿宋_GB2312"/>
          <w:sz w:val="32"/>
          <w:szCs w:val="32"/>
        </w:rPr>
        <w:t>08</w:t>
      </w:r>
      <w:r>
        <w:rPr>
          <w:rFonts w:ascii="Times New Roman" w:eastAsia="仿宋_GB2312"/>
          <w:sz w:val="32"/>
          <w:szCs w:val="32"/>
        </w:rPr>
        <w:t>表）无相应收支，故空表列示。</w:t>
      </w:r>
    </w:p>
    <w:p w:rsidR="00B23535" w:rsidRDefault="00C23125">
      <w:pPr>
        <w:widowControl/>
        <w:spacing w:line="360" w:lineRule="auto"/>
        <w:ind w:firstLineChars="200" w:firstLine="640"/>
        <w:jc w:val="left"/>
        <w:rPr>
          <w:rFonts w:ascii="Times New Roman" w:eastAsia="仿宋_GB2312"/>
          <w:sz w:val="32"/>
          <w:szCs w:val="32"/>
        </w:rPr>
      </w:pPr>
      <w:r>
        <w:rPr>
          <w:rFonts w:ascii="Times New Roman" w:eastAsia="仿宋_GB2312"/>
          <w:sz w:val="32"/>
          <w:szCs w:val="32"/>
        </w:rPr>
        <w:t xml:space="preserve">2. </w:t>
      </w:r>
      <w:r>
        <w:rPr>
          <w:rFonts w:ascii="Times New Roman" w:eastAsia="仿宋_GB2312"/>
          <w:sz w:val="32"/>
          <w:szCs w:val="32"/>
        </w:rPr>
        <w:t>由于决算公开表格中金额数值应当保留两位小数，公开数据为四舍五入计算结果，个别数据合计项与分项之和存在小数点后差额，特此说明。</w:t>
      </w:r>
    </w:p>
    <w:p w:rsidR="00B23535" w:rsidRDefault="00C23125">
      <w:pPr>
        <w:rPr>
          <w:rFonts w:ascii="Times New Roman" w:eastAsia="仿宋_GB2312" w:hAnsi="Times New Roman" w:cs="Times New Roman"/>
          <w:sz w:val="32"/>
          <w:szCs w:val="32"/>
        </w:rPr>
      </w:pPr>
      <w:r>
        <w:rPr>
          <w:rFonts w:ascii="Times New Roman" w:eastAsia="仿宋_GB2312" w:hAnsi="Times New Roman" w:cs="Times New Roman"/>
          <w:sz w:val="32"/>
          <w:szCs w:val="32"/>
        </w:rPr>
        <w:br w:type="page"/>
      </w:r>
    </w:p>
    <w:p w:rsidR="00B23535" w:rsidRDefault="00C23125">
      <w:pPr>
        <w:widowControl/>
        <w:spacing w:line="360" w:lineRule="auto"/>
        <w:jc w:val="center"/>
        <w:outlineLvl w:val="0"/>
        <w:rPr>
          <w:rFonts w:ascii="Times New Roman" w:eastAsia="黑体"/>
          <w:sz w:val="44"/>
          <w:szCs w:val="44"/>
        </w:rPr>
      </w:pPr>
      <w:r>
        <w:rPr>
          <w:rFonts w:ascii="Times New Roman" w:eastAsia="黑体"/>
          <w:sz w:val="44"/>
          <w:szCs w:val="44"/>
        </w:rPr>
        <w:t>第四部分</w:t>
      </w:r>
      <w:r>
        <w:rPr>
          <w:rFonts w:ascii="Times New Roman" w:eastAsia="黑体"/>
          <w:sz w:val="44"/>
          <w:szCs w:val="44"/>
        </w:rPr>
        <w:t xml:space="preserve"> </w:t>
      </w:r>
      <w:r>
        <w:rPr>
          <w:rFonts w:ascii="Times New Roman" w:eastAsia="黑体"/>
          <w:sz w:val="44"/>
          <w:szCs w:val="44"/>
        </w:rPr>
        <w:t>名词解释</w:t>
      </w:r>
    </w:p>
    <w:p w:rsidR="00195269" w:rsidRDefault="00195269">
      <w:pPr>
        <w:widowControl/>
        <w:spacing w:line="360" w:lineRule="auto"/>
        <w:ind w:firstLineChars="200" w:firstLine="643"/>
        <w:jc w:val="left"/>
        <w:rPr>
          <w:rFonts w:ascii="Times New Roman" w:eastAsia="仿宋_GB2312" w:hint="eastAsia"/>
          <w:b/>
          <w:sz w:val="32"/>
          <w:szCs w:val="32"/>
        </w:rPr>
      </w:pP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十一、经营支出</w:t>
      </w:r>
      <w:r>
        <w:rPr>
          <w:rFonts w:ascii="Times New Roman" w:eastAsia="仿宋_GB2312"/>
          <w:b/>
          <w:sz w:val="32"/>
          <w:szCs w:val="32"/>
        </w:rPr>
        <w:t xml:space="preserve"> </w:t>
      </w:r>
      <w:r>
        <w:rPr>
          <w:rFonts w:ascii="Times New Roman" w:eastAsia="仿宋_GB2312"/>
          <w:b/>
          <w:sz w:val="32"/>
          <w:szCs w:val="32"/>
        </w:rPr>
        <w:t>：</w:t>
      </w:r>
      <w:r>
        <w:rPr>
          <w:rFonts w:ascii="Times New Roman" w:eastAsia="仿宋_GB2312"/>
          <w:sz w:val="32"/>
          <w:szCs w:val="32"/>
        </w:rPr>
        <w:t>指事业单位在专业业务活动及其辅助活动之外开展非独立核算经营活动发生的支出。</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十四、</w:t>
      </w:r>
      <w:r>
        <w:rPr>
          <w:rFonts w:ascii="Times New Roman" w:eastAsia="仿宋_GB2312"/>
          <w:b/>
          <w:sz w:val="32"/>
          <w:szCs w:val="32"/>
        </w:rPr>
        <w:t>“</w:t>
      </w:r>
      <w:r>
        <w:rPr>
          <w:rFonts w:ascii="Times New Roman" w:eastAsia="仿宋_GB2312"/>
          <w:b/>
          <w:sz w:val="32"/>
          <w:szCs w:val="32"/>
        </w:rPr>
        <w:t>三公</w:t>
      </w:r>
      <w:r>
        <w:rPr>
          <w:rFonts w:ascii="Times New Roman" w:eastAsia="仿宋_GB2312"/>
          <w:b/>
          <w:sz w:val="32"/>
          <w:szCs w:val="32"/>
        </w:rPr>
        <w:t>”</w:t>
      </w:r>
      <w:r>
        <w:rPr>
          <w:rFonts w:ascii="Times New Roman" w:eastAsia="仿宋_GB2312"/>
          <w:b/>
          <w:sz w:val="32"/>
          <w:szCs w:val="32"/>
        </w:rPr>
        <w:t>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rsidR="00B23535" w:rsidRDefault="00C23125">
      <w:pPr>
        <w:widowControl/>
        <w:spacing w:line="360" w:lineRule="auto"/>
        <w:ind w:firstLineChars="200" w:firstLine="643"/>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rsidR="00B23535" w:rsidSect="00B23535">
      <w:footerReference w:type="default" r:id="rId23"/>
      <w:pgSz w:w="11906" w:h="16838"/>
      <w:pgMar w:top="2098" w:right="1417" w:bottom="1871" w:left="1417" w:header="851" w:footer="992" w:gutter="0"/>
      <w:pgNumType w:start="1"/>
      <w:cols w:space="0"/>
      <w:docGrid w:type="lines" w:linePitch="32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3125" w:rsidRDefault="00C23125" w:rsidP="00B23535">
      <w:r>
        <w:separator/>
      </w:r>
    </w:p>
  </w:endnote>
  <w:endnote w:type="continuationSeparator" w:id="1">
    <w:p w:rsidR="00C23125" w:rsidRDefault="00C23125" w:rsidP="00B235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embedRegular r:id="rId1" w:subsetted="1" w:fontKey="{FC29433A-C2EE-4FE7-A77D-CA385ACB5165}"/>
    <w:embedBold r:id="rId2" w:subsetted="1" w:fontKey="{4640E1FC-76FB-40AF-A16E-4938066061B8}"/>
  </w:font>
  <w:font w:name="仿宋">
    <w:panose1 w:val="02010609060101010101"/>
    <w:charset w:val="86"/>
    <w:family w:val="modern"/>
    <w:pitch w:val="fixed"/>
    <w:sig w:usb0="800002BF" w:usb1="38CF7CFA" w:usb2="00000016" w:usb3="00000000" w:csb0="00040001" w:csb1="00000000"/>
    <w:embedRegular r:id="rId3" w:subsetted="1" w:fontKey="{0E4FAA97-DF42-46BA-8F77-2BA5D29A3205}"/>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embedRegular r:id="rId4" w:subsetted="1" w:fontKey="{AC0DEC7D-BE8C-4F53-A55D-EDA4475A080F}"/>
    <w:embedBold r:id="rId5" w:subsetted="1" w:fontKey="{9977DDCC-A40C-47D4-9468-AB9408391E47}"/>
  </w:font>
  <w:font w:name="方正小标宋_GBK">
    <w:charset w:val="86"/>
    <w:family w:val="script"/>
    <w:pitch w:val="default"/>
    <w:sig w:usb0="A00002BF" w:usb1="38CF7CFA" w:usb2="00082016" w:usb3="00000000" w:csb0="00040001" w:csb1="00000000"/>
    <w:embedBold r:id="rId6" w:subsetted="1" w:fontKey="{2D4FFFE5-7F85-478E-9949-4FA0A47436CA}"/>
  </w:font>
  <w:font w:name="黑体">
    <w:altName w:val="SimHei"/>
    <w:panose1 w:val="02010609060101010101"/>
    <w:charset w:val="86"/>
    <w:family w:val="modern"/>
    <w:pitch w:val="fixed"/>
    <w:sig w:usb0="800002BF" w:usb1="38CF7CFA" w:usb2="00000016" w:usb3="00000000" w:csb0="00040001" w:csb1="00000000"/>
    <w:embedRegular r:id="rId7" w:subsetted="1" w:fontKey="{6527E388-9442-46A1-937E-0ED2908B80E4}"/>
  </w:font>
  <w:font w:name="方正小标宋简体">
    <w:panose1 w:val="02010601030101010101"/>
    <w:charset w:val="86"/>
    <w:family w:val="auto"/>
    <w:pitch w:val="variable"/>
    <w:sig w:usb0="00000001" w:usb1="080E0000" w:usb2="00000010" w:usb3="00000000" w:csb0="00040000" w:csb1="00000000"/>
    <w:embedRegular r:id="rId8" w:subsetted="1" w:fontKey="{24ED0281-D1F6-4BE3-BFA5-F256B5DB726F}"/>
  </w:font>
  <w:font w:name="仿宋_GB2312">
    <w:panose1 w:val="02010609030101010101"/>
    <w:charset w:val="86"/>
    <w:family w:val="modern"/>
    <w:pitch w:val="fixed"/>
    <w:sig w:usb0="00000001" w:usb1="080E0000" w:usb2="00000010" w:usb3="00000000" w:csb0="00040000" w:csb1="00000000"/>
    <w:embedRegular r:id="rId9" w:subsetted="1" w:fontKey="{54358950-2F9B-4FC5-A781-D55017EE7FDC}"/>
    <w:embedBold r:id="rId10" w:subsetted="1" w:fontKey="{A66F3FAB-1390-4F8C-9AFF-CB159BAD567A}"/>
  </w:font>
  <w:font w:name="ArialUnicodeMS">
    <w:altName w:val="Malgun Gothic"/>
    <w:charset w:val="81"/>
    <w:family w:val="auto"/>
    <w:pitch w:val="default"/>
    <w:sig w:usb0="00000000" w:usb1="00000000" w:usb2="00000010" w:usb3="00000000" w:csb0="00080001" w:csb1="00000000"/>
  </w:font>
  <w:font w:name="方正仿宋_GB2312">
    <w:charset w:val="86"/>
    <w:family w:val="auto"/>
    <w:pitch w:val="default"/>
    <w:sig w:usb0="A00002BF" w:usb1="184F6CFA" w:usb2="00000012" w:usb3="00000000" w:csb0="00040001" w:csb1="00000000"/>
    <w:embedRegular r:id="rId11" w:subsetted="1" w:fontKey="{1B8CEF9A-174C-436A-83DD-28B5583D5F24}"/>
    <w:embedBold r:id="rId12" w:subsetted="1" w:fontKey="{6C2E3D8D-E4E6-44C4-A570-814EE9D27B14}"/>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5B130D">
    <w:pPr>
      <w:jc w:val="center"/>
    </w:pPr>
    <w:fldSimple w:instr="PAGE">
      <w:r w:rsidR="00195269">
        <w:rPr>
          <w:noProof/>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5B130D">
    <w:pPr>
      <w:jc w:val="center"/>
    </w:pPr>
    <w:fldSimple w:instr="PAGE">
      <w:r w:rsidR="00195269">
        <w:rPr>
          <w:noProof/>
        </w:rP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5B130D">
    <w:pPr>
      <w:jc w:val="center"/>
    </w:pPr>
    <w:fldSimple w:instr="PAGE">
      <w:r w:rsidR="00252E06">
        <w:rPr>
          <w:noProof/>
        </w:rPr>
        <w:t>5</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C23125">
    <w:pPr>
      <w:pStyle w:val="a5"/>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5B130D">
    <w:pPr>
      <w:jc w:val="center"/>
    </w:pPr>
    <w:fldSimple w:instr="PAGE">
      <w:r w:rsidR="00774770">
        <w:rPr>
          <w:noProof/>
        </w:rPr>
        <w:t>17</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5B130D">
    <w:pPr>
      <w:jc w:val="center"/>
    </w:pPr>
    <w:fldSimple w:instr="PAGE">
      <w:r w:rsidR="00774770">
        <w:rPr>
          <w:noProof/>
        </w:rPr>
        <w:t>18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3125" w:rsidRDefault="00C23125" w:rsidP="00B23535">
      <w:r>
        <w:separator/>
      </w:r>
    </w:p>
  </w:footnote>
  <w:footnote w:type="continuationSeparator" w:id="1">
    <w:p w:rsidR="00C23125" w:rsidRDefault="00C23125" w:rsidP="00B235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C2312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C23125">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125" w:rsidRDefault="00C2312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16A424"/>
    <w:multiLevelType w:val="multilevel"/>
    <w:tmpl w:val="5F16A424"/>
    <w:lvl w:ilvl="0">
      <w:start w:val="1"/>
      <w:numFmt w:val="decimal"/>
      <w:pStyle w:val="1"/>
      <w:lvlText w:val="%1."/>
      <w:lvlJc w:val="left"/>
      <w:pPr>
        <w:ind w:left="425" w:hanging="425"/>
      </w:pPr>
      <w:rPr>
        <w:rFonts w:hint="default"/>
      </w:rPr>
    </w:lvl>
    <w:lvl w:ilvl="1">
      <w:start w:val="1"/>
      <w:numFmt w:val="decimal"/>
      <w:pStyle w:val="2"/>
      <w:lvlText w:val="%1.%2."/>
      <w:lvlJc w:val="left"/>
      <w:pPr>
        <w:ind w:left="567" w:hanging="567"/>
      </w:pPr>
      <w:rPr>
        <w:rFonts w:hint="default"/>
      </w:rPr>
    </w:lvl>
    <w:lvl w:ilvl="2">
      <w:start w:val="1"/>
      <w:numFmt w:val="decimal"/>
      <w:pStyle w:val="3"/>
      <w:lvlText w:val="%1.%2.%3."/>
      <w:lvlJc w:val="left"/>
      <w:pPr>
        <w:ind w:left="709" w:hanging="709"/>
      </w:pPr>
      <w:rPr>
        <w:rFonts w:hint="default"/>
      </w:rPr>
    </w:lvl>
    <w:lvl w:ilvl="3">
      <w:start w:val="1"/>
      <w:numFmt w:val="decimal"/>
      <w:pStyle w:val="4"/>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TrueTypeFonts/>
  <w:saveSubsetFonts/>
  <w:bordersDoNotSurroundHeader/>
  <w:bordersDoNotSurroundFooter/>
  <w:defaultTabStop w:val="420"/>
  <w:drawingGridVerticalSpacing w:val="165"/>
  <w:noPunctuationKerning/>
  <w:characterSpacingControl w:val="compressPunctuation"/>
  <w:hdrShapeDefaults>
    <o:shapedefaults v:ext="edit" spidmax="4097"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jb3VudCI6NjksImhkaWQiOiJiMzk2N2EzZjUyYWViODRjZjJhMDZjM2YyYjk4MTExMiIsInVzZXJDb3VudCI6MX0="/>
  </w:docVars>
  <w:rsids>
    <w:rsidRoot w:val="00B23535"/>
    <w:rsid w:val="00086151"/>
    <w:rsid w:val="0009389A"/>
    <w:rsid w:val="000D50BB"/>
    <w:rsid w:val="00195269"/>
    <w:rsid w:val="001F410A"/>
    <w:rsid w:val="00236F8C"/>
    <w:rsid w:val="00252E06"/>
    <w:rsid w:val="005623A8"/>
    <w:rsid w:val="005B130D"/>
    <w:rsid w:val="00774770"/>
    <w:rsid w:val="00822154"/>
    <w:rsid w:val="008253F5"/>
    <w:rsid w:val="00844301"/>
    <w:rsid w:val="0085034A"/>
    <w:rsid w:val="00AB044E"/>
    <w:rsid w:val="00B23535"/>
    <w:rsid w:val="00C23125"/>
    <w:rsid w:val="00C65689"/>
    <w:rsid w:val="00CC2C8E"/>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DA28BB"/>
    <w:rsid w:val="04F528BE"/>
    <w:rsid w:val="050E10CE"/>
    <w:rsid w:val="054F2DFB"/>
    <w:rsid w:val="05991C82"/>
    <w:rsid w:val="05CD1EC8"/>
    <w:rsid w:val="061416A9"/>
    <w:rsid w:val="061D60A6"/>
    <w:rsid w:val="06236884"/>
    <w:rsid w:val="06B07006"/>
    <w:rsid w:val="06FC7C2A"/>
    <w:rsid w:val="07533AFE"/>
    <w:rsid w:val="07AC18F2"/>
    <w:rsid w:val="07B3657A"/>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B67D0A"/>
    <w:rsid w:val="0BC56230"/>
    <w:rsid w:val="0BCF21BD"/>
    <w:rsid w:val="0C4E53E8"/>
    <w:rsid w:val="0C6712D6"/>
    <w:rsid w:val="0C9F7900"/>
    <w:rsid w:val="0CB23317"/>
    <w:rsid w:val="0D101068"/>
    <w:rsid w:val="0D4E13BE"/>
    <w:rsid w:val="0D7557DF"/>
    <w:rsid w:val="0D853E34"/>
    <w:rsid w:val="0D9C2A57"/>
    <w:rsid w:val="0DC3019B"/>
    <w:rsid w:val="0DFA5D82"/>
    <w:rsid w:val="0E1E52CE"/>
    <w:rsid w:val="0E2E69C3"/>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B6315"/>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F053D"/>
    <w:rsid w:val="15E0131A"/>
    <w:rsid w:val="15E11DC0"/>
    <w:rsid w:val="16457D9F"/>
    <w:rsid w:val="16771FB9"/>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261AD7"/>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4676B9"/>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830730"/>
    <w:rsid w:val="5BBB2DD6"/>
    <w:rsid w:val="5BE263B6"/>
    <w:rsid w:val="5C6851B3"/>
    <w:rsid w:val="5C8E5C5A"/>
    <w:rsid w:val="5C965E61"/>
    <w:rsid w:val="5CF0089C"/>
    <w:rsid w:val="5CF5796F"/>
    <w:rsid w:val="5D242A11"/>
    <w:rsid w:val="5D9217C2"/>
    <w:rsid w:val="5DAD06BF"/>
    <w:rsid w:val="5DC92CE9"/>
    <w:rsid w:val="5DE23CB3"/>
    <w:rsid w:val="5DE97EEC"/>
    <w:rsid w:val="5DF32584"/>
    <w:rsid w:val="5DFA5EB0"/>
    <w:rsid w:val="5E000E4D"/>
    <w:rsid w:val="5E0B583E"/>
    <w:rsid w:val="5E201A7B"/>
    <w:rsid w:val="5EA45884"/>
    <w:rsid w:val="5EBD0484"/>
    <w:rsid w:val="5F2C5C7C"/>
    <w:rsid w:val="5F36141C"/>
    <w:rsid w:val="5FC5273F"/>
    <w:rsid w:val="604F6C39"/>
    <w:rsid w:val="60622209"/>
    <w:rsid w:val="60806DF2"/>
    <w:rsid w:val="61072DA5"/>
    <w:rsid w:val="611C0817"/>
    <w:rsid w:val="61224A52"/>
    <w:rsid w:val="61520CCB"/>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222401"/>
    <w:rsid w:val="6C56267F"/>
    <w:rsid w:val="6C5C0CEE"/>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15489"/>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A91196"/>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uiPriority="0" w:unhideWhenUsed="0" w:qFormat="1"/>
    <w:lsdException w:name="footer" w:semiHidden="0" w:unhideWhenUsed="0" w:qFormat="1"/>
    <w:lsdException w:name="caption" w:uiPriority="35" w:qFormat="1"/>
    <w:lsdException w:name="Title" w:semiHidden="0" w:uiPriority="10" w:unhideWhenUsed="0" w:qFormat="1"/>
    <w:lsdException w:name="Default Paragraph Font" w:uiPriority="1" w:qFormat="1"/>
    <w:lsdException w:name="Body Text"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semiHidden="0"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535"/>
    <w:pPr>
      <w:widowControl w:val="0"/>
      <w:jc w:val="both"/>
    </w:pPr>
    <w:rPr>
      <w:rFonts w:asciiTheme="minorHAnsi" w:eastAsiaTheme="minorEastAsia" w:hAnsiTheme="minorHAnsi" w:cs="宋体"/>
      <w:sz w:val="24"/>
      <w:szCs w:val="24"/>
    </w:rPr>
  </w:style>
  <w:style w:type="paragraph" w:styleId="1">
    <w:name w:val="heading 1"/>
    <w:basedOn w:val="a"/>
    <w:next w:val="a"/>
    <w:qFormat/>
    <w:rsid w:val="00B23535"/>
    <w:pPr>
      <w:keepNext/>
      <w:keepLines/>
      <w:numPr>
        <w:numId w:val="1"/>
      </w:numPr>
      <w:adjustRightInd w:val="0"/>
      <w:snapToGrid w:val="0"/>
      <w:spacing w:before="340" w:afterLines="50" w:line="578" w:lineRule="auto"/>
      <w:jc w:val="left"/>
      <w:outlineLvl w:val="0"/>
    </w:pPr>
    <w:rPr>
      <w:rFonts w:ascii="Times New Roman" w:eastAsia="仿宋" w:hAnsi="Times New Roman" w:cs="Times New Roman"/>
      <w:b/>
      <w:bCs/>
      <w:kern w:val="44"/>
      <w:sz w:val="36"/>
      <w:szCs w:val="44"/>
    </w:rPr>
  </w:style>
  <w:style w:type="paragraph" w:styleId="2">
    <w:name w:val="heading 2"/>
    <w:basedOn w:val="a"/>
    <w:next w:val="a"/>
    <w:link w:val="2Char"/>
    <w:uiPriority w:val="9"/>
    <w:semiHidden/>
    <w:unhideWhenUsed/>
    <w:qFormat/>
    <w:rsid w:val="00B23535"/>
    <w:pPr>
      <w:numPr>
        <w:ilvl w:val="1"/>
        <w:numId w:val="1"/>
      </w:numPr>
      <w:spacing w:line="416" w:lineRule="auto"/>
      <w:outlineLvl w:val="1"/>
    </w:pPr>
    <w:rPr>
      <w:rFonts w:ascii="Calibri Light" w:eastAsia="宋体" w:hAnsi="Calibri Light" w:cs="Times New Roman"/>
      <w:b/>
      <w:bCs/>
      <w:sz w:val="28"/>
      <w:szCs w:val="32"/>
    </w:rPr>
  </w:style>
  <w:style w:type="paragraph" w:styleId="3">
    <w:name w:val="heading 3"/>
    <w:basedOn w:val="a"/>
    <w:next w:val="a"/>
    <w:uiPriority w:val="9"/>
    <w:semiHidden/>
    <w:unhideWhenUsed/>
    <w:qFormat/>
    <w:rsid w:val="00B23535"/>
    <w:pPr>
      <w:keepNext/>
      <w:keepLines/>
      <w:numPr>
        <w:ilvl w:val="2"/>
        <w:numId w:val="1"/>
      </w:numPr>
      <w:spacing w:beforeLines="50" w:afterLines="50" w:line="416" w:lineRule="auto"/>
      <w:outlineLvl w:val="2"/>
    </w:pPr>
    <w:rPr>
      <w:rFonts w:ascii="宋体" w:eastAsia="宋体" w:hAnsi="宋体"/>
      <w:b/>
      <w:bCs/>
      <w:sz w:val="32"/>
    </w:rPr>
  </w:style>
  <w:style w:type="paragraph" w:styleId="4">
    <w:name w:val="heading 4"/>
    <w:basedOn w:val="a"/>
    <w:next w:val="a"/>
    <w:uiPriority w:val="9"/>
    <w:semiHidden/>
    <w:unhideWhenUsed/>
    <w:qFormat/>
    <w:rsid w:val="00B23535"/>
    <w:pPr>
      <w:keepNext/>
      <w:keepLines/>
      <w:numPr>
        <w:ilvl w:val="3"/>
        <w:numId w:val="1"/>
      </w:numPr>
      <w:spacing w:before="120" w:after="120"/>
      <w:outlineLvl w:val="3"/>
    </w:pPr>
    <w:rPr>
      <w:rFonts w:ascii="Calibri Light" w:eastAsia="宋体" w:hAnsi="Calibri Light"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B23535"/>
    <w:pPr>
      <w:jc w:val="left"/>
    </w:pPr>
  </w:style>
  <w:style w:type="paragraph" w:styleId="a4">
    <w:name w:val="Balloon Text"/>
    <w:basedOn w:val="a"/>
    <w:link w:val="Char"/>
    <w:uiPriority w:val="99"/>
    <w:unhideWhenUsed/>
    <w:qFormat/>
    <w:rsid w:val="00B23535"/>
    <w:rPr>
      <w:rFonts w:cstheme="minorBidi"/>
      <w:kern w:val="2"/>
      <w:sz w:val="18"/>
      <w:szCs w:val="18"/>
    </w:rPr>
  </w:style>
  <w:style w:type="paragraph" w:styleId="a5">
    <w:name w:val="footer"/>
    <w:basedOn w:val="a"/>
    <w:link w:val="Char0"/>
    <w:uiPriority w:val="99"/>
    <w:qFormat/>
    <w:rsid w:val="00B23535"/>
    <w:pPr>
      <w:tabs>
        <w:tab w:val="center" w:pos="4153"/>
        <w:tab w:val="right" w:pos="8306"/>
      </w:tabs>
      <w:snapToGrid w:val="0"/>
      <w:jc w:val="left"/>
    </w:pPr>
    <w:rPr>
      <w:rFonts w:cstheme="minorBidi"/>
      <w:kern w:val="2"/>
      <w:sz w:val="18"/>
      <w:szCs w:val="18"/>
    </w:rPr>
  </w:style>
  <w:style w:type="paragraph" w:styleId="a6">
    <w:name w:val="header"/>
    <w:basedOn w:val="a"/>
    <w:link w:val="Char1"/>
    <w:qFormat/>
    <w:rsid w:val="00B23535"/>
    <w:pPr>
      <w:pBdr>
        <w:top w:val="none" w:sz="0" w:space="1" w:color="auto"/>
        <w:left w:val="none" w:sz="0" w:space="4" w:color="auto"/>
        <w:bottom w:val="none" w:sz="0" w:space="1" w:color="auto"/>
        <w:right w:val="none" w:sz="0" w:space="4" w:color="auto"/>
      </w:pBdr>
      <w:tabs>
        <w:tab w:val="center" w:pos="4153"/>
        <w:tab w:val="right" w:pos="8306"/>
      </w:tabs>
      <w:snapToGrid w:val="0"/>
      <w:jc w:val="center"/>
    </w:pPr>
    <w:rPr>
      <w:rFonts w:cstheme="minorBidi"/>
      <w:kern w:val="2"/>
      <w:sz w:val="18"/>
      <w:szCs w:val="18"/>
    </w:rPr>
  </w:style>
  <w:style w:type="paragraph" w:styleId="a7">
    <w:name w:val="Normal (Web)"/>
    <w:basedOn w:val="a"/>
    <w:uiPriority w:val="99"/>
    <w:semiHidden/>
    <w:unhideWhenUsed/>
    <w:qFormat/>
    <w:rsid w:val="00B23535"/>
    <w:pPr>
      <w:spacing w:beforeAutospacing="1" w:afterAutospacing="1"/>
      <w:jc w:val="left"/>
    </w:pPr>
    <w:rPr>
      <w:rFonts w:cs="Times New Roman"/>
    </w:rPr>
  </w:style>
  <w:style w:type="table" w:styleId="a8">
    <w:name w:val="Table Grid"/>
    <w:qFormat/>
    <w:rsid w:val="00B23535"/>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Strong"/>
    <w:basedOn w:val="a0"/>
    <w:uiPriority w:val="22"/>
    <w:qFormat/>
    <w:rsid w:val="00B23535"/>
    <w:rPr>
      <w:b/>
    </w:rPr>
  </w:style>
  <w:style w:type="character" w:customStyle="1" w:styleId="2Char">
    <w:name w:val="标题 2 Char"/>
    <w:link w:val="2"/>
    <w:qFormat/>
    <w:rsid w:val="00B23535"/>
    <w:rPr>
      <w:rFonts w:ascii="Calibri Light" w:eastAsia="宋体" w:hAnsi="Calibri Light" w:cs="Times New Roman"/>
      <w:b/>
      <w:bCs/>
      <w:sz w:val="28"/>
      <w:szCs w:val="32"/>
    </w:rPr>
  </w:style>
  <w:style w:type="character" w:customStyle="1" w:styleId="Char0">
    <w:name w:val="页脚 Char"/>
    <w:basedOn w:val="a0"/>
    <w:link w:val="a5"/>
    <w:uiPriority w:val="99"/>
    <w:qFormat/>
    <w:rsid w:val="00B23535"/>
    <w:rPr>
      <w:rFonts w:asciiTheme="minorHAnsi" w:eastAsiaTheme="minorEastAsia" w:hAnsiTheme="minorHAnsi" w:cstheme="minorBidi"/>
      <w:sz w:val="18"/>
      <w:szCs w:val="18"/>
      <w:lang w:val="en-US" w:eastAsia="zh-CN" w:bidi="ar-SA"/>
    </w:rPr>
  </w:style>
  <w:style w:type="character" w:customStyle="1" w:styleId="Char1">
    <w:name w:val="页眉 Char"/>
    <w:basedOn w:val="a0"/>
    <w:link w:val="a6"/>
    <w:qFormat/>
    <w:rsid w:val="00B23535"/>
    <w:rPr>
      <w:rFonts w:asciiTheme="minorHAnsi" w:eastAsiaTheme="minorEastAsia" w:hAnsiTheme="minorHAnsi" w:cstheme="minorBidi"/>
      <w:sz w:val="18"/>
      <w:szCs w:val="18"/>
      <w:lang w:val="en-US" w:eastAsia="zh-CN" w:bidi="ar-SA"/>
    </w:rPr>
  </w:style>
  <w:style w:type="character" w:customStyle="1" w:styleId="font11">
    <w:name w:val="font11"/>
    <w:basedOn w:val="a0"/>
    <w:qFormat/>
    <w:rsid w:val="00B23535"/>
    <w:rPr>
      <w:rFonts w:ascii="宋体" w:eastAsia="宋体" w:hAnsi="宋体" w:cs="宋体" w:hint="eastAsia"/>
      <w:color w:val="000000"/>
      <w:sz w:val="20"/>
      <w:szCs w:val="20"/>
      <w:u w:val="none"/>
      <w:lang w:val="en-US" w:eastAsia="zh-CN" w:bidi="ar-SA"/>
    </w:rPr>
  </w:style>
  <w:style w:type="character" w:customStyle="1" w:styleId="font01">
    <w:name w:val="font01"/>
    <w:basedOn w:val="a0"/>
    <w:qFormat/>
    <w:rsid w:val="00B23535"/>
    <w:rPr>
      <w:rFonts w:ascii="宋体" w:eastAsia="宋体" w:hAnsi="宋体" w:cs="宋体" w:hint="eastAsia"/>
      <w:color w:val="000000"/>
      <w:sz w:val="22"/>
      <w:szCs w:val="22"/>
      <w:u w:val="none"/>
      <w:lang w:val="en-US" w:eastAsia="zh-CN" w:bidi="ar-SA"/>
    </w:rPr>
  </w:style>
  <w:style w:type="character" w:customStyle="1" w:styleId="font41">
    <w:name w:val="font41"/>
    <w:basedOn w:val="a0"/>
    <w:qFormat/>
    <w:rsid w:val="00B23535"/>
    <w:rPr>
      <w:rFonts w:ascii="宋体" w:eastAsia="宋体" w:hAnsi="宋体" w:cs="宋体" w:hint="eastAsia"/>
      <w:color w:val="000000"/>
      <w:sz w:val="24"/>
      <w:szCs w:val="24"/>
      <w:u w:val="none"/>
      <w:lang w:val="en-US" w:eastAsia="zh-CN" w:bidi="ar-SA"/>
    </w:rPr>
  </w:style>
  <w:style w:type="character" w:customStyle="1" w:styleId="font31">
    <w:name w:val="font31"/>
    <w:basedOn w:val="a0"/>
    <w:qFormat/>
    <w:rsid w:val="00B23535"/>
    <w:rPr>
      <w:rFonts w:ascii="华文中宋" w:eastAsia="华文中宋" w:hAnsi="华文中宋" w:cs="华文中宋" w:hint="eastAsia"/>
      <w:color w:val="000000"/>
      <w:sz w:val="32"/>
      <w:szCs w:val="32"/>
      <w:u w:val="none"/>
      <w:lang w:val="en-US" w:eastAsia="zh-CN" w:bidi="ar-SA"/>
    </w:rPr>
  </w:style>
  <w:style w:type="character" w:customStyle="1" w:styleId="font91">
    <w:name w:val="font91"/>
    <w:basedOn w:val="a0"/>
    <w:qFormat/>
    <w:rsid w:val="00B23535"/>
    <w:rPr>
      <w:rFonts w:ascii="华文中宋" w:eastAsia="华文中宋" w:hAnsi="华文中宋" w:cs="华文中宋" w:hint="eastAsia"/>
      <w:color w:val="000000"/>
      <w:sz w:val="32"/>
      <w:szCs w:val="32"/>
      <w:u w:val="none"/>
      <w:lang w:val="en-US" w:eastAsia="zh-CN" w:bidi="ar-SA"/>
    </w:rPr>
  </w:style>
  <w:style w:type="character" w:customStyle="1" w:styleId="font51">
    <w:name w:val="font51"/>
    <w:basedOn w:val="a0"/>
    <w:qFormat/>
    <w:rsid w:val="00B23535"/>
    <w:rPr>
      <w:rFonts w:ascii="宋体" w:eastAsia="宋体" w:hAnsi="宋体" w:cs="宋体" w:hint="eastAsia"/>
      <w:color w:val="000000"/>
      <w:sz w:val="24"/>
      <w:szCs w:val="24"/>
      <w:u w:val="none"/>
      <w:lang w:val="en-US" w:eastAsia="zh-CN" w:bidi="ar-SA"/>
    </w:rPr>
  </w:style>
  <w:style w:type="character" w:customStyle="1" w:styleId="Char">
    <w:name w:val="批注框文本 Char"/>
    <w:basedOn w:val="a0"/>
    <w:link w:val="a4"/>
    <w:uiPriority w:val="99"/>
    <w:semiHidden/>
    <w:qFormat/>
    <w:rsid w:val="00B23535"/>
    <w:rPr>
      <w:rFonts w:asciiTheme="minorHAnsi" w:eastAsiaTheme="minorEastAsia" w:hAnsiTheme="minorHAnsi" w:cstheme="minorBidi"/>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chart" Target="charts/chart6.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Microsoft_Office_Excel____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Microsoft_Office_Excel____2.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Office_Excel____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Microsoft_Office_Excel____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Microsoft_Office_Excel____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Microsoft_Office_Excel____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p>
        </c:rich>
      </c:tx>
      <c:layout/>
      <c:spPr>
        <a:noFill/>
        <a:ln>
          <a:noFill/>
        </a:ln>
        <a:effectLst/>
      </c:spPr>
    </c:title>
    <c:plotArea>
      <c:layout/>
      <c:barChart>
        <c:barDir val="col"/>
        <c:grouping val="clustered"/>
        <c:ser>
          <c:idx val="0"/>
          <c:order val="0"/>
          <c:tx>
            <c:strRef>
              <c:f>Sheet1!$B$1</c:f>
              <c:strCache>
                <c:ptCount val="1"/>
                <c:pt idx="0">
                  <c:v>收支总计</c:v>
                </c:pt>
              </c:strCache>
            </c:strRef>
          </c:tx>
          <c:spPr>
            <a:solidFill>
              <a:schemeClr val="accent1"/>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334.6400000000001</c:v>
                </c:pt>
                <c:pt idx="1">
                  <c:v>331.25</c:v>
                </c:pt>
              </c:numCache>
            </c:numRef>
          </c:val>
        </c:ser>
        <c:dLbls>
          <c:showVal val="1"/>
        </c:dLbls>
        <c:gapWidth val="246"/>
        <c:overlap val="-28"/>
        <c:axId val="91781376"/>
        <c:axId val="91799552"/>
      </c:barChart>
      <c:catAx>
        <c:axId val="91781376"/>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91799552"/>
        <c:crosses val="autoZero"/>
        <c:auto val="1"/>
        <c:lblAlgn val="ctr"/>
        <c:lblOffset val="100"/>
      </c:catAx>
      <c:valAx>
        <c:axId val="91799552"/>
        <c:scaling>
          <c:orientation val="minMax"/>
        </c:scaling>
        <c:axPos val="l"/>
        <c:majorGridlines>
          <c:spPr>
            <a:ln w="9525" cap="flat" cmpd="sng" algn="ctr">
              <a:solidFill>
                <a:schemeClr val="lt1">
                  <a:lumMod val="902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91781376"/>
        <c:crosses val="autoZero"/>
        <c:crossBetween val="between"/>
      </c:valAx>
      <c:spPr>
        <a:noFill/>
        <a:ln>
          <a:noFill/>
        </a:ln>
        <a:effectLst/>
      </c:spPr>
    </c:plotArea>
    <c:plotVisOnly val="1"/>
    <c:dispBlanksAs val="gap"/>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p>
        </c:rich>
      </c:tx>
      <c:layout/>
      <c:spPr>
        <a:noFill/>
        <a:ln>
          <a:noFill/>
        </a:ln>
        <a:effectLst/>
      </c:spPr>
    </c:title>
    <c:plotArea>
      <c:layout/>
      <c:pieChart>
        <c:varyColors val="1"/>
        <c:ser>
          <c:idx val="0"/>
          <c:order val="0"/>
          <c:tx>
            <c:strRef>
              <c:f>Sheet1!$B$1</c:f>
              <c:strCache>
                <c:ptCount val="1"/>
                <c:pt idx="0">
                  <c:v>金额</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dPt>
            <c:idx val="2"/>
            <c:spPr>
              <a:solidFill>
                <a:schemeClr val="accent3"/>
              </a:solidFill>
              <a:ln>
                <a:solidFill>
                  <a:schemeClr val="bg1"/>
                </a:solidFill>
              </a:ln>
              <a:effectLst/>
            </c:spPr>
          </c:dPt>
          <c:dPt>
            <c:idx val="3"/>
            <c:spPr>
              <a:solidFill>
                <a:schemeClr val="accent4"/>
              </a:solidFill>
              <a:ln>
                <a:solidFill>
                  <a:schemeClr val="bg1"/>
                </a:solidFill>
              </a:ln>
              <a:effectLst/>
            </c:spPr>
          </c:dPt>
          <c:dPt>
            <c:idx val="4"/>
            <c:spPr>
              <a:solidFill>
                <a:schemeClr val="accent5"/>
              </a:solidFill>
              <a:ln>
                <a:solidFill>
                  <a:schemeClr val="bg1"/>
                </a:solidFill>
              </a:ln>
              <a:effectLst/>
            </c:spPr>
          </c:dPt>
          <c:dPt>
            <c:idx val="5"/>
            <c:spPr>
              <a:solidFill>
                <a:schemeClr val="accent6"/>
              </a:solidFill>
              <a:ln>
                <a:solidFill>
                  <a:schemeClr val="bg1"/>
                </a:solidFill>
              </a:ln>
              <a:effectLst/>
            </c:spPr>
          </c:dPt>
          <c:dLbls>
            <c:dLbl>
              <c:idx val="0"/>
              <c:layout>
                <c:manualLayout>
                  <c:x val="0.32012553940302402"/>
                  <c:y val="0.72690713982147803"/>
                </c:manualLayout>
              </c:layout>
              <c:dLblPos val="bestFit"/>
              <c:showLegendKey val="1"/>
              <c:showCatName val="1"/>
              <c:showPercent val="1"/>
              <c:separator> </c:separator>
              <c:extLst>
                <c:ext xmlns:c15="http://schemas.microsoft.com/office/drawing/2012/chart" uri="{CE6537A1-D6FC-4f65-9D91-7224C49458BB}">
                  <c15:layout/>
                </c:ext>
              </c:extLst>
            </c:dLbl>
            <c:dLbl>
              <c:idx val="1"/>
              <c:delete val="1"/>
              <c:extLst>
                <c:ext xmlns:c15="http://schemas.microsoft.com/office/drawing/2012/chart" uri="{CE6537A1-D6FC-4f65-9D91-7224C49458BB}">
                  <c15:layout/>
                </c:ext>
              </c:extLst>
            </c:dLbl>
            <c:dLbl>
              <c:idx val="2"/>
              <c:delete val="1"/>
              <c:extLst>
                <c:ext xmlns:c15="http://schemas.microsoft.com/office/drawing/2012/chart" uri="{CE6537A1-D6FC-4f65-9D91-7224C49458BB}">
                  <c15:layout>
                    <c:manualLayout>
                      <c:w val="0.19545300797294"/>
                      <c:h val="0.137059073523162"/>
                    </c:manualLayout>
                  </c15:layout>
                </c:ext>
              </c:extLst>
            </c:dLbl>
            <c:dLbl>
              <c:idx val="3"/>
              <c:delete val="1"/>
              <c:extLst>
                <c:ext xmlns:c15="http://schemas.microsoft.com/office/drawing/2012/chart" uri="{CE6537A1-D6FC-4f65-9D91-7224C49458BB}">
                  <c15:layout>
                    <c:manualLayout>
                      <c:w val="0.19545300797294"/>
                      <c:h val="0.110709732256694"/>
                    </c:manualLayout>
                  </c15:layout>
                </c:ext>
              </c:extLst>
            </c:dLbl>
            <c:dLbl>
              <c:idx val="4"/>
              <c:delete val="1"/>
              <c:extLst>
                <c:ext xmlns:c15="http://schemas.microsoft.com/office/drawing/2012/chart" uri="{CE6537A1-D6FC-4f65-9D91-7224C49458BB}">
                  <c15:layout>
                    <c:manualLayout>
                      <c:w val="0.195211403720706"/>
                      <c:h val="0.154908627284318"/>
                    </c:manualLayout>
                  </c15:layout>
                </c:ext>
              </c:extLst>
            </c:dLbl>
            <c:dLbl>
              <c:idx val="5"/>
              <c:layout>
                <c:manualLayout>
                  <c:x val="-0.28847557587838413"/>
                  <c:y val="0.12416595835101506"/>
                </c:manualLayout>
              </c:layout>
              <c:dLblPos val="bestFit"/>
              <c:showLegendKey val="1"/>
              <c:showCatName val="1"/>
              <c:showPercent val="1"/>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ctr"/>
            <c:showLegendKey val="1"/>
            <c:showCatName val="1"/>
            <c:showPercent val="1"/>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3236965.79</c:v>
                </c:pt>
                <c:pt idx="1">
                  <c:v>0</c:v>
                </c:pt>
                <c:pt idx="2">
                  <c:v>0</c:v>
                </c:pt>
                <c:pt idx="3">
                  <c:v>0</c:v>
                </c:pt>
                <c:pt idx="4">
                  <c:v>0</c:v>
                </c:pt>
                <c:pt idx="5">
                  <c:v>75217.320000000007</c:v>
                </c:pt>
              </c:numCache>
            </c:numRef>
          </c:val>
        </c:ser>
        <c:dLbls>
          <c:showVal val="1"/>
        </c:dLbls>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ayou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p>
        </c:rich>
      </c:tx>
      <c:layout/>
      <c:spPr>
        <a:noFill/>
        <a:ln>
          <a:noFill/>
        </a:ln>
        <a:effectLst/>
      </c:spPr>
    </c:title>
    <c:plotArea>
      <c:layout/>
      <c:pieChart>
        <c:varyColors val="1"/>
        <c:ser>
          <c:idx val="0"/>
          <c:order val="0"/>
          <c:tx>
            <c:strRef>
              <c:f>Sheet1!$B$1</c:f>
              <c:strCache>
                <c:ptCount val="1"/>
                <c:pt idx="0">
                  <c:v>金额</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dPt>
            <c:idx val="2"/>
            <c:spPr>
              <a:solidFill>
                <a:schemeClr val="accent3"/>
              </a:solidFill>
              <a:ln>
                <a:solidFill>
                  <a:schemeClr val="bg1"/>
                </a:solidFill>
              </a:ln>
              <a:effectLst/>
            </c:spPr>
          </c:dPt>
          <c:dPt>
            <c:idx val="3"/>
            <c:spPr>
              <a:solidFill>
                <a:schemeClr val="accent4"/>
              </a:solidFill>
              <a:ln>
                <a:solidFill>
                  <a:schemeClr val="bg1"/>
                </a:solidFill>
              </a:ln>
              <a:effectLst/>
            </c:spPr>
          </c:dPt>
          <c:dPt>
            <c:idx val="4"/>
            <c:spPr>
              <a:solidFill>
                <a:schemeClr val="accent5"/>
              </a:solidFill>
              <a:ln>
                <a:solidFill>
                  <a:schemeClr val="bg1"/>
                </a:solidFill>
              </a:ln>
              <a:effectLst/>
            </c:spPr>
          </c:dPt>
          <c:dLbls>
            <c:dLbl>
              <c:idx val="0"/>
              <c:layout>
                <c:manualLayout>
                  <c:x val="-0.13013470863858853"/>
                  <c:y val="-0.18748657267820285"/>
                </c:manualLayout>
              </c:layout>
              <c:dLblPos val="bestFit"/>
              <c:showLegendKey val="1"/>
              <c:showCatName val="1"/>
              <c:showPercent val="1"/>
              <c:separator>
</c:separator>
              <c:extLst>
                <c:ext xmlns:c15="http://schemas.microsoft.com/office/drawing/2012/chart" uri="{CE6537A1-D6FC-4f65-9D91-7224C49458BB}">
                  <c15:layout/>
                </c:ext>
              </c:extLst>
            </c:dLbl>
            <c:dLbl>
              <c:idx val="1"/>
              <c:layout>
                <c:manualLayout>
                  <c:x val="0.11065950351277362"/>
                  <c:y val="0.11918776833728763"/>
                </c:manualLayout>
              </c:layout>
              <c:dLblPos val="bestFit"/>
              <c:showLegendKey val="1"/>
              <c:showCatName val="1"/>
              <c:showPercent val="1"/>
              <c:separator>
</c:separator>
              <c:extLst>
                <c:ext xmlns:c15="http://schemas.microsoft.com/office/drawing/2012/chart" uri="{CE6537A1-D6FC-4f65-9D91-7224C49458BB}">
                  <c15:layout/>
                </c:ext>
              </c:extLst>
            </c:dLbl>
            <c:dLbl>
              <c:idx val="2"/>
              <c:delete val="1"/>
            </c:dLbl>
            <c:dLbl>
              <c:idx val="3"/>
              <c:delete val="1"/>
            </c:dLbl>
            <c:dLbl>
              <c:idx val="4"/>
              <c:delete val="1"/>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LegendKey val="1"/>
            <c:showCatName val="1"/>
            <c:showPercent val="1"/>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2541172.79</c:v>
                </c:pt>
                <c:pt idx="1">
                  <c:v>771000</c:v>
                </c:pt>
                <c:pt idx="2">
                  <c:v>0</c:v>
                </c:pt>
                <c:pt idx="3">
                  <c:v>0</c:v>
                </c:pt>
                <c:pt idx="4">
                  <c:v>0</c:v>
                </c:pt>
              </c:numCache>
            </c:numRef>
          </c:val>
        </c:ser>
        <c:dLbls>
          <c:showVal val="1"/>
        </c:dLbls>
        <c:firstSliceAng val="0"/>
      </c:pieChart>
      <c:spPr>
        <a:noFill/>
        <a:ln>
          <a:noFill/>
        </a:ln>
        <a:effectLst/>
      </c:spPr>
    </c:plotArea>
    <c:legend>
      <c:legendPos val="r"/>
      <c:legendEntry>
        <c:idx val="2"/>
        <c:delete val="1"/>
      </c:legendEntry>
      <c:legendEntry>
        <c:idx val="3"/>
        <c:delete val="1"/>
      </c:legendEntry>
      <c:legendEntry>
        <c:idx val="4"/>
        <c:delete val="1"/>
      </c:legendEntry>
      <c:layou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p>
        </c:rich>
      </c:tx>
      <c:layout/>
      <c:spPr>
        <a:noFill/>
        <a:ln>
          <a:noFill/>
        </a:ln>
        <a:effectLst/>
      </c:spPr>
    </c:title>
    <c:plotArea>
      <c:layout/>
      <c:barChart>
        <c:barDir val="col"/>
        <c:grouping val="clustered"/>
        <c:ser>
          <c:idx val="0"/>
          <c:order val="0"/>
          <c:tx>
            <c:strRef>
              <c:f>Sheet1!$B$1</c:f>
              <c:strCache>
                <c:ptCount val="1"/>
                <c:pt idx="0">
                  <c:v>2023年</c:v>
                </c:pt>
              </c:strCache>
            </c:strRef>
          </c:tx>
          <c:spPr>
            <a:solidFill>
              <a:schemeClr val="accent1"/>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329.76</c:v>
                </c:pt>
                <c:pt idx="1">
                  <c:v>329.76</c:v>
                </c:pt>
                <c:pt idx="2">
                  <c:v>329.76</c:v>
                </c:pt>
                <c:pt idx="3">
                  <c:v>329.76</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dLbls>
            <c:dLbl>
              <c:idx val="0"/>
              <c:layout>
                <c:manualLayout>
                  <c:x val="1.0872191350567805E-2"/>
                  <c:y val="3.1874203144921412E-2"/>
                </c:manualLayout>
              </c:layout>
              <c:dLblPos val="outEnd"/>
              <c:showVal val="1"/>
              <c:extLst>
                <c:ext xmlns:c15="http://schemas.microsoft.com/office/drawing/2012/chart" uri="{CE6537A1-D6FC-4f65-9D91-7224C49458BB}">
                  <c15:layout/>
                </c:ext>
              </c:extLst>
            </c:dLbl>
            <c:dLbl>
              <c:idx val="1"/>
              <c:layout>
                <c:manualLayout>
                  <c:x val="-3.6240637835225926E-3"/>
                  <c:y val="3.1874203144921412E-2"/>
                </c:manualLayout>
              </c:layout>
              <c:dLblPos val="outEnd"/>
              <c:showVal val="1"/>
              <c:extLst>
                <c:ext xmlns:c15="http://schemas.microsoft.com/office/drawing/2012/chart" uri="{CE6537A1-D6FC-4f65-9D91-7224C49458BB}">
                  <c15:layout/>
                </c:ext>
              </c:extLst>
            </c:dLbl>
            <c:dLbl>
              <c:idx val="2"/>
              <c:layout>
                <c:manualLayout>
                  <c:x val="0"/>
                  <c:y val="3.1874203144921412E-2"/>
                </c:manualLayout>
              </c:layout>
              <c:dLblPos val="outEnd"/>
              <c:showVal val="1"/>
              <c:extLst>
                <c:ext xmlns:c15="http://schemas.microsoft.com/office/drawing/2012/chart" uri="{CE6537A1-D6FC-4f65-9D91-7224C49458BB}">
                  <c15:layout/>
                </c:ext>
              </c:extLst>
            </c:dLbl>
            <c:dLbl>
              <c:idx val="3"/>
              <c:layout>
                <c:manualLayout>
                  <c:x val="-7.2481275670451808E-3"/>
                  <c:y val="3.5061623459413507E-2"/>
                </c:manualLayout>
              </c:layout>
              <c:dLblPos val="outEnd"/>
              <c:showVal val="1"/>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323.7</c:v>
                </c:pt>
                <c:pt idx="1">
                  <c:v>323.7</c:v>
                </c:pt>
                <c:pt idx="2">
                  <c:v>323.7</c:v>
                </c:pt>
                <c:pt idx="3">
                  <c:v>323.7</c:v>
                </c:pt>
                <c:pt idx="4">
                  <c:v>0</c:v>
                </c:pt>
                <c:pt idx="5">
                  <c:v>0</c:v>
                </c:pt>
                <c:pt idx="6">
                  <c:v>0</c:v>
                </c:pt>
                <c:pt idx="7">
                  <c:v>0</c:v>
                </c:pt>
              </c:numCache>
            </c:numRef>
          </c:val>
        </c:ser>
        <c:dLbls>
          <c:showVal val="1"/>
        </c:dLbls>
        <c:gapWidth val="246"/>
        <c:overlap val="-28"/>
        <c:axId val="49260800"/>
        <c:axId val="49270784"/>
      </c:barChart>
      <c:catAx>
        <c:axId val="49260800"/>
        <c:scaling>
          <c:orientation val="minMax"/>
        </c:scaling>
        <c:axPos val="b"/>
        <c:numFmt formatCode="General" sourceLinked="0"/>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9270784"/>
        <c:crosses val="autoZero"/>
        <c:auto val="1"/>
        <c:lblAlgn val="ctr"/>
        <c:lblOffset val="100"/>
      </c:catAx>
      <c:valAx>
        <c:axId val="49270784"/>
        <c:scaling>
          <c:orientation val="minMax"/>
        </c:scaling>
        <c:axPos val="l"/>
        <c:majorGridlines>
          <c:spPr>
            <a:ln w="9525" cap="flat" cmpd="sng" algn="ctr">
              <a:solidFill>
                <a:schemeClr val="lt1">
                  <a:lumMod val="90200"/>
                </a:schemeClr>
              </a:solidFill>
              <a:round/>
            </a:ln>
            <a:effectLst/>
          </c:spPr>
        </c:majorGridlines>
        <c:numFmt formatCode="General" sourceLinked="1"/>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92608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rtl="0">
              <a:defRPr lang="zh-CN" sz="900" b="0" i="0" u="none" strike="noStrike" kern="1200" baseline="0">
                <a:solidFill>
                  <a:schemeClr val="tx1">
                    <a:lumMod val="65000"/>
                    <a:lumOff val="35000"/>
                  </a:schemeClr>
                </a:solidFill>
                <a:latin typeface="+mn-lt"/>
                <a:ea typeface="+mn-ea"/>
                <a:cs typeface="+mn-cs"/>
              </a:defRPr>
            </a:pPr>
            <a:endParaRPr lang="zh-CN"/>
          </a:p>
        </c:txPr>
      </c:dTable>
      <c:spPr>
        <a:noFill/>
        <a:ln>
          <a:noFill/>
        </a:ln>
        <a:effectLst/>
      </c:spPr>
    </c:plotArea>
    <c:legend>
      <c:legendPos val="b"/>
      <c:layou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p>
        </c:rich>
      </c:tx>
      <c:layout/>
      <c:spPr>
        <a:noFill/>
        <a:ln>
          <a:noFill/>
        </a:ln>
        <a:effectLst/>
      </c:spPr>
    </c:title>
    <c:plotArea>
      <c:layout>
        <c:manualLayout>
          <c:layoutTarget val="inner"/>
          <c:xMode val="edge"/>
          <c:yMode val="edge"/>
          <c:x val="0.17641942498188007"/>
          <c:y val="0.16043348916277111"/>
          <c:w val="0.79579608601111418"/>
          <c:h val="0.47433064173395711"/>
        </c:manualLayout>
      </c:layout>
      <c:barChart>
        <c:barDir val="col"/>
        <c:grouping val="clustered"/>
        <c:ser>
          <c:idx val="0"/>
          <c:order val="0"/>
          <c:tx>
            <c:strRef>
              <c:f>Sheet1!$B$1</c:f>
              <c:strCache>
                <c:ptCount val="1"/>
                <c:pt idx="0">
                  <c:v>年初预算数</c:v>
                </c:pt>
              </c:strCache>
            </c:strRef>
          </c:tx>
          <c:spPr>
            <a:solidFill>
              <a:schemeClr val="accent1"/>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354.05</c:v>
                </c:pt>
                <c:pt idx="1">
                  <c:v>354.05</c:v>
                </c:pt>
                <c:pt idx="2">
                  <c:v>354.05</c:v>
                </c:pt>
                <c:pt idx="3">
                  <c:v>354.05</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out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323.7</c:v>
                </c:pt>
                <c:pt idx="1">
                  <c:v>323.7</c:v>
                </c:pt>
                <c:pt idx="2">
                  <c:v>323.7</c:v>
                </c:pt>
                <c:pt idx="3">
                  <c:v>323.7</c:v>
                </c:pt>
                <c:pt idx="4">
                  <c:v>0</c:v>
                </c:pt>
                <c:pt idx="5">
                  <c:v>0</c:v>
                </c:pt>
                <c:pt idx="6">
                  <c:v>0</c:v>
                </c:pt>
                <c:pt idx="7">
                  <c:v>0</c:v>
                </c:pt>
              </c:numCache>
            </c:numRef>
          </c:val>
        </c:ser>
        <c:dLbls>
          <c:showVal val="1"/>
        </c:dLbls>
        <c:axId val="49355392"/>
        <c:axId val="49361280"/>
      </c:barChart>
      <c:catAx>
        <c:axId val="49355392"/>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9361280"/>
        <c:crosses val="autoZero"/>
        <c:auto val="1"/>
        <c:lblAlgn val="ctr"/>
        <c:lblOffset val="100"/>
      </c:catAx>
      <c:valAx>
        <c:axId val="49361280"/>
        <c:scaling>
          <c:orientation val="minMax"/>
        </c:scaling>
        <c:axPos val="l"/>
        <c:majorGridlines>
          <c:spPr>
            <a:ln w="9525" cap="flat" cmpd="sng" algn="ctr">
              <a:solidFill>
                <a:schemeClr val="lt1">
                  <a:lumMod val="902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4935539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rtl="0">
              <a:defRPr lang="zh-CN" sz="900" b="0" i="0" u="none" strike="noStrike" kern="1200" baseline="0">
                <a:solidFill>
                  <a:schemeClr val="tx1">
                    <a:lumMod val="65000"/>
                    <a:lumOff val="35000"/>
                  </a:schemeClr>
                </a:solidFill>
                <a:latin typeface="+mn-lt"/>
                <a:ea typeface="+mn-ea"/>
                <a:cs typeface="+mn-cs"/>
              </a:defRPr>
            </a:pPr>
            <a:endParaRPr lang="zh-CN"/>
          </a:p>
        </c:txPr>
      </c:dTable>
      <c:spPr>
        <a:noFill/>
        <a:ln>
          <a:noFill/>
        </a:ln>
        <a:effectLst/>
      </c:spPr>
    </c:plotArea>
    <c:plotVisOnly val="1"/>
    <c:dispBlanksAs val="gap"/>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p>
        </c:rich>
      </c:tx>
      <c:layout/>
      <c:spPr>
        <a:noFill/>
        <a:ln>
          <a:noFill/>
        </a:ln>
        <a:effectLst/>
      </c:spPr>
    </c:title>
    <c:plotArea>
      <c:layout/>
      <c:pieChart>
        <c:varyColors val="1"/>
        <c:ser>
          <c:idx val="0"/>
          <c:order val="0"/>
          <c:tx>
            <c:strRef>
              <c:f>Sheet1!$B$1</c:f>
              <c:strCache>
                <c:ptCount val="1"/>
                <c:pt idx="0">
                  <c:v>金额</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dPt>
            <c:idx val="2"/>
            <c:spPr>
              <a:solidFill>
                <a:schemeClr val="accent3"/>
              </a:solidFill>
              <a:ln>
                <a:solidFill>
                  <a:schemeClr val="bg1"/>
                </a:solidFill>
              </a:ln>
              <a:effectLst/>
            </c:spPr>
          </c:dPt>
          <c:dPt>
            <c:idx val="3"/>
            <c:spPr>
              <a:solidFill>
                <a:schemeClr val="accent4"/>
              </a:solidFill>
              <a:ln>
                <a:solidFill>
                  <a:schemeClr val="bg1"/>
                </a:solidFill>
              </a:ln>
              <a:effectLst/>
            </c:spPr>
          </c:dPt>
          <c:dPt>
            <c:idx val="4"/>
            <c:spPr>
              <a:solidFill>
                <a:schemeClr val="accent5"/>
              </a:solidFill>
              <a:ln>
                <a:solidFill>
                  <a:schemeClr val="bg1"/>
                </a:solidFill>
              </a:ln>
              <a:effectLst/>
            </c:spPr>
          </c:dPt>
          <c:dPt>
            <c:idx val="5"/>
            <c:spPr>
              <a:solidFill>
                <a:schemeClr val="accent6"/>
              </a:solidFill>
              <a:ln>
                <a:solidFill>
                  <a:schemeClr val="bg1"/>
                </a:solidFill>
              </a:ln>
              <a:effectLst/>
            </c:spPr>
          </c:dPt>
          <c:dPt>
            <c:idx val="6"/>
            <c:spPr>
              <a:solidFill>
                <a:schemeClr val="accent1">
                  <a:lumMod val="60000"/>
                </a:schemeClr>
              </a:solidFill>
              <a:ln>
                <a:solidFill>
                  <a:schemeClr val="bg1"/>
                </a:solidFill>
              </a:ln>
              <a:effectLst/>
            </c:spPr>
          </c:dPt>
          <c:dPt>
            <c:idx val="7"/>
            <c:spPr>
              <a:solidFill>
                <a:schemeClr val="accent2">
                  <a:lumMod val="60000"/>
                </a:schemeClr>
              </a:solidFill>
              <a:ln>
                <a:solidFill>
                  <a:schemeClr val="bg1"/>
                </a:solidFill>
              </a:ln>
              <a:effectLst/>
            </c:spPr>
          </c:dPt>
          <c:dPt>
            <c:idx val="8"/>
            <c:spPr>
              <a:solidFill>
                <a:schemeClr val="accent3">
                  <a:lumMod val="60000"/>
                </a:schemeClr>
              </a:solidFill>
              <a:ln>
                <a:solidFill>
                  <a:schemeClr val="bg1"/>
                </a:solidFill>
              </a:ln>
              <a:effectLst/>
            </c:spPr>
          </c:dPt>
          <c:dPt>
            <c:idx val="9"/>
            <c:spPr>
              <a:solidFill>
                <a:schemeClr val="accent4">
                  <a:lumMod val="60000"/>
                </a:schemeClr>
              </a:solidFill>
              <a:ln>
                <a:solidFill>
                  <a:schemeClr val="bg1"/>
                </a:solidFill>
              </a:ln>
              <a:effectLst/>
            </c:spPr>
          </c:dPt>
          <c:dPt>
            <c:idx val="10"/>
            <c:spPr>
              <a:solidFill>
                <a:schemeClr val="accent5">
                  <a:lumMod val="60000"/>
                </a:schemeClr>
              </a:solidFill>
              <a:ln>
                <a:solidFill>
                  <a:schemeClr val="bg1"/>
                </a:solidFill>
              </a:ln>
              <a:effectLst/>
            </c:spPr>
          </c:dPt>
          <c:dPt>
            <c:idx val="11"/>
            <c:spPr>
              <a:solidFill>
                <a:schemeClr val="accent6">
                  <a:lumMod val="60000"/>
                </a:schemeClr>
              </a:solidFill>
              <a:ln>
                <a:solidFill>
                  <a:schemeClr val="bg1"/>
                </a:solidFill>
              </a:ln>
              <a:effectLst/>
            </c:spPr>
          </c:dPt>
          <c:dPt>
            <c:idx val="12"/>
            <c:spPr>
              <a:solidFill>
                <a:schemeClr val="accent1">
                  <a:lumMod val="80000"/>
                  <a:lumOff val="20000"/>
                </a:schemeClr>
              </a:solidFill>
              <a:ln>
                <a:solidFill>
                  <a:schemeClr val="bg1"/>
                </a:solidFill>
              </a:ln>
              <a:effectLst/>
            </c:spPr>
          </c:dPt>
          <c:dPt>
            <c:idx val="13"/>
            <c:spPr>
              <a:solidFill>
                <a:schemeClr val="accent2">
                  <a:lumMod val="80000"/>
                  <a:lumOff val="20000"/>
                </a:schemeClr>
              </a:solidFill>
              <a:ln>
                <a:solidFill>
                  <a:schemeClr val="bg1"/>
                </a:solidFill>
              </a:ln>
              <a:effectLst/>
            </c:spPr>
          </c:dPt>
          <c:dPt>
            <c:idx val="14"/>
            <c:spPr>
              <a:solidFill>
                <a:schemeClr val="accent3">
                  <a:lumMod val="80000"/>
                  <a:lumOff val="20000"/>
                </a:schemeClr>
              </a:solidFill>
              <a:ln>
                <a:solidFill>
                  <a:schemeClr val="bg1"/>
                </a:solidFill>
              </a:ln>
              <a:effectLst/>
            </c:spPr>
          </c:dPt>
          <c:dPt>
            <c:idx val="15"/>
            <c:spPr>
              <a:solidFill>
                <a:schemeClr val="accent4">
                  <a:lumMod val="80000"/>
                  <a:lumOff val="20000"/>
                </a:schemeClr>
              </a:solidFill>
              <a:ln>
                <a:solidFill>
                  <a:schemeClr val="bg1"/>
                </a:solidFill>
              </a:ln>
              <a:effectLst/>
            </c:spPr>
          </c:dPt>
          <c:dPt>
            <c:idx val="16"/>
            <c:spPr>
              <a:solidFill>
                <a:schemeClr val="accent5">
                  <a:lumMod val="80000"/>
                  <a:lumOff val="20000"/>
                </a:schemeClr>
              </a:solidFill>
              <a:ln>
                <a:solidFill>
                  <a:schemeClr val="bg1"/>
                </a:solidFill>
              </a:ln>
              <a:effectLst/>
            </c:spPr>
          </c:dPt>
          <c:dPt>
            <c:idx val="17"/>
            <c:spPr>
              <a:solidFill>
                <a:schemeClr val="accent6">
                  <a:lumMod val="80000"/>
                  <a:lumOff val="20000"/>
                </a:schemeClr>
              </a:solidFill>
              <a:ln>
                <a:solidFill>
                  <a:schemeClr val="bg1"/>
                </a:solidFill>
              </a:ln>
              <a:effectLst/>
            </c:spPr>
          </c:dPt>
          <c:dPt>
            <c:idx val="18"/>
            <c:spPr>
              <a:solidFill>
                <a:schemeClr val="accent1">
                  <a:lumMod val="80000"/>
                </a:schemeClr>
              </a:solidFill>
              <a:ln>
                <a:solidFill>
                  <a:schemeClr val="bg1"/>
                </a:solidFill>
              </a:ln>
              <a:effectLst/>
            </c:spPr>
          </c:dPt>
          <c:dPt>
            <c:idx val="19"/>
            <c:spPr>
              <a:solidFill>
                <a:schemeClr val="accent2">
                  <a:lumMod val="80000"/>
                </a:schemeClr>
              </a:solidFill>
              <a:ln>
                <a:solidFill>
                  <a:schemeClr val="bg1"/>
                </a:solidFill>
              </a:ln>
              <a:effectLst/>
            </c:spPr>
          </c:dPt>
          <c:dPt>
            <c:idx val="20"/>
            <c:spPr>
              <a:solidFill>
                <a:schemeClr val="accent3">
                  <a:lumMod val="80000"/>
                </a:schemeClr>
              </a:solidFill>
              <a:ln>
                <a:solidFill>
                  <a:schemeClr val="bg1"/>
                </a:solidFill>
              </a:ln>
              <a:effectLst/>
            </c:spPr>
          </c:dPt>
          <c:dPt>
            <c:idx val="21"/>
            <c:spPr>
              <a:solidFill>
                <a:schemeClr val="accent4">
                  <a:lumMod val="80000"/>
                </a:schemeClr>
              </a:solidFill>
              <a:ln>
                <a:solidFill>
                  <a:schemeClr val="bg1"/>
                </a:solidFill>
              </a:ln>
              <a:effectLst/>
            </c:spPr>
          </c:dPt>
          <c:dPt>
            <c:idx val="22"/>
            <c:spPr>
              <a:solidFill>
                <a:schemeClr val="accent5">
                  <a:lumMod val="80000"/>
                </a:schemeClr>
              </a:solidFill>
              <a:ln>
                <a:solidFill>
                  <a:schemeClr val="bg1"/>
                </a:solidFill>
              </a:ln>
              <a:effectLst/>
            </c:spPr>
          </c:dPt>
          <c:dPt>
            <c:idx val="23"/>
            <c:spPr>
              <a:solidFill>
                <a:schemeClr val="accent6">
                  <a:lumMod val="80000"/>
                </a:schemeClr>
              </a:solidFill>
              <a:ln>
                <a:solidFill>
                  <a:schemeClr val="bg1"/>
                </a:solidFill>
              </a:ln>
              <a:effectLst/>
            </c:spPr>
          </c:dPt>
          <c:dPt>
            <c:idx val="24"/>
            <c:spPr>
              <a:solidFill>
                <a:schemeClr val="accent1">
                  <a:lumMod val="60000"/>
                  <a:lumOff val="40000"/>
                </a:schemeClr>
              </a:solidFill>
              <a:ln>
                <a:solidFill>
                  <a:schemeClr val="bg1"/>
                </a:solidFill>
              </a:ln>
              <a:effectLst/>
            </c:spPr>
          </c:dPt>
          <c:dPt>
            <c:idx val="25"/>
            <c:spPr>
              <a:solidFill>
                <a:schemeClr val="accent2">
                  <a:lumMod val="60000"/>
                  <a:lumOff val="40000"/>
                </a:schemeClr>
              </a:solidFill>
              <a:ln>
                <a:solidFill>
                  <a:schemeClr val="bg1"/>
                </a:solidFill>
              </a:ln>
              <a:effectLst/>
            </c:spPr>
          </c:dPt>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273.57</c:v>
                </c:pt>
                <c:pt idx="1">
                  <c:v>0</c:v>
                </c:pt>
                <c:pt idx="2">
                  <c:v>0</c:v>
                </c:pt>
                <c:pt idx="3">
                  <c:v>0</c:v>
                </c:pt>
                <c:pt idx="4">
                  <c:v>0</c:v>
                </c:pt>
                <c:pt idx="5">
                  <c:v>0</c:v>
                </c:pt>
                <c:pt idx="6">
                  <c:v>0</c:v>
                </c:pt>
                <c:pt idx="7">
                  <c:v>42.42</c:v>
                </c:pt>
                <c:pt idx="8">
                  <c:v>0</c:v>
                </c:pt>
                <c:pt idx="9">
                  <c:v>0</c:v>
                </c:pt>
                <c:pt idx="10">
                  <c:v>0</c:v>
                </c:pt>
                <c:pt idx="11">
                  <c:v>0</c:v>
                </c:pt>
                <c:pt idx="12">
                  <c:v>0</c:v>
                </c:pt>
                <c:pt idx="13">
                  <c:v>0</c:v>
                </c:pt>
                <c:pt idx="14">
                  <c:v>0</c:v>
                </c:pt>
                <c:pt idx="15">
                  <c:v>0</c:v>
                </c:pt>
                <c:pt idx="16">
                  <c:v>0</c:v>
                </c:pt>
                <c:pt idx="17">
                  <c:v>0</c:v>
                </c:pt>
                <c:pt idx="18">
                  <c:v>7.71</c:v>
                </c:pt>
                <c:pt idx="19">
                  <c:v>0</c:v>
                </c:pt>
                <c:pt idx="20">
                  <c:v>0</c:v>
                </c:pt>
                <c:pt idx="21">
                  <c:v>0</c:v>
                </c:pt>
                <c:pt idx="22">
                  <c:v>0</c:v>
                </c:pt>
                <c:pt idx="23">
                  <c:v>0</c:v>
                </c:pt>
                <c:pt idx="24">
                  <c:v>0</c:v>
                </c:pt>
                <c:pt idx="25">
                  <c:v>0</c:v>
                </c:pt>
              </c:numCache>
            </c:numRef>
          </c:val>
        </c:ser>
        <c:firstSliceAng val="0"/>
      </c:pieChart>
      <c:spPr>
        <a:noFill/>
        <a:ln>
          <a:noFill/>
        </a:ln>
        <a:effectLst/>
      </c:spPr>
    </c:plotArea>
    <c:legend>
      <c:legendPos val="r"/>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ayou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46</Pages>
  <Words>13596</Words>
  <Characters>7947</Characters>
  <Application>Microsoft Office Word</Application>
  <DocSecurity>0</DocSecurity>
  <Lines>66</Lines>
  <Paragraphs>42</Paragraphs>
  <ScaleCrop>false</ScaleCrop>
  <Company>神州网信技术有限公司</Company>
  <LinksUpToDate>false</LinksUpToDate>
  <CharactersWithSpaces>21501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王明新TIAD</dc:creator>
  <cp:lastModifiedBy>Windows 用户</cp:lastModifiedBy>
  <cp:revision>27</cp:revision>
  <cp:lastPrinted>2025-11-20T07:16:00Z</cp:lastPrinted>
  <dcterms:created xsi:type="dcterms:W3CDTF">2023-08-04T07:55:00Z</dcterms:created>
  <dcterms:modified xsi:type="dcterms:W3CDTF">2025-11-24T08:25:00Z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B9D4097774744A28A58B1072CF95DB35_13</vt:lpwstr>
  </property>
  <property fmtid="{D5CDD505-2E9C-101B-9397-08002B2CF9AE}" pid="4" name="KSOTemplateUUID">
    <vt:lpwstr>v1.0_mb_S7ajbG3IpAnL1wSthNCxfw==</vt:lpwstr>
  </property>
  <property fmtid="{D5CDD505-2E9C-101B-9397-08002B2CF9AE}" pid="5" name="KSOTemplateDocerSaveRecord">
    <vt:lpwstr>eyJoZGlkIjoiM2YyMzM1MDQ5NmRlNmU5NjdjNDI0NWFkZTQ2N2NiMzYiLCJ1c2VySWQiOiI0NTM5NzkyMDkifQ==</vt:lpwstr>
  </property>
</Properties>
</file>