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eastAsia="方正小标宋_GBK"/>
          <w:sz w:val="52"/>
          <w:szCs w:val="52"/>
        </w:rPr>
      </w:pPr>
    </w:p>
    <w:p>
      <w:pPr>
        <w:jc w:val="center"/>
        <w:rPr>
          <w:rFonts w:ascii="宋体" w:cs="宋体"/>
          <w:b/>
          <w:bCs/>
          <w:sz w:val="44"/>
          <w:szCs w:val="44"/>
        </w:rPr>
      </w:pPr>
      <w:r>
        <w:rPr>
          <w:rFonts w:hint="eastAsia" w:ascii="宋体" w:hAnsi="宋体" w:cs="宋体"/>
          <w:b/>
          <w:bCs/>
          <w:sz w:val="44"/>
          <w:szCs w:val="44"/>
        </w:rPr>
        <w:t>涞源县扶贫开发办公室</w:t>
      </w:r>
    </w:p>
    <w:p>
      <w:pPr>
        <w:jc w:val="center"/>
        <w:rPr>
          <w:rFonts w:ascii="宋体" w:cs="宋体"/>
          <w:b/>
          <w:bCs/>
          <w:sz w:val="44"/>
          <w:szCs w:val="44"/>
        </w:rPr>
      </w:pPr>
      <w:r>
        <w:rPr>
          <w:rFonts w:ascii="宋体" w:hAnsi="宋体" w:cs="宋体"/>
          <w:b/>
          <w:bCs/>
          <w:sz w:val="44"/>
          <w:szCs w:val="44"/>
        </w:rPr>
        <w:t>201</w:t>
      </w:r>
      <w:r>
        <w:rPr>
          <w:rFonts w:hint="eastAsia" w:ascii="宋体" w:hAnsi="宋体" w:cs="宋体"/>
          <w:b/>
          <w:bCs/>
          <w:sz w:val="44"/>
          <w:szCs w:val="44"/>
        </w:rPr>
        <w:t>8年部门预算信息公开</w:t>
      </w:r>
    </w:p>
    <w:p>
      <w:pPr>
        <w:jc w:val="center"/>
        <w:rPr>
          <w:rFonts w:ascii="宋体" w:cs="宋体"/>
          <w:b/>
          <w:bCs/>
          <w:sz w:val="36"/>
          <w:szCs w:val="36"/>
        </w:rPr>
      </w:pPr>
    </w:p>
    <w:p>
      <w:pPr>
        <w:ind w:firstLine="640" w:firstLineChars="200"/>
        <w:rPr>
          <w:rFonts w:ascii="仿宋" w:hAnsi="仿宋" w:eastAsia="仿宋"/>
          <w:sz w:val="32"/>
          <w:szCs w:val="32"/>
        </w:rPr>
      </w:pPr>
      <w:r>
        <w:rPr>
          <w:rFonts w:hint="eastAsia" w:ascii="仿宋" w:hAnsi="仿宋" w:eastAsia="仿宋" w:cs="仿宋"/>
          <w:sz w:val="32"/>
          <w:szCs w:val="32"/>
        </w:rPr>
        <w:t>按照《预算法》规定，现将涞源县扶贫开发办公室</w:t>
      </w:r>
      <w:r>
        <w:rPr>
          <w:rFonts w:ascii="仿宋" w:hAnsi="仿宋" w:eastAsia="仿宋" w:cs="仿宋"/>
          <w:sz w:val="32"/>
          <w:szCs w:val="32"/>
        </w:rPr>
        <w:t>201</w:t>
      </w:r>
      <w:r>
        <w:rPr>
          <w:rFonts w:hint="eastAsia" w:ascii="仿宋" w:hAnsi="仿宋" w:eastAsia="仿宋" w:cs="仿宋"/>
          <w:sz w:val="32"/>
          <w:szCs w:val="32"/>
        </w:rPr>
        <w:t>8年部门预算公开如下：</w:t>
      </w:r>
    </w:p>
    <w:p>
      <w:pPr>
        <w:ind w:firstLine="787" w:firstLineChars="245"/>
        <w:rPr>
          <w:rFonts w:ascii="宋体" w:cs="宋体"/>
          <w:b/>
          <w:bCs/>
          <w:sz w:val="32"/>
          <w:szCs w:val="32"/>
        </w:rPr>
      </w:pPr>
    </w:p>
    <w:p>
      <w:pPr>
        <w:jc w:val="center"/>
        <w:rPr>
          <w:rFonts w:ascii="黑体" w:hAnsi="黑体" w:eastAsia="黑体"/>
          <w:sz w:val="32"/>
          <w:szCs w:val="32"/>
        </w:rPr>
      </w:pPr>
      <w:r>
        <w:rPr>
          <w:rFonts w:hint="eastAsia" w:ascii="黑体" w:hAnsi="黑体" w:eastAsia="黑体" w:cs="黑体"/>
          <w:sz w:val="32"/>
          <w:szCs w:val="32"/>
        </w:rPr>
        <w:t>第一部分：部门职责及机构设置情况</w:t>
      </w:r>
    </w:p>
    <w:p>
      <w:pPr>
        <w:jc w:val="center"/>
        <w:rPr>
          <w:rFonts w:ascii="黑体" w:hAnsi="黑体" w:eastAsia="黑体"/>
          <w:sz w:val="32"/>
          <w:szCs w:val="32"/>
        </w:rPr>
      </w:pPr>
    </w:p>
    <w:p>
      <w:pPr>
        <w:pStyle w:val="13"/>
        <w:numPr>
          <w:ilvl w:val="0"/>
          <w:numId w:val="1"/>
        </w:numPr>
        <w:ind w:firstLineChars="0"/>
        <w:rPr>
          <w:rFonts w:ascii="黑体" w:hAnsi="黑体" w:eastAsia="黑体"/>
          <w:sz w:val="32"/>
          <w:szCs w:val="32"/>
        </w:rPr>
      </w:pPr>
      <w:r>
        <w:rPr>
          <w:rFonts w:hint="eastAsia" w:ascii="黑体" w:hAnsi="黑体" w:eastAsia="黑体" w:cs="黑体"/>
          <w:sz w:val="32"/>
          <w:szCs w:val="32"/>
        </w:rPr>
        <w:t>部门职责</w:t>
      </w:r>
    </w:p>
    <w:p>
      <w:pPr>
        <w:spacing w:line="240" w:lineRule="atLeast"/>
        <w:ind w:firstLine="640" w:firstLineChars="200"/>
        <w:rPr>
          <w:rFonts w:ascii="仿宋" w:hAnsi="仿宋" w:eastAsia="仿宋"/>
          <w:sz w:val="32"/>
          <w:szCs w:val="32"/>
        </w:rPr>
      </w:pPr>
      <w:r>
        <w:rPr>
          <w:rFonts w:hint="eastAsia" w:ascii="仿宋" w:hAnsi="仿宋" w:eastAsia="仿宋" w:cs="仿宋"/>
          <w:sz w:val="32"/>
          <w:szCs w:val="32"/>
        </w:rPr>
        <w:t>（一）贯彻落实党和国家的扶贫方针政策，结合发展总体规划，制定并组织实施中长期及年度扶贫开发规划；</w:t>
      </w:r>
    </w:p>
    <w:p>
      <w:pPr>
        <w:spacing w:line="240" w:lineRule="atLeast"/>
        <w:ind w:firstLine="640" w:firstLineChars="200"/>
        <w:rPr>
          <w:rFonts w:ascii="仿宋" w:hAnsi="仿宋" w:eastAsia="仿宋"/>
          <w:sz w:val="32"/>
          <w:szCs w:val="32"/>
        </w:rPr>
      </w:pPr>
      <w:r>
        <w:rPr>
          <w:rFonts w:hint="eastAsia" w:ascii="仿宋" w:hAnsi="仿宋" w:eastAsia="仿宋" w:cs="仿宋"/>
          <w:sz w:val="32"/>
          <w:szCs w:val="32"/>
        </w:rPr>
        <w:t>（二）负责组织扶贫开发项目的计划、立项、考察、评估、论证、审批、和上报，并组织检查项目实施，建立项目库，提供项目资料；</w:t>
      </w:r>
    </w:p>
    <w:p>
      <w:pPr>
        <w:spacing w:line="240" w:lineRule="atLeast"/>
        <w:ind w:firstLine="640" w:firstLineChars="200"/>
        <w:rPr>
          <w:rFonts w:ascii="仿宋" w:hAnsi="仿宋" w:eastAsia="仿宋"/>
          <w:sz w:val="32"/>
          <w:szCs w:val="32"/>
        </w:rPr>
      </w:pPr>
      <w:r>
        <w:rPr>
          <w:rFonts w:hint="eastAsia" w:ascii="仿宋" w:hAnsi="仿宋" w:eastAsia="仿宋" w:cs="仿宋"/>
          <w:sz w:val="32"/>
          <w:szCs w:val="32"/>
        </w:rPr>
        <w:t>（三）加强扶贫开发项目资金管理，把握扶贫资金投向，督促检查扶贫资金的落实，提高项目资金使用效益；</w:t>
      </w:r>
    </w:p>
    <w:p>
      <w:pPr>
        <w:spacing w:line="240" w:lineRule="atLeast"/>
        <w:ind w:firstLine="640" w:firstLineChars="200"/>
        <w:rPr>
          <w:rFonts w:ascii="仿宋" w:hAnsi="仿宋" w:eastAsia="仿宋"/>
          <w:sz w:val="32"/>
          <w:szCs w:val="32"/>
        </w:rPr>
      </w:pPr>
      <w:r>
        <w:rPr>
          <w:rFonts w:hint="eastAsia" w:ascii="仿宋" w:hAnsi="仿宋" w:eastAsia="仿宋" w:cs="仿宋"/>
          <w:sz w:val="32"/>
          <w:szCs w:val="32"/>
        </w:rPr>
        <w:t>（四）组织协调社会各界开展社会帮扶扶贫工作；</w:t>
      </w:r>
    </w:p>
    <w:p>
      <w:pPr>
        <w:spacing w:line="240" w:lineRule="atLeast"/>
        <w:ind w:firstLine="640" w:firstLineChars="200"/>
        <w:rPr>
          <w:rFonts w:ascii="仿宋" w:hAnsi="仿宋" w:eastAsia="仿宋"/>
          <w:sz w:val="32"/>
          <w:szCs w:val="32"/>
        </w:rPr>
      </w:pPr>
      <w:r>
        <w:rPr>
          <w:rFonts w:hint="eastAsia" w:ascii="仿宋" w:hAnsi="仿宋" w:eastAsia="仿宋" w:cs="仿宋"/>
          <w:sz w:val="32"/>
          <w:szCs w:val="32"/>
        </w:rPr>
        <w:t>（五）搞好调查研究，总结推广扶贫开发工作经验，为县委、县政府提高决策依据。</w:t>
      </w:r>
    </w:p>
    <w:p>
      <w:pPr>
        <w:rPr>
          <w:rFonts w:ascii="黑体" w:hAnsi="黑体" w:eastAsia="黑体"/>
          <w:sz w:val="32"/>
          <w:szCs w:val="32"/>
        </w:rPr>
      </w:pPr>
      <w:r>
        <w:rPr>
          <w:rFonts w:hint="eastAsia" w:ascii="黑体" w:hAnsi="黑体" w:eastAsia="黑体" w:cs="黑体"/>
          <w:sz w:val="32"/>
          <w:szCs w:val="32"/>
        </w:rPr>
        <w:t>二</w:t>
      </w:r>
      <w:r>
        <w:rPr>
          <w:rFonts w:hint="eastAsia" w:ascii="方正小标宋_GBK" w:eastAsia="方正小标宋_GBK" w:cs="方正小标宋_GBK"/>
          <w:sz w:val="44"/>
          <w:szCs w:val="44"/>
        </w:rPr>
        <w:t>、</w:t>
      </w:r>
      <w:r>
        <w:rPr>
          <w:rFonts w:hint="eastAsia" w:ascii="黑体" w:hAnsi="黑体" w:eastAsia="黑体" w:cs="黑体"/>
          <w:sz w:val="32"/>
          <w:szCs w:val="32"/>
        </w:rPr>
        <w:t>机构设置</w:t>
      </w:r>
    </w:p>
    <w:p>
      <w:pPr>
        <w:jc w:val="center"/>
        <w:outlineLvl w:val="0"/>
        <w:rPr>
          <w:rFonts w:ascii="方正小标宋_GBK" w:eastAsia="方正小标宋_GBK"/>
          <w:sz w:val="32"/>
          <w:szCs w:val="32"/>
        </w:rPr>
      </w:pPr>
      <w:r>
        <w:rPr>
          <w:rFonts w:hint="eastAsia" w:ascii="方正小标宋_GBK" w:eastAsia="方正小标宋_GBK" w:cs="方正小标宋_GBK"/>
          <w:sz w:val="32"/>
          <w:szCs w:val="32"/>
        </w:rPr>
        <w:t>部门机构设置情况</w:t>
      </w:r>
    </w:p>
    <w:tbl>
      <w:tblPr>
        <w:tblStyle w:val="7"/>
        <w:tblW w:w="85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00" w:hRule="atLeast"/>
          <w:tblHeader/>
          <w:jc w:val="center"/>
        </w:trPr>
        <w:tc>
          <w:tcPr>
            <w:tcW w:w="3827" w:type="dxa"/>
            <w:vMerge w:val="restart"/>
            <w:vAlign w:val="center"/>
          </w:tcPr>
          <w:p>
            <w:pPr>
              <w:spacing w:line="300" w:lineRule="exact"/>
              <w:jc w:val="center"/>
              <w:rPr>
                <w:rFonts w:ascii="方正书宋_GBK" w:eastAsia="方正书宋_GBK"/>
                <w:b/>
                <w:bCs/>
              </w:rPr>
            </w:pPr>
            <w:r>
              <w:rPr>
                <w:rFonts w:hint="eastAsia" w:ascii="方正书宋_GBK" w:eastAsia="方正书宋_GBK" w:cs="方正书宋_GBK"/>
                <w:b/>
                <w:bCs/>
              </w:rPr>
              <w:t>单位名称</w:t>
            </w:r>
          </w:p>
        </w:tc>
        <w:tc>
          <w:tcPr>
            <w:tcW w:w="1134" w:type="dxa"/>
            <w:vMerge w:val="restart"/>
            <w:vAlign w:val="center"/>
          </w:tcPr>
          <w:p>
            <w:pPr>
              <w:spacing w:line="300" w:lineRule="exact"/>
              <w:jc w:val="center"/>
              <w:rPr>
                <w:rFonts w:ascii="方正书宋_GBK" w:eastAsia="方正书宋_GBK"/>
                <w:b/>
                <w:bCs/>
              </w:rPr>
            </w:pPr>
            <w:r>
              <w:rPr>
                <w:rFonts w:hint="eastAsia" w:ascii="方正书宋_GBK" w:eastAsia="方正书宋_GBK" w:cs="方正书宋_GBK"/>
                <w:b/>
                <w:bCs/>
              </w:rPr>
              <w:t>单位性质</w:t>
            </w:r>
          </w:p>
        </w:tc>
        <w:tc>
          <w:tcPr>
            <w:tcW w:w="1276" w:type="dxa"/>
            <w:vMerge w:val="restart"/>
            <w:vAlign w:val="center"/>
          </w:tcPr>
          <w:p>
            <w:pPr>
              <w:spacing w:line="300" w:lineRule="exact"/>
              <w:jc w:val="center"/>
              <w:rPr>
                <w:rFonts w:ascii="方正书宋_GBK" w:eastAsia="方正书宋_GBK"/>
                <w:b/>
                <w:bCs/>
              </w:rPr>
            </w:pPr>
            <w:r>
              <w:rPr>
                <w:rFonts w:hint="eastAsia" w:ascii="方正书宋_GBK" w:eastAsia="方正书宋_GBK" w:cs="方正书宋_GBK"/>
                <w:b/>
                <w:bCs/>
              </w:rPr>
              <w:t>单位规格</w:t>
            </w:r>
          </w:p>
        </w:tc>
        <w:tc>
          <w:tcPr>
            <w:tcW w:w="2353" w:type="dxa"/>
            <w:vMerge w:val="restart"/>
            <w:vAlign w:val="center"/>
          </w:tcPr>
          <w:p>
            <w:pPr>
              <w:spacing w:line="300" w:lineRule="exact"/>
              <w:jc w:val="center"/>
              <w:rPr>
                <w:rFonts w:ascii="方正书宋_GBK" w:eastAsia="方正书宋_GBK"/>
                <w:b/>
                <w:bCs/>
              </w:rPr>
            </w:pPr>
            <w:r>
              <w:rPr>
                <w:rFonts w:hint="eastAsia" w:ascii="方正书宋_GBK" w:eastAsia="方正书宋_GBK" w:cs="方正书宋_GBK"/>
                <w:b/>
                <w:bCs/>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00" w:hRule="atLeast"/>
          <w:tblHeader/>
          <w:jc w:val="center"/>
        </w:trPr>
        <w:tc>
          <w:tcPr>
            <w:tcW w:w="3827" w:type="dxa"/>
            <w:vMerge w:val="continue"/>
            <w:vAlign w:val="center"/>
          </w:tcPr>
          <w:p>
            <w:pPr>
              <w:spacing w:line="300" w:lineRule="exact"/>
              <w:jc w:val="left"/>
              <w:outlineLvl w:val="0"/>
            </w:pPr>
          </w:p>
        </w:tc>
        <w:tc>
          <w:tcPr>
            <w:tcW w:w="1134" w:type="dxa"/>
            <w:vMerge w:val="continue"/>
            <w:vAlign w:val="center"/>
          </w:tcPr>
          <w:p>
            <w:pPr>
              <w:spacing w:line="300" w:lineRule="exact"/>
              <w:jc w:val="left"/>
              <w:outlineLvl w:val="0"/>
            </w:pPr>
          </w:p>
        </w:tc>
        <w:tc>
          <w:tcPr>
            <w:tcW w:w="1276" w:type="dxa"/>
            <w:vMerge w:val="continue"/>
            <w:vAlign w:val="center"/>
          </w:tcPr>
          <w:p>
            <w:pPr>
              <w:spacing w:line="300" w:lineRule="exact"/>
              <w:jc w:val="left"/>
              <w:outlineLvl w:val="0"/>
            </w:pPr>
          </w:p>
        </w:tc>
        <w:tc>
          <w:tcPr>
            <w:tcW w:w="2353" w:type="dxa"/>
            <w:vMerge w:val="continue"/>
            <w:vAlign w:val="center"/>
          </w:tcPr>
          <w:p>
            <w:pPr>
              <w:spacing w:line="300" w:lineRule="exact"/>
              <w:jc w:val="left"/>
              <w:outlineLvl w:val="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3827" w:type="dxa"/>
            <w:vAlign w:val="center"/>
          </w:tcPr>
          <w:p>
            <w:pPr>
              <w:spacing w:line="300" w:lineRule="exact"/>
              <w:jc w:val="center"/>
              <w:rPr>
                <w:rFonts w:ascii="方正书宋_GBK" w:eastAsia="方正书宋_GBK"/>
                <w:b/>
                <w:bCs/>
              </w:rPr>
            </w:pPr>
            <w:r>
              <w:rPr>
                <w:rFonts w:hint="eastAsia" w:ascii="方正书宋_GBK" w:eastAsia="方正书宋_GBK" w:cs="方正书宋_GBK"/>
                <w:b/>
                <w:bCs/>
              </w:rPr>
              <w:t>合</w:t>
            </w:r>
            <w:r>
              <w:rPr>
                <w:rFonts w:ascii="方正书宋_GBK" w:eastAsia="方正书宋_GBK" w:cs="方正书宋_GBK"/>
                <w:b/>
                <w:bCs/>
              </w:rPr>
              <w:t xml:space="preserve">    </w:t>
            </w:r>
            <w:r>
              <w:rPr>
                <w:rFonts w:hint="eastAsia" w:ascii="方正书宋_GBK" w:eastAsia="方正书宋_GBK" w:cs="方正书宋_GBK"/>
                <w:b/>
                <w:bCs/>
              </w:rPr>
              <w:t>计</w:t>
            </w:r>
          </w:p>
        </w:tc>
        <w:tc>
          <w:tcPr>
            <w:tcW w:w="1134" w:type="dxa"/>
            <w:vAlign w:val="center"/>
          </w:tcPr>
          <w:p>
            <w:pPr>
              <w:spacing w:line="300" w:lineRule="exact"/>
              <w:jc w:val="center"/>
              <w:rPr>
                <w:rFonts w:ascii="方正书宋_GBK" w:eastAsia="方正书宋_GBK"/>
                <w:b/>
                <w:bCs/>
              </w:rPr>
            </w:pPr>
          </w:p>
        </w:tc>
        <w:tc>
          <w:tcPr>
            <w:tcW w:w="1276" w:type="dxa"/>
            <w:vAlign w:val="center"/>
          </w:tcPr>
          <w:p>
            <w:pPr>
              <w:spacing w:line="300" w:lineRule="exact"/>
              <w:jc w:val="center"/>
              <w:rPr>
                <w:rFonts w:ascii="方正书宋_GBK" w:eastAsia="方正书宋_GBK"/>
                <w:b/>
                <w:bCs/>
              </w:rPr>
            </w:pPr>
          </w:p>
        </w:tc>
        <w:tc>
          <w:tcPr>
            <w:tcW w:w="2353" w:type="dxa"/>
            <w:vAlign w:val="center"/>
          </w:tcPr>
          <w:p>
            <w:pPr>
              <w:spacing w:line="300" w:lineRule="exact"/>
              <w:jc w:val="center"/>
              <w:rPr>
                <w:rFonts w:ascii="方正书宋_GBK" w:eastAsia="方正书宋_GBK"/>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3827" w:type="dxa"/>
            <w:vAlign w:val="center"/>
          </w:tcPr>
          <w:p>
            <w:pPr>
              <w:spacing w:line="300" w:lineRule="exact"/>
              <w:jc w:val="left"/>
              <w:rPr>
                <w:rFonts w:ascii="方正书宋_GBK" w:eastAsia="方正书宋_GBK"/>
              </w:rPr>
            </w:pPr>
            <w:r>
              <w:rPr>
                <w:rFonts w:hint="eastAsia" w:ascii="方正书宋_GBK" w:eastAsia="方正书宋_GBK" w:cs="方正书宋_GBK"/>
              </w:rPr>
              <w:t>涞源县扶贫开发办公室</w:t>
            </w:r>
          </w:p>
        </w:tc>
        <w:tc>
          <w:tcPr>
            <w:tcW w:w="1134" w:type="dxa"/>
            <w:vAlign w:val="center"/>
          </w:tcPr>
          <w:p>
            <w:pPr>
              <w:spacing w:line="300" w:lineRule="exact"/>
              <w:jc w:val="center"/>
              <w:rPr>
                <w:rFonts w:ascii="方正书宋_GBK" w:eastAsia="方正书宋_GBK"/>
              </w:rPr>
            </w:pPr>
            <w:r>
              <w:rPr>
                <w:rFonts w:hint="eastAsia" w:ascii="方正书宋_GBK" w:eastAsia="方正书宋_GBK" w:cs="方正书宋_GBK"/>
              </w:rPr>
              <w:t>事业</w:t>
            </w:r>
          </w:p>
        </w:tc>
        <w:tc>
          <w:tcPr>
            <w:tcW w:w="1276" w:type="dxa"/>
            <w:vAlign w:val="center"/>
          </w:tcPr>
          <w:p>
            <w:pPr>
              <w:spacing w:line="300" w:lineRule="exact"/>
              <w:jc w:val="center"/>
              <w:rPr>
                <w:rFonts w:ascii="方正书宋_GBK" w:eastAsia="方正书宋_GBK"/>
              </w:rPr>
            </w:pPr>
            <w:r>
              <w:rPr>
                <w:rFonts w:hint="eastAsia" w:ascii="方正书宋_GBK" w:eastAsia="方正书宋_GBK" w:cs="方正书宋_GBK"/>
              </w:rPr>
              <w:t>正科级</w:t>
            </w:r>
          </w:p>
        </w:tc>
        <w:tc>
          <w:tcPr>
            <w:tcW w:w="2353" w:type="dxa"/>
            <w:vAlign w:val="center"/>
          </w:tcPr>
          <w:p>
            <w:pPr>
              <w:spacing w:line="300" w:lineRule="exact"/>
              <w:jc w:val="center"/>
              <w:rPr>
                <w:rFonts w:ascii="方正书宋_GBK" w:eastAsia="方正书宋_GBK"/>
              </w:rPr>
            </w:pPr>
            <w:r>
              <w:rPr>
                <w:rFonts w:hint="eastAsia" w:ascii="方正书宋_GBK" w:eastAsia="方正书宋_GBK" w:cs="方正书宋_GBK"/>
              </w:rPr>
              <w:t>财政拨款</w:t>
            </w:r>
          </w:p>
        </w:tc>
      </w:tr>
    </w:tbl>
    <w:p>
      <w:pPr>
        <w:spacing w:line="300" w:lineRule="exact"/>
        <w:jc w:val="left"/>
        <w:outlineLvl w:val="0"/>
      </w:pPr>
    </w:p>
    <w:p/>
    <w:p/>
    <w:p/>
    <w:p>
      <w:pPr>
        <w:jc w:val="center"/>
        <w:outlineLvl w:val="0"/>
        <w:rPr>
          <w:rFonts w:ascii="黑体" w:hAnsi="黑体" w:eastAsia="黑体"/>
          <w:sz w:val="32"/>
          <w:szCs w:val="32"/>
        </w:rPr>
      </w:pPr>
      <w:r>
        <w:rPr>
          <w:rFonts w:hint="eastAsia" w:ascii="黑体" w:hAnsi="黑体" w:eastAsia="黑体" w:cs="黑体"/>
          <w:sz w:val="32"/>
          <w:szCs w:val="32"/>
        </w:rPr>
        <w:t>第二部分：部门预算安排的总体情况</w:t>
      </w:r>
    </w:p>
    <w:p>
      <w:pPr>
        <w:jc w:val="center"/>
        <w:outlineLvl w:val="0"/>
        <w:rPr>
          <w:rFonts w:ascii="黑体" w:hAnsi="黑体" w:eastAsia="黑体"/>
          <w:sz w:val="32"/>
          <w:szCs w:val="32"/>
        </w:rPr>
      </w:pPr>
    </w:p>
    <w:p>
      <w:pPr>
        <w:spacing w:line="520" w:lineRule="exact"/>
        <w:ind w:firstLine="640" w:firstLineChars="200"/>
        <w:rPr>
          <w:rFonts w:ascii="黑体" w:hAnsi="黑体" w:eastAsia="黑体"/>
          <w:sz w:val="32"/>
          <w:szCs w:val="32"/>
        </w:rPr>
      </w:pPr>
      <w:r>
        <w:rPr>
          <w:rFonts w:ascii="黑体" w:hAnsi="黑体" w:eastAsia="黑体" w:cs="黑体"/>
          <w:sz w:val="32"/>
          <w:szCs w:val="32"/>
        </w:rPr>
        <w:t>1</w:t>
      </w:r>
      <w:r>
        <w:rPr>
          <w:rFonts w:hint="eastAsia" w:ascii="黑体" w:hAnsi="黑体" w:eastAsia="黑体" w:cs="黑体"/>
          <w:sz w:val="32"/>
          <w:szCs w:val="32"/>
        </w:rPr>
        <w:t>、收入说明</w:t>
      </w:r>
    </w:p>
    <w:p>
      <w:pPr>
        <w:spacing w:line="520" w:lineRule="exact"/>
        <w:ind w:firstLine="640" w:firstLineChars="200"/>
        <w:rPr>
          <w:rFonts w:ascii="仿宋" w:hAnsi="仿宋" w:eastAsia="仿宋"/>
          <w:sz w:val="32"/>
          <w:szCs w:val="32"/>
        </w:rPr>
      </w:pPr>
      <w:r>
        <w:rPr>
          <w:rFonts w:ascii="仿宋" w:hAnsi="仿宋" w:eastAsia="仿宋" w:cs="仿宋"/>
          <w:sz w:val="32"/>
          <w:szCs w:val="32"/>
        </w:rPr>
        <w:t>201</w:t>
      </w:r>
      <w:r>
        <w:rPr>
          <w:rFonts w:hint="eastAsia" w:ascii="仿宋" w:hAnsi="仿宋" w:eastAsia="仿宋" w:cs="仿宋"/>
          <w:sz w:val="32"/>
          <w:szCs w:val="32"/>
        </w:rPr>
        <w:t>8年涞源县扶贫开发办公室年初部门收入预算总额为1155.08万元。</w:t>
      </w:r>
    </w:p>
    <w:p>
      <w:pPr>
        <w:spacing w:line="520" w:lineRule="exact"/>
        <w:ind w:firstLine="640" w:firstLineChars="200"/>
        <w:rPr>
          <w:rFonts w:ascii="仿宋" w:hAnsi="仿宋" w:eastAsia="仿宋"/>
          <w:sz w:val="32"/>
          <w:szCs w:val="32"/>
        </w:rPr>
      </w:pPr>
      <w:r>
        <w:rPr>
          <w:rFonts w:hint="eastAsia" w:ascii="仿宋" w:hAnsi="仿宋" w:eastAsia="仿宋" w:cs="仿宋"/>
          <w:sz w:val="32"/>
          <w:szCs w:val="32"/>
        </w:rPr>
        <w:t>其中：一般公共预算收入1155.08万元。</w:t>
      </w:r>
    </w:p>
    <w:p>
      <w:pPr>
        <w:spacing w:line="520" w:lineRule="exact"/>
        <w:ind w:firstLine="640" w:firstLineChars="200"/>
        <w:rPr>
          <w:rFonts w:ascii="仿宋" w:hAnsi="仿宋" w:eastAsia="仿宋"/>
          <w:sz w:val="32"/>
          <w:szCs w:val="32"/>
        </w:rPr>
      </w:pPr>
      <w:r>
        <w:rPr>
          <w:rFonts w:ascii="黑体" w:hAnsi="黑体" w:eastAsia="黑体" w:cs="黑体"/>
          <w:sz w:val="32"/>
          <w:szCs w:val="32"/>
        </w:rPr>
        <w:t>2</w:t>
      </w:r>
      <w:r>
        <w:rPr>
          <w:rFonts w:hint="eastAsia" w:ascii="黑体" w:hAnsi="黑体" w:eastAsia="黑体" w:cs="黑体"/>
          <w:sz w:val="32"/>
          <w:szCs w:val="32"/>
        </w:rPr>
        <w:t>、支出说明</w:t>
      </w:r>
    </w:p>
    <w:p>
      <w:pPr>
        <w:spacing w:line="520" w:lineRule="exact"/>
        <w:ind w:firstLine="640" w:firstLineChars="200"/>
        <w:rPr>
          <w:rFonts w:ascii="仿宋" w:hAnsi="仿宋" w:eastAsia="仿宋"/>
          <w:sz w:val="32"/>
          <w:szCs w:val="32"/>
        </w:rPr>
      </w:pPr>
      <w:r>
        <w:rPr>
          <w:rFonts w:ascii="仿宋" w:hAnsi="仿宋" w:eastAsia="仿宋" w:cs="仿宋"/>
          <w:sz w:val="32"/>
          <w:szCs w:val="32"/>
        </w:rPr>
        <w:t>201</w:t>
      </w:r>
      <w:r>
        <w:rPr>
          <w:rFonts w:hint="eastAsia" w:ascii="仿宋" w:hAnsi="仿宋" w:eastAsia="仿宋" w:cs="仿宋"/>
          <w:sz w:val="32"/>
          <w:szCs w:val="32"/>
        </w:rPr>
        <w:t>8年部门支出安排预算总额1155.08万元。</w:t>
      </w:r>
    </w:p>
    <w:p>
      <w:pPr>
        <w:spacing w:line="520" w:lineRule="exact"/>
        <w:ind w:firstLine="640" w:firstLineChars="200"/>
        <w:rPr>
          <w:rFonts w:ascii="仿宋" w:hAnsi="仿宋" w:eastAsia="仿宋"/>
          <w:sz w:val="32"/>
          <w:szCs w:val="32"/>
        </w:rPr>
      </w:pPr>
      <w:r>
        <w:rPr>
          <w:rFonts w:hint="eastAsia" w:ascii="仿宋" w:hAnsi="仿宋" w:eastAsia="仿宋" w:cs="仿宋"/>
          <w:sz w:val="32"/>
          <w:szCs w:val="32"/>
        </w:rPr>
        <w:t>基本支出155.08万元</w:t>
      </w:r>
    </w:p>
    <w:p>
      <w:pPr>
        <w:spacing w:line="520" w:lineRule="exact"/>
        <w:ind w:firstLine="640" w:firstLineChars="200"/>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rPr>
        <w:t>其中：人员经费</w:t>
      </w:r>
      <w:r>
        <w:rPr>
          <w:rFonts w:ascii="仿宋" w:hAnsi="仿宋" w:eastAsia="仿宋" w:cs="仿宋"/>
          <w:sz w:val="32"/>
          <w:szCs w:val="32"/>
        </w:rPr>
        <w:t xml:space="preserve"> </w:t>
      </w:r>
      <w:r>
        <w:rPr>
          <w:rFonts w:hint="eastAsia" w:ascii="仿宋" w:hAnsi="仿宋" w:eastAsia="仿宋" w:cs="仿宋"/>
          <w:sz w:val="32"/>
          <w:szCs w:val="32"/>
        </w:rPr>
        <w:t>104.8万元</w:t>
      </w:r>
    </w:p>
    <w:p>
      <w:pPr>
        <w:spacing w:line="520" w:lineRule="exact"/>
        <w:ind w:firstLine="640" w:firstLineChars="200"/>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日常公用经费</w:t>
      </w:r>
      <w:r>
        <w:rPr>
          <w:rFonts w:ascii="仿宋" w:hAnsi="仿宋" w:eastAsia="仿宋" w:cs="仿宋"/>
          <w:sz w:val="32"/>
          <w:szCs w:val="32"/>
        </w:rPr>
        <w:t xml:space="preserve"> </w:t>
      </w:r>
      <w:r>
        <w:rPr>
          <w:rFonts w:hint="eastAsia" w:ascii="仿宋" w:hAnsi="仿宋" w:eastAsia="仿宋" w:cs="仿宋"/>
          <w:sz w:val="32"/>
          <w:szCs w:val="32"/>
        </w:rPr>
        <w:t>50.28万元</w:t>
      </w:r>
    </w:p>
    <w:p>
      <w:pPr>
        <w:spacing w:line="520" w:lineRule="exact"/>
        <w:ind w:firstLine="640" w:firstLineChars="200"/>
        <w:rPr>
          <w:rFonts w:ascii="仿宋" w:hAnsi="仿宋" w:eastAsia="仿宋" w:cs="仿宋"/>
          <w:sz w:val="32"/>
          <w:szCs w:val="32"/>
        </w:rPr>
      </w:pPr>
      <w:r>
        <w:rPr>
          <w:rFonts w:hint="eastAsia" w:ascii="仿宋" w:hAnsi="仿宋" w:eastAsia="仿宋" w:cs="仿宋"/>
          <w:sz w:val="32"/>
          <w:szCs w:val="32"/>
        </w:rPr>
        <w:t>项目支出1000万元。</w:t>
      </w:r>
    </w:p>
    <w:p>
      <w:pPr>
        <w:spacing w:line="520" w:lineRule="exact"/>
        <w:ind w:firstLine="640" w:firstLineChars="200"/>
        <w:rPr>
          <w:rFonts w:ascii="仿宋" w:hAnsi="仿宋" w:eastAsia="仿宋"/>
          <w:sz w:val="32"/>
          <w:szCs w:val="32"/>
        </w:rPr>
      </w:pPr>
      <w:r>
        <w:rPr>
          <w:rFonts w:hint="eastAsia" w:ascii="仿宋" w:hAnsi="仿宋" w:eastAsia="仿宋" w:cs="仿宋"/>
          <w:sz w:val="32"/>
          <w:szCs w:val="32"/>
        </w:rPr>
        <w:t xml:space="preserve">    其中：本级支出1000万元。</w:t>
      </w:r>
    </w:p>
    <w:p>
      <w:pPr>
        <w:tabs>
          <w:tab w:val="left" w:pos="916"/>
        </w:tabs>
        <w:spacing w:line="560" w:lineRule="exact"/>
        <w:ind w:firstLine="640" w:firstLineChars="200"/>
        <w:jc w:val="left"/>
        <w:rPr>
          <w:rFonts w:ascii="黑体" w:hAnsi="黑体" w:eastAsia="黑体"/>
          <w:sz w:val="32"/>
          <w:szCs w:val="32"/>
        </w:rPr>
      </w:pPr>
      <w:r>
        <w:rPr>
          <w:rFonts w:ascii="黑体" w:hAnsi="黑体" w:eastAsia="黑体" w:cs="黑体"/>
          <w:sz w:val="32"/>
          <w:szCs w:val="32"/>
        </w:rPr>
        <w:t>3</w:t>
      </w:r>
      <w:r>
        <w:rPr>
          <w:rFonts w:hint="eastAsia" w:ascii="黑体" w:hAnsi="黑体" w:eastAsia="黑体" w:cs="黑体"/>
          <w:sz w:val="32"/>
          <w:szCs w:val="32"/>
        </w:rPr>
        <w:t>、与上年增减情况</w:t>
      </w:r>
    </w:p>
    <w:p>
      <w:pPr>
        <w:tabs>
          <w:tab w:val="left" w:pos="916"/>
        </w:tabs>
        <w:spacing w:line="560" w:lineRule="exact"/>
        <w:ind w:firstLine="630"/>
        <w:jc w:val="left"/>
        <w:rPr>
          <w:rFonts w:ascii="仿宋" w:hAnsi="仿宋" w:eastAsia="仿宋" w:cs="仿宋"/>
          <w:sz w:val="32"/>
          <w:szCs w:val="32"/>
        </w:rPr>
      </w:pPr>
      <w:r>
        <w:rPr>
          <w:rFonts w:hint="eastAsia" w:ascii="仿宋" w:hAnsi="仿宋" w:eastAsia="仿宋" w:cs="仿宋"/>
          <w:sz w:val="32"/>
          <w:szCs w:val="32"/>
        </w:rPr>
        <w:t>本年度预算收支安排1155.08万元，较上年增加1012.9万元。其中</w:t>
      </w:r>
      <w:r>
        <w:rPr>
          <w:rFonts w:ascii="仿宋" w:hAnsi="仿宋" w:eastAsia="仿宋" w:cs="仿宋"/>
          <w:sz w:val="32"/>
          <w:szCs w:val="32"/>
        </w:rPr>
        <w:t>:</w:t>
      </w:r>
      <w:r>
        <w:rPr>
          <w:rFonts w:hint="eastAsia" w:ascii="仿宋" w:hAnsi="仿宋" w:eastAsia="仿宋" w:cs="仿宋"/>
          <w:sz w:val="32"/>
          <w:szCs w:val="32"/>
        </w:rPr>
        <w:t>基本支出增加12.9万元，主要原因是人员经费减少11.3万元（人员调出，离退休人员工资调到社保）,日常公用经费增加24.2万元（2018年我单位办公费、印刷费、差旅费等预算增加）；项目支出增加1000万元，主要原因是2018年我单位增加扶贫产业县级投入资金1000万元。</w:t>
      </w:r>
    </w:p>
    <w:p>
      <w:pPr>
        <w:tabs>
          <w:tab w:val="left" w:pos="916"/>
        </w:tabs>
        <w:spacing w:line="560" w:lineRule="exact"/>
        <w:ind w:firstLine="630"/>
        <w:jc w:val="left"/>
        <w:rPr>
          <w:rFonts w:ascii="仿宋" w:hAnsi="仿宋" w:eastAsia="仿宋" w:cs="仿宋"/>
          <w:sz w:val="32"/>
          <w:szCs w:val="32"/>
        </w:rPr>
      </w:pPr>
    </w:p>
    <w:p>
      <w:pPr>
        <w:spacing w:line="520" w:lineRule="exact"/>
        <w:ind w:firstLine="640" w:firstLineChars="200"/>
        <w:jc w:val="center"/>
        <w:outlineLvl w:val="0"/>
        <w:rPr>
          <w:rFonts w:ascii="黑体" w:hAnsi="黑体" w:eastAsia="黑体"/>
          <w:sz w:val="32"/>
          <w:szCs w:val="32"/>
        </w:rPr>
      </w:pPr>
      <w:r>
        <w:rPr>
          <w:rFonts w:hint="eastAsia" w:ascii="黑体" w:hAnsi="黑体" w:eastAsia="黑体" w:cs="黑体"/>
          <w:sz w:val="32"/>
          <w:szCs w:val="32"/>
        </w:rPr>
        <w:t>第三部分：机关运行经费安排情况</w:t>
      </w:r>
    </w:p>
    <w:p>
      <w:pPr>
        <w:spacing w:line="520" w:lineRule="exact"/>
        <w:ind w:firstLine="640" w:firstLineChars="200"/>
        <w:jc w:val="center"/>
        <w:outlineLvl w:val="0"/>
        <w:rPr>
          <w:rFonts w:ascii="黑体" w:hAnsi="黑体" w:eastAsia="黑体"/>
          <w:sz w:val="32"/>
          <w:szCs w:val="32"/>
        </w:rPr>
      </w:pPr>
    </w:p>
    <w:p>
      <w:pPr>
        <w:tabs>
          <w:tab w:val="left" w:pos="3940"/>
        </w:tabs>
        <w:ind w:firstLine="630"/>
        <w:jc w:val="left"/>
        <w:rPr>
          <w:rFonts w:ascii="仿宋" w:hAnsi="仿宋" w:eastAsia="仿宋"/>
          <w:sz w:val="32"/>
          <w:szCs w:val="32"/>
        </w:rPr>
      </w:pPr>
      <w:r>
        <w:rPr>
          <w:rFonts w:hint="eastAsia" w:ascii="仿宋" w:hAnsi="仿宋" w:eastAsia="仿宋" w:cs="仿宋"/>
          <w:sz w:val="32"/>
          <w:szCs w:val="32"/>
        </w:rPr>
        <w:t>涞源县扶贫开发办公室运行经费安排50.28万元，其中办公费3.4万元，印刷费5万元，水费</w:t>
      </w:r>
      <w:r>
        <w:rPr>
          <w:rFonts w:ascii="仿宋" w:hAnsi="仿宋" w:eastAsia="仿宋" w:cs="仿宋"/>
          <w:sz w:val="32"/>
          <w:szCs w:val="32"/>
        </w:rPr>
        <w:t>0.5</w:t>
      </w:r>
      <w:r>
        <w:rPr>
          <w:rFonts w:hint="eastAsia" w:ascii="仿宋" w:hAnsi="仿宋" w:eastAsia="仿宋" w:cs="仿宋"/>
          <w:sz w:val="32"/>
          <w:szCs w:val="32"/>
        </w:rPr>
        <w:t>万元、电费3.4万元，邮电费</w:t>
      </w:r>
      <w:r>
        <w:rPr>
          <w:rFonts w:ascii="仿宋" w:hAnsi="仿宋" w:eastAsia="仿宋" w:cs="仿宋"/>
          <w:sz w:val="32"/>
          <w:szCs w:val="32"/>
        </w:rPr>
        <w:t>1.08</w:t>
      </w:r>
      <w:r>
        <w:rPr>
          <w:rFonts w:hint="eastAsia" w:ascii="仿宋" w:hAnsi="仿宋" w:eastAsia="仿宋" w:cs="仿宋"/>
          <w:sz w:val="32"/>
          <w:szCs w:val="32"/>
        </w:rPr>
        <w:t>万元，取暖费1.6万元，会议费10万元，差旅费6.8万元，公务用车运行维护费3</w:t>
      </w:r>
      <w:r>
        <w:rPr>
          <w:rFonts w:ascii="仿宋" w:hAnsi="仿宋" w:eastAsia="仿宋" w:cs="仿宋"/>
          <w:sz w:val="32"/>
          <w:szCs w:val="32"/>
        </w:rPr>
        <w:t>.5</w:t>
      </w:r>
      <w:r>
        <w:rPr>
          <w:rFonts w:hint="eastAsia" w:ascii="仿宋" w:hAnsi="仿宋" w:eastAsia="仿宋" w:cs="仿宋"/>
          <w:sz w:val="32"/>
          <w:szCs w:val="32"/>
        </w:rPr>
        <w:t>万元，公务接待费</w:t>
      </w:r>
      <w:r>
        <w:rPr>
          <w:rFonts w:ascii="仿宋" w:hAnsi="仿宋" w:eastAsia="仿宋" w:cs="仿宋"/>
          <w:sz w:val="32"/>
          <w:szCs w:val="32"/>
        </w:rPr>
        <w:t>15</w:t>
      </w:r>
      <w:r>
        <w:rPr>
          <w:rFonts w:hint="eastAsia" w:ascii="仿宋" w:hAnsi="仿宋" w:eastAsia="仿宋" w:cs="仿宋"/>
          <w:sz w:val="32"/>
          <w:szCs w:val="32"/>
        </w:rPr>
        <w:t>万元。</w:t>
      </w:r>
    </w:p>
    <w:p>
      <w:pPr>
        <w:tabs>
          <w:tab w:val="left" w:pos="3940"/>
        </w:tabs>
        <w:ind w:firstLine="630"/>
        <w:jc w:val="left"/>
        <w:rPr>
          <w:rFonts w:ascii="仿宋" w:hAnsi="仿宋" w:eastAsia="仿宋"/>
          <w:sz w:val="32"/>
          <w:szCs w:val="32"/>
        </w:rPr>
      </w:pPr>
    </w:p>
    <w:p>
      <w:pPr>
        <w:spacing w:line="520" w:lineRule="exact"/>
        <w:ind w:firstLine="640" w:firstLineChars="200"/>
        <w:jc w:val="center"/>
        <w:outlineLvl w:val="0"/>
        <w:rPr>
          <w:rFonts w:ascii="黑体" w:hAnsi="黑体" w:eastAsia="黑体"/>
          <w:sz w:val="32"/>
          <w:szCs w:val="32"/>
        </w:rPr>
      </w:pPr>
      <w:r>
        <w:rPr>
          <w:rFonts w:hint="eastAsia" w:ascii="黑体" w:hAnsi="黑体" w:eastAsia="黑体" w:cs="黑体"/>
          <w:sz w:val="32"/>
          <w:szCs w:val="32"/>
        </w:rPr>
        <w:t>第四部分：财政拨款“三公”经费预算情况及增减变化原因</w:t>
      </w:r>
    </w:p>
    <w:p>
      <w:pPr>
        <w:spacing w:line="520" w:lineRule="exact"/>
        <w:ind w:firstLine="640" w:firstLineChars="200"/>
        <w:jc w:val="center"/>
        <w:outlineLvl w:val="0"/>
        <w:rPr>
          <w:rFonts w:ascii="黑体" w:hAnsi="黑体" w:eastAsia="黑体"/>
          <w:sz w:val="32"/>
          <w:szCs w:val="32"/>
        </w:rPr>
      </w:pPr>
    </w:p>
    <w:p>
      <w:pPr>
        <w:spacing w:line="520" w:lineRule="exact"/>
        <w:ind w:firstLine="640" w:firstLineChars="200"/>
        <w:jc w:val="center"/>
        <w:outlineLvl w:val="0"/>
        <w:rPr>
          <w:rFonts w:ascii="黑体" w:hAnsi="黑体" w:eastAsia="黑体"/>
          <w:sz w:val="32"/>
          <w:szCs w:val="32"/>
        </w:rPr>
      </w:pPr>
    </w:p>
    <w:p>
      <w:pPr>
        <w:spacing w:line="520" w:lineRule="exact"/>
        <w:ind w:firstLine="640" w:firstLineChars="200"/>
        <w:jc w:val="center"/>
        <w:outlineLvl w:val="0"/>
        <w:rPr>
          <w:rFonts w:ascii="黑体" w:hAnsi="黑体" w:eastAsia="黑体"/>
          <w:sz w:val="32"/>
          <w:szCs w:val="32"/>
        </w:rPr>
      </w:pPr>
    </w:p>
    <w:tbl>
      <w:tblPr>
        <w:tblStyle w:val="7"/>
        <w:tblW w:w="9855" w:type="dxa"/>
        <w:jc w:val="center"/>
        <w:tblInd w:w="0" w:type="dxa"/>
        <w:tblLayout w:type="fixed"/>
        <w:tblCellMar>
          <w:top w:w="0" w:type="dxa"/>
          <w:left w:w="108" w:type="dxa"/>
          <w:bottom w:w="0" w:type="dxa"/>
          <w:right w:w="108" w:type="dxa"/>
        </w:tblCellMar>
      </w:tblPr>
      <w:tblGrid>
        <w:gridCol w:w="534"/>
        <w:gridCol w:w="1842"/>
        <w:gridCol w:w="1476"/>
        <w:gridCol w:w="1716"/>
        <w:gridCol w:w="1176"/>
        <w:gridCol w:w="3111"/>
      </w:tblGrid>
      <w:tr>
        <w:tblPrEx>
          <w:tblLayout w:type="fixed"/>
        </w:tblPrEx>
        <w:trPr>
          <w:trHeight w:val="405" w:hRule="atLeast"/>
          <w:jc w:val="center"/>
        </w:trPr>
        <w:tc>
          <w:tcPr>
            <w:tcW w:w="9855" w:type="dxa"/>
            <w:gridSpan w:val="6"/>
            <w:tcBorders>
              <w:top w:val="nil"/>
              <w:left w:val="nil"/>
              <w:bottom w:val="nil"/>
              <w:right w:val="nil"/>
            </w:tcBorders>
            <w:vAlign w:val="center"/>
          </w:tcPr>
          <w:p>
            <w:pPr>
              <w:widowControl/>
              <w:spacing w:line="520" w:lineRule="exact"/>
              <w:ind w:firstLine="640" w:firstLineChars="200"/>
              <w:jc w:val="center"/>
              <w:rPr>
                <w:rFonts w:ascii="黑体" w:hAnsi="黑体" w:eastAsia="黑体"/>
                <w:kern w:val="0"/>
                <w:sz w:val="32"/>
                <w:szCs w:val="32"/>
              </w:rPr>
            </w:pPr>
            <w:r>
              <w:rPr>
                <w:rFonts w:hint="eastAsia" w:ascii="黑体" w:hAnsi="黑体" w:eastAsia="黑体" w:cs="黑体"/>
                <w:sz w:val="32"/>
                <w:szCs w:val="32"/>
              </w:rPr>
              <w:t>“三公”经费预算情况及增减变化原因</w:t>
            </w:r>
          </w:p>
        </w:tc>
      </w:tr>
      <w:tr>
        <w:tblPrEx>
          <w:tblLayout w:type="fixed"/>
          <w:tblCellMar>
            <w:top w:w="0" w:type="dxa"/>
            <w:left w:w="108" w:type="dxa"/>
            <w:bottom w:w="0" w:type="dxa"/>
            <w:right w:w="108" w:type="dxa"/>
          </w:tblCellMar>
        </w:tblPrEx>
        <w:trPr>
          <w:gridBefore w:val="1"/>
          <w:wBefore w:w="534" w:type="dxa"/>
          <w:trHeight w:val="285" w:hRule="atLeast"/>
          <w:jc w:val="center"/>
        </w:trPr>
        <w:tc>
          <w:tcPr>
            <w:tcW w:w="1842" w:type="dxa"/>
            <w:tcBorders>
              <w:top w:val="nil"/>
              <w:left w:val="nil"/>
              <w:bottom w:val="nil"/>
              <w:right w:val="nil"/>
            </w:tcBorders>
            <w:vAlign w:val="center"/>
          </w:tcPr>
          <w:p>
            <w:pPr>
              <w:widowControl/>
              <w:jc w:val="left"/>
              <w:rPr>
                <w:rFonts w:ascii="宋体"/>
                <w:kern w:val="0"/>
                <w:sz w:val="24"/>
                <w:szCs w:val="24"/>
              </w:rPr>
            </w:pPr>
          </w:p>
        </w:tc>
        <w:tc>
          <w:tcPr>
            <w:tcW w:w="1476" w:type="dxa"/>
            <w:tcBorders>
              <w:top w:val="nil"/>
              <w:left w:val="nil"/>
              <w:bottom w:val="nil"/>
              <w:right w:val="nil"/>
            </w:tcBorders>
            <w:vAlign w:val="center"/>
          </w:tcPr>
          <w:p>
            <w:pPr>
              <w:widowControl/>
              <w:jc w:val="left"/>
              <w:rPr>
                <w:rFonts w:ascii="宋体"/>
                <w:kern w:val="0"/>
                <w:sz w:val="24"/>
                <w:szCs w:val="24"/>
              </w:rPr>
            </w:pPr>
          </w:p>
        </w:tc>
        <w:tc>
          <w:tcPr>
            <w:tcW w:w="1716" w:type="dxa"/>
            <w:tcBorders>
              <w:top w:val="nil"/>
              <w:left w:val="nil"/>
              <w:bottom w:val="nil"/>
              <w:right w:val="nil"/>
            </w:tcBorders>
            <w:vAlign w:val="center"/>
          </w:tcPr>
          <w:p>
            <w:pPr>
              <w:widowControl/>
              <w:jc w:val="left"/>
              <w:rPr>
                <w:rFonts w:ascii="宋体"/>
                <w:kern w:val="0"/>
                <w:sz w:val="24"/>
                <w:szCs w:val="24"/>
              </w:rPr>
            </w:pPr>
          </w:p>
        </w:tc>
        <w:tc>
          <w:tcPr>
            <w:tcW w:w="1176" w:type="dxa"/>
            <w:tcBorders>
              <w:top w:val="nil"/>
              <w:left w:val="nil"/>
              <w:bottom w:val="nil"/>
              <w:right w:val="nil"/>
            </w:tcBorders>
            <w:vAlign w:val="center"/>
          </w:tcPr>
          <w:p>
            <w:pPr>
              <w:widowControl/>
              <w:jc w:val="left"/>
              <w:rPr>
                <w:rFonts w:ascii="宋体"/>
                <w:kern w:val="0"/>
                <w:sz w:val="24"/>
                <w:szCs w:val="24"/>
              </w:rPr>
            </w:pPr>
          </w:p>
        </w:tc>
        <w:tc>
          <w:tcPr>
            <w:tcW w:w="3111" w:type="dxa"/>
            <w:tcBorders>
              <w:top w:val="nil"/>
              <w:left w:val="nil"/>
              <w:bottom w:val="nil"/>
              <w:right w:val="nil"/>
            </w:tcBorders>
            <w:vAlign w:val="center"/>
          </w:tcPr>
          <w:p>
            <w:pPr>
              <w:widowControl/>
              <w:jc w:val="right"/>
              <w:rPr>
                <w:rFonts w:ascii="宋体"/>
                <w:kern w:val="0"/>
                <w:sz w:val="24"/>
                <w:szCs w:val="24"/>
              </w:rPr>
            </w:pPr>
            <w:r>
              <w:rPr>
                <w:rFonts w:hint="eastAsia" w:ascii="宋体" w:hAnsi="宋体" w:cs="宋体"/>
                <w:kern w:val="0"/>
                <w:sz w:val="24"/>
                <w:szCs w:val="24"/>
              </w:rPr>
              <w:t>单位：万元</w:t>
            </w:r>
          </w:p>
        </w:tc>
      </w:tr>
      <w:tr>
        <w:tblPrEx>
          <w:tblLayout w:type="fixed"/>
          <w:tblCellMar>
            <w:top w:w="0" w:type="dxa"/>
            <w:left w:w="108" w:type="dxa"/>
            <w:bottom w:w="0" w:type="dxa"/>
            <w:right w:w="108" w:type="dxa"/>
          </w:tblCellMar>
        </w:tblPrEx>
        <w:trPr>
          <w:gridBefore w:val="1"/>
          <w:wBefore w:w="534" w:type="dxa"/>
          <w:trHeight w:val="285" w:hRule="atLeast"/>
          <w:jc w:val="center"/>
        </w:trPr>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项目名称</w:t>
            </w:r>
          </w:p>
        </w:tc>
        <w:tc>
          <w:tcPr>
            <w:tcW w:w="1476" w:type="dxa"/>
            <w:tcBorders>
              <w:top w:val="single" w:color="auto" w:sz="4" w:space="0"/>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201</w:t>
            </w:r>
            <w:r>
              <w:rPr>
                <w:rFonts w:hint="eastAsia" w:ascii="宋体" w:hAnsi="宋体" w:cs="宋体"/>
                <w:kern w:val="0"/>
                <w:sz w:val="24"/>
                <w:szCs w:val="24"/>
              </w:rPr>
              <w:t>7年度预算</w:t>
            </w:r>
          </w:p>
        </w:tc>
        <w:tc>
          <w:tcPr>
            <w:tcW w:w="1716" w:type="dxa"/>
            <w:tcBorders>
              <w:top w:val="single" w:color="auto" w:sz="4" w:space="0"/>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201</w:t>
            </w:r>
            <w:r>
              <w:rPr>
                <w:rFonts w:hint="eastAsia" w:ascii="宋体" w:hAnsi="宋体" w:cs="宋体"/>
                <w:kern w:val="0"/>
                <w:sz w:val="24"/>
                <w:szCs w:val="24"/>
              </w:rPr>
              <w:t>8年度预算</w:t>
            </w:r>
          </w:p>
        </w:tc>
        <w:tc>
          <w:tcPr>
            <w:tcW w:w="1176" w:type="dxa"/>
            <w:tcBorders>
              <w:top w:val="single" w:color="auto" w:sz="4" w:space="0"/>
              <w:left w:val="nil"/>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增减金额</w:t>
            </w:r>
          </w:p>
        </w:tc>
        <w:tc>
          <w:tcPr>
            <w:tcW w:w="3111" w:type="dxa"/>
            <w:tcBorders>
              <w:top w:val="single" w:color="auto" w:sz="4" w:space="0"/>
              <w:left w:val="nil"/>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变化原因</w:t>
            </w:r>
          </w:p>
        </w:tc>
      </w:tr>
      <w:tr>
        <w:tblPrEx>
          <w:tblLayout w:type="fixed"/>
          <w:tblCellMar>
            <w:top w:w="0" w:type="dxa"/>
            <w:left w:w="108" w:type="dxa"/>
            <w:bottom w:w="0" w:type="dxa"/>
            <w:right w:w="108" w:type="dxa"/>
          </w:tblCellMar>
        </w:tblPrEx>
        <w:trPr>
          <w:gridBefore w:val="1"/>
          <w:wBefore w:w="534" w:type="dxa"/>
          <w:trHeight w:val="285" w:hRule="atLeast"/>
          <w:jc w:val="center"/>
        </w:trPr>
        <w:tc>
          <w:tcPr>
            <w:tcW w:w="1842" w:type="dxa"/>
            <w:tcBorders>
              <w:top w:val="nil"/>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因公出国经费</w:t>
            </w:r>
          </w:p>
        </w:tc>
        <w:tc>
          <w:tcPr>
            <w:tcW w:w="14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171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11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3111" w:type="dxa"/>
            <w:tcBorders>
              <w:top w:val="nil"/>
              <w:left w:val="nil"/>
              <w:bottom w:val="single" w:color="auto" w:sz="4" w:space="0"/>
              <w:right w:val="single" w:color="auto" w:sz="4" w:space="0"/>
            </w:tcBorders>
            <w:vAlign w:val="center"/>
          </w:tcPr>
          <w:p>
            <w:pPr>
              <w:widowControl/>
              <w:jc w:val="left"/>
              <w:rPr>
                <w:rFonts w:ascii="宋体"/>
                <w:kern w:val="0"/>
                <w:sz w:val="24"/>
                <w:szCs w:val="24"/>
              </w:rPr>
            </w:pPr>
            <w:r>
              <w:rPr>
                <w:rFonts w:hint="eastAsia" w:ascii="宋体" w:hAnsi="宋体" w:cs="宋体"/>
                <w:kern w:val="0"/>
                <w:sz w:val="24"/>
                <w:szCs w:val="24"/>
              </w:rPr>
              <w:t>无增减变化</w:t>
            </w:r>
          </w:p>
        </w:tc>
      </w:tr>
      <w:tr>
        <w:tblPrEx>
          <w:tblLayout w:type="fixed"/>
          <w:tblCellMar>
            <w:top w:w="0" w:type="dxa"/>
            <w:left w:w="108" w:type="dxa"/>
            <w:bottom w:w="0" w:type="dxa"/>
            <w:right w:w="108" w:type="dxa"/>
          </w:tblCellMar>
        </w:tblPrEx>
        <w:trPr>
          <w:gridBefore w:val="1"/>
          <w:wBefore w:w="534" w:type="dxa"/>
          <w:trHeight w:val="285" w:hRule="atLeast"/>
          <w:jc w:val="center"/>
        </w:trPr>
        <w:tc>
          <w:tcPr>
            <w:tcW w:w="1842" w:type="dxa"/>
            <w:tcBorders>
              <w:top w:val="nil"/>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公务用车购置经费</w:t>
            </w:r>
          </w:p>
        </w:tc>
        <w:tc>
          <w:tcPr>
            <w:tcW w:w="14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171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11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3111" w:type="dxa"/>
            <w:tcBorders>
              <w:top w:val="nil"/>
              <w:left w:val="nil"/>
              <w:bottom w:val="single" w:color="auto" w:sz="4" w:space="0"/>
              <w:right w:val="single" w:color="auto" w:sz="4" w:space="0"/>
            </w:tcBorders>
            <w:vAlign w:val="center"/>
          </w:tcPr>
          <w:p>
            <w:pPr>
              <w:widowControl/>
              <w:jc w:val="left"/>
              <w:rPr>
                <w:rFonts w:ascii="宋体"/>
                <w:kern w:val="0"/>
                <w:sz w:val="24"/>
                <w:szCs w:val="24"/>
              </w:rPr>
            </w:pPr>
            <w:r>
              <w:rPr>
                <w:rFonts w:hint="eastAsia" w:ascii="宋体" w:hAnsi="宋体" w:cs="宋体"/>
                <w:kern w:val="0"/>
                <w:sz w:val="24"/>
                <w:szCs w:val="24"/>
              </w:rPr>
              <w:t>无增减变化</w:t>
            </w:r>
          </w:p>
        </w:tc>
      </w:tr>
      <w:tr>
        <w:tblPrEx>
          <w:tblLayout w:type="fixed"/>
        </w:tblPrEx>
        <w:trPr>
          <w:gridBefore w:val="1"/>
          <w:wBefore w:w="534" w:type="dxa"/>
          <w:trHeight w:val="570" w:hRule="atLeast"/>
          <w:jc w:val="center"/>
        </w:trPr>
        <w:tc>
          <w:tcPr>
            <w:tcW w:w="1842" w:type="dxa"/>
            <w:tcBorders>
              <w:top w:val="nil"/>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公务用车运行经费</w:t>
            </w:r>
          </w:p>
        </w:tc>
        <w:tc>
          <w:tcPr>
            <w:tcW w:w="147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2.5</w:t>
            </w:r>
          </w:p>
        </w:tc>
        <w:tc>
          <w:tcPr>
            <w:tcW w:w="171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3</w:t>
            </w:r>
            <w:r>
              <w:rPr>
                <w:rFonts w:ascii="宋体" w:hAnsi="宋体" w:cs="宋体"/>
                <w:kern w:val="0"/>
                <w:sz w:val="24"/>
                <w:szCs w:val="24"/>
              </w:rPr>
              <w:t>.5</w:t>
            </w:r>
          </w:p>
        </w:tc>
        <w:tc>
          <w:tcPr>
            <w:tcW w:w="11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hint="eastAsia" w:ascii="宋体" w:cs="宋体"/>
                <w:kern w:val="0"/>
                <w:sz w:val="24"/>
                <w:szCs w:val="24"/>
              </w:rPr>
              <w:t>1</w:t>
            </w:r>
          </w:p>
        </w:tc>
        <w:tc>
          <w:tcPr>
            <w:tcW w:w="3111" w:type="dxa"/>
            <w:tcBorders>
              <w:top w:val="nil"/>
              <w:left w:val="nil"/>
              <w:bottom w:val="single" w:color="auto" w:sz="4" w:space="0"/>
              <w:right w:val="single" w:color="auto" w:sz="4" w:space="0"/>
            </w:tcBorders>
            <w:vAlign w:val="center"/>
          </w:tcPr>
          <w:p>
            <w:pPr>
              <w:widowControl/>
              <w:jc w:val="left"/>
              <w:rPr>
                <w:rFonts w:hint="eastAsia" w:ascii="宋体" w:eastAsia="宋体"/>
                <w:kern w:val="0"/>
                <w:sz w:val="24"/>
                <w:szCs w:val="24"/>
                <w:lang w:eastAsia="zh-CN"/>
              </w:rPr>
            </w:pPr>
            <w:r>
              <w:rPr>
                <w:rFonts w:hint="eastAsia" w:ascii="宋体"/>
                <w:kern w:val="0"/>
                <w:sz w:val="24"/>
                <w:szCs w:val="24"/>
                <w:lang w:eastAsia="zh-CN"/>
              </w:rPr>
              <w:t>下乡任务增加，公务用车运行经费增加</w:t>
            </w:r>
          </w:p>
        </w:tc>
      </w:tr>
      <w:tr>
        <w:tblPrEx>
          <w:tblLayout w:type="fixed"/>
        </w:tblPrEx>
        <w:trPr>
          <w:gridBefore w:val="1"/>
          <w:wBefore w:w="534" w:type="dxa"/>
          <w:trHeight w:val="855" w:hRule="atLeast"/>
          <w:jc w:val="center"/>
        </w:trPr>
        <w:tc>
          <w:tcPr>
            <w:tcW w:w="1842" w:type="dxa"/>
            <w:tcBorders>
              <w:top w:val="nil"/>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公务接待费支出</w:t>
            </w:r>
          </w:p>
        </w:tc>
        <w:tc>
          <w:tcPr>
            <w:tcW w:w="147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15</w:t>
            </w:r>
          </w:p>
        </w:tc>
        <w:tc>
          <w:tcPr>
            <w:tcW w:w="171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15</w:t>
            </w:r>
          </w:p>
        </w:tc>
        <w:tc>
          <w:tcPr>
            <w:tcW w:w="11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ascii="宋体" w:cs="宋体"/>
                <w:kern w:val="0"/>
                <w:sz w:val="24"/>
                <w:szCs w:val="24"/>
              </w:rPr>
              <w:t>0</w:t>
            </w:r>
          </w:p>
        </w:tc>
        <w:tc>
          <w:tcPr>
            <w:tcW w:w="3111" w:type="dxa"/>
            <w:tcBorders>
              <w:top w:val="nil"/>
              <w:left w:val="nil"/>
              <w:bottom w:val="single" w:color="auto" w:sz="4" w:space="0"/>
              <w:right w:val="single" w:color="auto" w:sz="4" w:space="0"/>
            </w:tcBorders>
            <w:vAlign w:val="center"/>
          </w:tcPr>
          <w:p>
            <w:pPr>
              <w:widowControl/>
              <w:jc w:val="left"/>
              <w:rPr>
                <w:rFonts w:ascii="宋体"/>
                <w:kern w:val="0"/>
                <w:sz w:val="24"/>
                <w:szCs w:val="24"/>
              </w:rPr>
            </w:pPr>
            <w:r>
              <w:rPr>
                <w:rFonts w:hint="eastAsia" w:ascii="宋体" w:hAnsi="宋体" w:cs="宋体"/>
                <w:kern w:val="0"/>
                <w:sz w:val="24"/>
                <w:szCs w:val="24"/>
              </w:rPr>
              <w:t>无增减变化</w:t>
            </w:r>
          </w:p>
        </w:tc>
      </w:tr>
      <w:tr>
        <w:tblPrEx>
          <w:tblLayout w:type="fixed"/>
          <w:tblCellMar>
            <w:top w:w="0" w:type="dxa"/>
            <w:left w:w="108" w:type="dxa"/>
            <w:bottom w:w="0" w:type="dxa"/>
            <w:right w:w="108" w:type="dxa"/>
          </w:tblCellMar>
        </w:tblPrEx>
        <w:trPr>
          <w:gridBefore w:val="1"/>
          <w:wBefore w:w="534" w:type="dxa"/>
          <w:trHeight w:val="1140" w:hRule="atLeast"/>
          <w:jc w:val="center"/>
        </w:trPr>
        <w:tc>
          <w:tcPr>
            <w:tcW w:w="1842" w:type="dxa"/>
            <w:tcBorders>
              <w:top w:val="nil"/>
              <w:left w:val="single" w:color="auto" w:sz="4" w:space="0"/>
              <w:bottom w:val="single" w:color="auto" w:sz="4" w:space="0"/>
              <w:right w:val="single" w:color="auto" w:sz="4" w:space="0"/>
            </w:tcBorders>
            <w:vAlign w:val="center"/>
          </w:tcPr>
          <w:p>
            <w:pPr>
              <w:widowControl/>
              <w:jc w:val="center"/>
              <w:rPr>
                <w:rFonts w:ascii="宋体"/>
                <w:kern w:val="0"/>
                <w:sz w:val="24"/>
                <w:szCs w:val="24"/>
              </w:rPr>
            </w:pPr>
            <w:r>
              <w:rPr>
                <w:rFonts w:hint="eastAsia" w:ascii="宋体" w:hAnsi="宋体" w:cs="宋体"/>
                <w:kern w:val="0"/>
                <w:sz w:val="24"/>
                <w:szCs w:val="24"/>
              </w:rPr>
              <w:t>合计</w:t>
            </w:r>
          </w:p>
        </w:tc>
        <w:tc>
          <w:tcPr>
            <w:tcW w:w="147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17.5</w:t>
            </w:r>
          </w:p>
        </w:tc>
        <w:tc>
          <w:tcPr>
            <w:tcW w:w="1716" w:type="dxa"/>
            <w:tcBorders>
              <w:top w:val="nil"/>
              <w:left w:val="nil"/>
              <w:bottom w:val="single" w:color="auto" w:sz="4" w:space="0"/>
              <w:right w:val="single" w:color="auto" w:sz="4" w:space="0"/>
            </w:tcBorders>
            <w:vAlign w:val="center"/>
          </w:tcPr>
          <w:p>
            <w:pPr>
              <w:widowControl/>
              <w:jc w:val="center"/>
              <w:rPr>
                <w:rFonts w:ascii="宋体"/>
                <w:kern w:val="0"/>
                <w:sz w:val="24"/>
                <w:szCs w:val="24"/>
              </w:rPr>
            </w:pPr>
            <w:r>
              <w:rPr>
                <w:rFonts w:ascii="宋体" w:hAnsi="宋体" w:cs="宋体"/>
                <w:kern w:val="0"/>
                <w:sz w:val="24"/>
                <w:szCs w:val="24"/>
              </w:rPr>
              <w:t>1</w:t>
            </w:r>
            <w:r>
              <w:rPr>
                <w:rFonts w:hint="eastAsia" w:ascii="宋体" w:hAnsi="宋体" w:cs="宋体"/>
                <w:kern w:val="0"/>
                <w:sz w:val="24"/>
                <w:szCs w:val="24"/>
              </w:rPr>
              <w:t>8</w:t>
            </w:r>
            <w:r>
              <w:rPr>
                <w:rFonts w:ascii="宋体" w:hAnsi="宋体" w:cs="宋体"/>
                <w:kern w:val="0"/>
                <w:sz w:val="24"/>
                <w:szCs w:val="24"/>
              </w:rPr>
              <w:t>.5</w:t>
            </w:r>
          </w:p>
        </w:tc>
        <w:tc>
          <w:tcPr>
            <w:tcW w:w="1176" w:type="dxa"/>
            <w:tcBorders>
              <w:top w:val="nil"/>
              <w:left w:val="nil"/>
              <w:bottom w:val="single" w:color="auto" w:sz="4" w:space="0"/>
              <w:right w:val="single" w:color="auto" w:sz="4" w:space="0"/>
            </w:tcBorders>
            <w:vAlign w:val="center"/>
          </w:tcPr>
          <w:p>
            <w:pPr>
              <w:widowControl/>
              <w:jc w:val="center"/>
              <w:rPr>
                <w:rFonts w:ascii="宋体" w:cs="宋体"/>
                <w:kern w:val="0"/>
                <w:sz w:val="24"/>
                <w:szCs w:val="24"/>
              </w:rPr>
            </w:pPr>
            <w:r>
              <w:rPr>
                <w:rFonts w:hint="eastAsia" w:ascii="宋体" w:cs="宋体"/>
                <w:kern w:val="0"/>
                <w:sz w:val="24"/>
                <w:szCs w:val="24"/>
              </w:rPr>
              <w:t>1</w:t>
            </w:r>
          </w:p>
        </w:tc>
        <w:tc>
          <w:tcPr>
            <w:tcW w:w="3111" w:type="dxa"/>
            <w:tcBorders>
              <w:top w:val="nil"/>
              <w:left w:val="nil"/>
              <w:bottom w:val="single" w:color="auto" w:sz="4" w:space="0"/>
              <w:right w:val="single" w:color="auto" w:sz="4" w:space="0"/>
            </w:tcBorders>
            <w:vAlign w:val="center"/>
          </w:tcPr>
          <w:p>
            <w:pPr>
              <w:widowControl/>
              <w:jc w:val="left"/>
              <w:rPr>
                <w:rFonts w:ascii="宋体"/>
                <w:kern w:val="0"/>
                <w:sz w:val="24"/>
                <w:szCs w:val="24"/>
              </w:rPr>
            </w:pPr>
            <w:r>
              <w:rPr>
                <w:rFonts w:hint="eastAsia" w:ascii="宋体"/>
                <w:kern w:val="0"/>
                <w:sz w:val="24"/>
                <w:szCs w:val="24"/>
                <w:lang w:eastAsia="zh-CN"/>
              </w:rPr>
              <w:t>下乡任务增加，公务用车运行经费增加</w:t>
            </w:r>
            <w:bookmarkStart w:id="2" w:name="_GoBack"/>
            <w:bookmarkEnd w:id="2"/>
          </w:p>
        </w:tc>
      </w:tr>
    </w:tbl>
    <w:p>
      <w:pPr>
        <w:tabs>
          <w:tab w:val="left" w:pos="3940"/>
        </w:tabs>
        <w:ind w:firstLine="630"/>
        <w:jc w:val="center"/>
        <w:rPr>
          <w:rFonts w:ascii="黑体" w:hAnsi="黑体" w:eastAsia="黑体"/>
          <w:sz w:val="32"/>
          <w:szCs w:val="32"/>
        </w:rPr>
      </w:pPr>
    </w:p>
    <w:p>
      <w:pPr>
        <w:tabs>
          <w:tab w:val="left" w:pos="3940"/>
        </w:tabs>
        <w:ind w:firstLine="630"/>
        <w:jc w:val="center"/>
        <w:rPr>
          <w:rFonts w:ascii="黑体" w:hAnsi="黑体" w:eastAsia="黑体"/>
          <w:sz w:val="32"/>
          <w:szCs w:val="32"/>
        </w:rPr>
      </w:pPr>
      <w:r>
        <w:rPr>
          <w:rFonts w:hint="eastAsia" w:ascii="黑体" w:hAnsi="黑体" w:eastAsia="黑体" w:cs="黑体"/>
          <w:sz w:val="32"/>
          <w:szCs w:val="32"/>
        </w:rPr>
        <w:t>第五部分：绩效预算信息</w:t>
      </w:r>
    </w:p>
    <w:p>
      <w:pPr>
        <w:pStyle w:val="13"/>
        <w:tabs>
          <w:tab w:val="left" w:pos="3940"/>
        </w:tabs>
        <w:ind w:left="720" w:firstLine="0" w:firstLineChars="0"/>
        <w:rPr>
          <w:rFonts w:ascii="黑体" w:hAnsi="黑体" w:eastAsia="黑体"/>
          <w:sz w:val="32"/>
          <w:szCs w:val="32"/>
        </w:rPr>
      </w:pPr>
      <w:r>
        <w:rPr>
          <w:rFonts w:hint="eastAsia" w:ascii="黑体" w:hAnsi="黑体" w:eastAsia="黑体" w:cs="黑体"/>
          <w:sz w:val="32"/>
          <w:szCs w:val="32"/>
        </w:rPr>
        <w:t>一、总体绩效目标</w:t>
      </w:r>
    </w:p>
    <w:p>
      <w:pPr>
        <w:pStyle w:val="13"/>
        <w:numPr>
          <w:ilvl w:val="0"/>
          <w:numId w:val="2"/>
        </w:numPr>
        <w:spacing w:line="620" w:lineRule="exact"/>
        <w:ind w:firstLineChars="0"/>
        <w:rPr>
          <w:rFonts w:ascii="黑体" w:hAnsi="黑体" w:eastAsia="黑体"/>
          <w:sz w:val="32"/>
          <w:szCs w:val="32"/>
        </w:rPr>
      </w:pPr>
      <w:r>
        <w:rPr>
          <w:rFonts w:hint="eastAsia" w:ascii="黑体" w:hAnsi="黑体" w:eastAsia="黑体" w:cs="黑体"/>
          <w:sz w:val="32"/>
          <w:szCs w:val="32"/>
        </w:rPr>
        <w:t>年度发展规划目标</w:t>
      </w:r>
    </w:p>
    <w:p>
      <w:pPr>
        <w:spacing w:line="620" w:lineRule="exact"/>
        <w:ind w:firstLine="640" w:firstLineChars="200"/>
        <w:rPr>
          <w:rFonts w:ascii="仿宋" w:hAnsi="仿宋" w:eastAsia="仿宋" w:cs="仿宋"/>
          <w:sz w:val="32"/>
          <w:szCs w:val="32"/>
        </w:rPr>
      </w:pPr>
      <w:r>
        <w:rPr>
          <w:rFonts w:ascii="仿宋" w:hAnsi="仿宋" w:eastAsia="仿宋" w:cs="仿宋"/>
          <w:sz w:val="32"/>
          <w:szCs w:val="32"/>
        </w:rPr>
        <w:t>2018年，是我县脱贫攻坚工作全面出成效的一年，是推进贫困地区基础设施建设和特色产业大发展的一年。县扶贫办将深入贯彻落实党的省、市、县脱贫攻坚工作精神，严格按照“六个精准”“五个一批”，以促进贫困群众稳定增收为核心，以十大脱贫工程为抓手，破解发展难题，加快脱贫进程，确保全县贫困群众早日实现脱贫目标，2020年同步实现小康社会的奋斗目标。</w:t>
      </w:r>
      <w:r>
        <w:rPr>
          <w:rFonts w:hint="eastAsia" w:ascii="仿宋" w:hAnsi="仿宋" w:eastAsia="仿宋" w:cs="仿宋"/>
          <w:sz w:val="32"/>
          <w:szCs w:val="32"/>
        </w:rPr>
        <w:t>。</w:t>
      </w:r>
    </w:p>
    <w:p>
      <w:pPr>
        <w:ind w:firstLine="320" w:firstLineChars="100"/>
        <w:jc w:val="left"/>
        <w:rPr>
          <w:rFonts w:ascii="黑体" w:hAnsi="黑体" w:eastAsia="黑体"/>
          <w:sz w:val="32"/>
          <w:szCs w:val="32"/>
        </w:rPr>
      </w:pPr>
      <w:r>
        <w:rPr>
          <w:rFonts w:hint="eastAsia" w:ascii="黑体" w:hAnsi="黑体" w:eastAsia="黑体" w:cs="黑体"/>
          <w:sz w:val="32"/>
          <w:szCs w:val="32"/>
        </w:rPr>
        <w:t>（二）职责分类绩效目标</w:t>
      </w:r>
    </w:p>
    <w:p>
      <w:pPr>
        <w:spacing w:line="500" w:lineRule="exact"/>
        <w:ind w:firstLine="560"/>
        <w:rPr>
          <w:rFonts w:ascii="仿宋" w:hAnsi="仿宋" w:eastAsia="仿宋" w:cs="仿宋"/>
          <w:sz w:val="32"/>
          <w:szCs w:val="32"/>
        </w:rPr>
      </w:pPr>
      <w:bookmarkStart w:id="0" w:name="_Toc477881155"/>
      <w:r>
        <w:rPr>
          <w:rFonts w:ascii="仿宋" w:hAnsi="仿宋" w:eastAsia="仿宋" w:cs="仿宋"/>
          <w:sz w:val="32"/>
          <w:szCs w:val="32"/>
        </w:rPr>
        <w:t>1、大力发展产业扶贫。发展特色种植、生态养殖、乡村旅游、家庭手工业扶贫、光伏产业扶贫、电商扶贫。发展壮大宝迪养猪、中草药种植产业、家庭手工业等产业发展规模。</w:t>
      </w:r>
    </w:p>
    <w:p>
      <w:pPr>
        <w:spacing w:line="500" w:lineRule="exact"/>
        <w:ind w:firstLine="560"/>
        <w:rPr>
          <w:rFonts w:ascii="仿宋" w:hAnsi="仿宋" w:eastAsia="仿宋" w:cs="仿宋"/>
          <w:sz w:val="32"/>
          <w:szCs w:val="32"/>
        </w:rPr>
      </w:pPr>
      <w:r>
        <w:rPr>
          <w:rFonts w:ascii="仿宋" w:hAnsi="仿宋" w:eastAsia="仿宋" w:cs="仿宋"/>
          <w:sz w:val="32"/>
          <w:szCs w:val="32"/>
        </w:rPr>
        <w:t>2、实施就业创业扶贫。加强就业创业培训力度，不断加大培训资金投入，大规模开展贫困户技术培训及职业培训；借京冀对口帮扶等有利契机，做好劳务输出和转移就业服务；鼓励贫困劳动力自主创业。</w:t>
      </w:r>
    </w:p>
    <w:p>
      <w:pPr>
        <w:spacing w:line="500" w:lineRule="exact"/>
        <w:ind w:firstLine="560"/>
        <w:rPr>
          <w:rFonts w:ascii="仿宋" w:hAnsi="仿宋" w:eastAsia="仿宋" w:cs="仿宋"/>
          <w:sz w:val="32"/>
          <w:szCs w:val="32"/>
        </w:rPr>
      </w:pPr>
      <w:r>
        <w:rPr>
          <w:rFonts w:ascii="仿宋" w:hAnsi="仿宋" w:eastAsia="仿宋" w:cs="仿宋"/>
          <w:sz w:val="32"/>
          <w:szCs w:val="32"/>
        </w:rPr>
        <w:t>3、实施易地精准搬迁。按省市要求，按2017年精准识别搬迁人口，落实好易地扶贫搬迁安置区的入住工作。稳步推进“十三五”易地扶贫搬迁规划；完善后续扶持政策，确保搬迁对象充分就业、发展产业稳定收入，安置管理服务有序，做到安居与乐业并举，搬迁与脱贫同步。</w:t>
      </w:r>
    </w:p>
    <w:p>
      <w:pPr>
        <w:jc w:val="center"/>
        <w:outlineLvl w:val="0"/>
        <w:rPr>
          <w:rFonts w:ascii="黑体" w:hAnsi="黑体" w:eastAsia="黑体" w:cs="黑体"/>
          <w:sz w:val="32"/>
          <w:szCs w:val="32"/>
        </w:rPr>
      </w:pPr>
    </w:p>
    <w:p>
      <w:pPr>
        <w:ind w:firstLine="640" w:firstLineChars="200"/>
        <w:outlineLvl w:val="0"/>
        <w:rPr>
          <w:rFonts w:ascii="黑体" w:hAnsi="黑体" w:eastAsia="黑体"/>
          <w:sz w:val="32"/>
          <w:szCs w:val="32"/>
        </w:rPr>
      </w:pPr>
      <w:r>
        <w:rPr>
          <w:rFonts w:hint="eastAsia" w:ascii="黑体" w:hAnsi="黑体" w:eastAsia="黑体" w:cs="黑体"/>
          <w:sz w:val="32"/>
          <w:szCs w:val="32"/>
        </w:rPr>
        <w:t>二、部门职责</w:t>
      </w:r>
      <w:r>
        <w:rPr>
          <w:rFonts w:ascii="黑体" w:hAnsi="黑体" w:eastAsia="黑体" w:cs="黑体"/>
          <w:sz w:val="32"/>
          <w:szCs w:val="32"/>
        </w:rPr>
        <w:t>-</w:t>
      </w:r>
      <w:r>
        <w:rPr>
          <w:rFonts w:hint="eastAsia" w:ascii="黑体" w:hAnsi="黑体" w:eastAsia="黑体" w:cs="黑体"/>
          <w:sz w:val="32"/>
          <w:szCs w:val="32"/>
        </w:rPr>
        <w:t>工作活动绩效目标</w:t>
      </w:r>
      <w:bookmarkEnd w:id="0"/>
    </w:p>
    <w:tbl>
      <w:tblPr>
        <w:tblStyle w:val="7"/>
        <w:tblW w:w="139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475涞源县扶贫开发办公室</w:t>
            </w:r>
          </w:p>
        </w:tc>
        <w:tc>
          <w:tcPr>
            <w:tcW w:w="2948"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1417" w:type="dxa"/>
            <w:vMerge w:val="continue"/>
            <w:shd w:val="clear" w:color="auto" w:fill="auto"/>
            <w:vAlign w:val="center"/>
          </w:tcPr>
          <w:p>
            <w:pPr>
              <w:spacing w:line="300" w:lineRule="exact"/>
              <w:jc w:val="left"/>
              <w:outlineLvl w:val="0"/>
            </w:pP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一、扶贫开发项目管理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1000.00</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拟定并组织实施中长期扶贫开发规划和年度计划；拟定扶贫开发资金和物资的分配、使用意见；负责产业化扶贫工作，督导各类资金投入扶贫项目的计划实施和管理；配合县发改委编制易地扶贫搬迁规划并抓好落实；广泛动员党政机关、企事业单位及社会力量参与扶贫开发、扶贫帮困，配合省直、市直、县直单位定点扶贫工作。</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坚持规划引领和机制创新，整合加大扶贫投入，按照精准扶贫、精准脱贫要求，大力实施扶贫工程和产业化扶贫项目，</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、扶贫规划实施与统计监测</w:t>
            </w:r>
          </w:p>
        </w:tc>
        <w:tc>
          <w:tcPr>
            <w:tcW w:w="1276" w:type="dxa"/>
            <w:vMerge w:val="restart"/>
            <w:shd w:val="clear" w:color="auto" w:fill="auto"/>
            <w:vAlign w:val="center"/>
          </w:tcPr>
          <w:p>
            <w:pPr>
              <w:spacing w:line="300" w:lineRule="exact"/>
              <w:jc w:val="left"/>
              <w:rPr>
                <w:rFonts w:ascii="方正书宋_GBK" w:eastAsia="方正书宋_GBK"/>
              </w:rPr>
            </w:pP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组织编制全县扶贫开发中长期规划和年度计划，对规划执行、贫困状况、脱贫进展等进行统计监测分析。</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加强统筹协调，强化督导、评估、监测，保证扶贫规划和年度计划目标如期实现。</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年度规划</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300%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97%</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年度扶贫统计监测工作完成情况</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省、市对县扶贫开发工作考核结果</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年度规划</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200%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96%</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完成规划编制</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年度农村贫困人口稳定脱贫数量占年度计划脱贫数量比率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年度规划</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、财政投入项目</w:t>
            </w:r>
          </w:p>
        </w:tc>
        <w:tc>
          <w:tcPr>
            <w:tcW w:w="1276" w:type="dxa"/>
            <w:vMerge w:val="restart"/>
            <w:shd w:val="clear" w:color="auto" w:fill="auto"/>
            <w:vAlign w:val="center"/>
          </w:tcPr>
          <w:p>
            <w:pPr>
              <w:spacing w:line="300" w:lineRule="exact"/>
              <w:jc w:val="left"/>
              <w:rPr>
                <w:rFonts w:ascii="方正书宋_GBK" w:eastAsia="方正书宋_GBK"/>
              </w:rPr>
            </w:pPr>
            <w:r>
              <w:rPr>
                <w:rFonts w:ascii="方正书宋_GBK" w:eastAsia="方正书宋_GBK"/>
              </w:rPr>
              <w:t>1000.00</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落实财政专项扶贫资金管理办法，组织实施年度专项扶贫工程和产业化扶贫项目。加大金融扶贫工作力度。加强扶贫资金项目监管。搞好科教扶贫工作。</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高效使用财政性扶贫开发资金，引导、放大金融资金，有效扩大扶贫项目贷款投放量，顺利推进扶贫项目建设、运行。</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年度贫困县农民人均纯收入增幅超过全是平均水平</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cs" w:ascii="方正书宋_GBK" w:eastAsia="方正书宋_GBK"/>
              </w:rPr>
              <w:t>“</w:t>
            </w:r>
            <w:r>
              <w:rPr>
                <w:rFonts w:hint="eastAsia" w:ascii="方正书宋_GBK" w:eastAsia="方正书宋_GBK"/>
              </w:rPr>
              <w:t>两区</w:t>
            </w:r>
            <w:r>
              <w:rPr>
                <w:rFonts w:hint="cs" w:ascii="方正书宋_GBK" w:eastAsia="方正书宋_GBK"/>
              </w:rPr>
              <w:t>”</w:t>
            </w:r>
            <w:r>
              <w:rPr>
                <w:rFonts w:hint="eastAsia" w:ascii="方正书宋_GBK" w:eastAsia="方正书宋_GBK"/>
              </w:rPr>
              <w:t>同步进度</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年度举报和检查发现问题实际查处数占年度举报和检查发现问题总数比率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年度易地扶贫搬迁人数根据时间节点推进</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年度财政扶贫报账率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特色产业、旅游片区、家庭手工业、光伏扶贫、电商扶贫、现代农业园区完成情况发展等项</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年度政策性银行扶贫贷款投放情况</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、社会投入项目</w:t>
            </w:r>
          </w:p>
        </w:tc>
        <w:tc>
          <w:tcPr>
            <w:tcW w:w="1276" w:type="dxa"/>
            <w:vMerge w:val="restart"/>
            <w:shd w:val="clear" w:color="auto" w:fill="auto"/>
            <w:vAlign w:val="center"/>
          </w:tcPr>
          <w:p>
            <w:pPr>
              <w:spacing w:line="300" w:lineRule="exact"/>
              <w:jc w:val="left"/>
              <w:rPr>
                <w:rFonts w:ascii="方正书宋_GBK" w:eastAsia="方正书宋_GBK"/>
              </w:rPr>
            </w:pP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按照中央精准扶贫要求，为每个贫困村、贫困户落实帮扶单位、帮扶人员和帮扶措施，协调动员社会各界参与扶贫开发，提高社会扶贫实效。负责社会各界扶贫捐赠资金、物资和项目的接收和管理工作。</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为每个建档立卡贫困村、贫困户落实帮扶单位、帮扶人员和帮扶措施，不脱贫不脱钩。社会捐赠扶贫开发资金高效使用，相关项目顺利推进。</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调查了解接受帮扶的贫困村或贫困人员对扶贫工作落实的满意程度</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全县贫困村帮扶单位（人员）实际到位数量占应到位数量比率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全县贫困户帮扶责任人实际到位数量占应到位数量比率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二、扶贫开发人才建设</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落实《全国扶贫人才发展规划（</w:t>
            </w:r>
            <w:r>
              <w:rPr>
                <w:rFonts w:ascii="方正书宋_GBK" w:eastAsia="方正书宋_GBK"/>
              </w:rPr>
              <w:t>2011-2021</w:t>
            </w:r>
            <w:r>
              <w:rPr>
                <w:rFonts w:hint="eastAsia" w:ascii="方正书宋_GBK" w:eastAsia="方正书宋_GBK"/>
              </w:rPr>
              <w:t>年）》等文件要求</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加强县、村扶贫干部培训，为打好脱贫攻坚战提供智力支持和人才支撑。加大贫困人口实用技术和技能培训以及劳动力转移培训，实现依靠技能脱贫。</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、人才技能培训</w:t>
            </w:r>
          </w:p>
        </w:tc>
        <w:tc>
          <w:tcPr>
            <w:tcW w:w="1276" w:type="dxa"/>
            <w:vMerge w:val="restart"/>
            <w:shd w:val="clear" w:color="auto" w:fill="auto"/>
            <w:vAlign w:val="center"/>
          </w:tcPr>
          <w:p>
            <w:pPr>
              <w:spacing w:line="300" w:lineRule="exact"/>
              <w:jc w:val="left"/>
              <w:rPr>
                <w:rFonts w:ascii="方正书宋_GBK" w:eastAsia="方正书宋_GBK"/>
              </w:rPr>
            </w:pP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加强贫困村人力资源开发，使贫困群众掌握实用技术和就业技能；加强贫困村党政干部队伍、扶贫业务骨干、扶贫帮扶干部培训和能力建设。</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提高扶贫干部队伍整体素质，增强贫困群众脱贫致富和就业本领。</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对报名且符合条件的全部完成</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年度负责相关扶贫干部实际培训人数占年度扶贫干部计划培训人数比率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三、政务管理</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负责系统综合业务管理。</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确保各项业务工作谋划到位顺利开展。保障机关工作高效运转。</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、综合业务管理</w:t>
            </w:r>
          </w:p>
        </w:tc>
        <w:tc>
          <w:tcPr>
            <w:tcW w:w="1276" w:type="dxa"/>
            <w:vMerge w:val="restart"/>
            <w:shd w:val="clear" w:color="auto" w:fill="auto"/>
            <w:vAlign w:val="center"/>
          </w:tcPr>
          <w:p>
            <w:pPr>
              <w:spacing w:line="300" w:lineRule="exact"/>
              <w:jc w:val="left"/>
              <w:rPr>
                <w:rFonts w:ascii="方正书宋_GBK" w:eastAsia="方正书宋_GBK"/>
              </w:rPr>
            </w:pP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负责全县扶贫开发工作信息交流，组织扶贫开发重大问题的调查研究和扶贫开发的宣传报道。</w:t>
            </w:r>
          </w:p>
        </w:tc>
        <w:tc>
          <w:tcPr>
            <w:tcW w:w="2976" w:type="dxa"/>
            <w:vMerge w:val="restart"/>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提高扶贫干部队伍整体素质，增强贫困群众脱贫致富和就业本领。</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综合业务管理工作完成情况</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rPr>
            </w:pPr>
          </w:p>
        </w:tc>
        <w:tc>
          <w:tcPr>
            <w:tcW w:w="12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2976" w:type="dxa"/>
            <w:vMerge w:val="continue"/>
            <w:shd w:val="clear" w:color="auto" w:fill="auto"/>
            <w:vAlign w:val="center"/>
          </w:tcPr>
          <w:p>
            <w:pPr>
              <w:spacing w:line="300" w:lineRule="exact"/>
              <w:jc w:val="left"/>
              <w:rPr>
                <w:rFonts w:ascii="方正书宋_GBK" w:eastAsia="方正书宋_GBK"/>
              </w:rPr>
            </w:pP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年度劳动力转移培训就业人数占年度劳动力转移培训计划人数的比率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、综合事务管理</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会议组织管理、信息化建设与维护、财务和资产管理。</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保障单位工作正常高效运转。</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综合事务管理工作完成情况</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四、统计评估</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负责全县建档立卡、精准识别、贫困退出等工作</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完善建档立卡系统，精准识别贫困人员，做好贫困退出工作</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、负责全县建档立卡、精准识别、贫困退出等工作</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负责做好精准识别有关政策讲解</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及时准确录入建档立卡系统，识别贫困退出人员</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贫困人口录入率</w:t>
            </w: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bl>
    <w:p>
      <w:pPr>
        <w:spacing w:line="300" w:lineRule="exact"/>
        <w:jc w:val="left"/>
        <w:outlineLvl w:val="0"/>
        <w:sectPr>
          <w:footerReference r:id="rId3" w:type="default"/>
          <w:pgSz w:w="16839" w:h="11907" w:orient="landscape"/>
          <w:pgMar w:top="1020" w:right="1361" w:bottom="1020" w:left="1361" w:header="851" w:footer="992" w:gutter="0"/>
          <w:cols w:space="425" w:num="1"/>
          <w:docGrid w:type="lines" w:linePitch="312" w:charSpace="0"/>
        </w:sectPr>
      </w:pPr>
    </w:p>
    <w:p>
      <w:pPr>
        <w:jc w:val="center"/>
        <w:outlineLvl w:val="0"/>
        <w:rPr>
          <w:rFonts w:ascii="黑体" w:hAnsi="黑体" w:eastAsia="黑体"/>
          <w:sz w:val="32"/>
          <w:szCs w:val="32"/>
        </w:rPr>
      </w:pPr>
      <w:bookmarkStart w:id="1" w:name="_Toc477881156"/>
      <w:r>
        <w:rPr>
          <w:rFonts w:hint="eastAsia" w:ascii="黑体" w:hAnsi="黑体" w:eastAsia="黑体" w:cs="黑体"/>
          <w:sz w:val="32"/>
          <w:szCs w:val="32"/>
        </w:rPr>
        <w:t>第六部分：政府采购预算情况</w:t>
      </w:r>
    </w:p>
    <w:p>
      <w:pPr>
        <w:ind w:firstLine="640" w:firstLineChars="200"/>
        <w:outlineLvl w:val="0"/>
        <w:rPr>
          <w:rFonts w:ascii="仿宋" w:hAnsi="仿宋" w:eastAsia="仿宋"/>
          <w:sz w:val="32"/>
          <w:szCs w:val="32"/>
        </w:rPr>
      </w:pPr>
      <w:r>
        <w:rPr>
          <w:rFonts w:hint="eastAsia" w:ascii="仿宋" w:hAnsi="仿宋" w:eastAsia="仿宋" w:cs="仿宋"/>
          <w:sz w:val="32"/>
          <w:szCs w:val="32"/>
        </w:rPr>
        <w:t>我部门</w:t>
      </w:r>
      <w:r>
        <w:rPr>
          <w:rFonts w:ascii="仿宋" w:hAnsi="仿宋" w:eastAsia="仿宋" w:cs="仿宋"/>
          <w:sz w:val="32"/>
          <w:szCs w:val="32"/>
        </w:rPr>
        <w:t>201</w:t>
      </w:r>
      <w:r>
        <w:rPr>
          <w:rFonts w:hint="eastAsia" w:ascii="仿宋" w:hAnsi="仿宋" w:eastAsia="仿宋" w:cs="仿宋"/>
          <w:sz w:val="32"/>
          <w:szCs w:val="32"/>
        </w:rPr>
        <w:t>8年无政府采购预算。</w:t>
      </w:r>
    </w:p>
    <w:p>
      <w:pPr>
        <w:jc w:val="center"/>
        <w:outlineLvl w:val="0"/>
        <w:rPr>
          <w:rFonts w:ascii="方正小标宋_GBK" w:eastAsia="方正小标宋_GBK"/>
          <w:sz w:val="32"/>
          <w:szCs w:val="32"/>
        </w:rPr>
      </w:pPr>
      <w:r>
        <w:rPr>
          <w:rFonts w:hint="eastAsia" w:ascii="方正小标宋_GBK" w:eastAsia="方正小标宋_GBK" w:cs="方正小标宋_GBK"/>
          <w:sz w:val="32"/>
          <w:szCs w:val="32"/>
        </w:rPr>
        <w:t>第七部门：国有资产信息情况说明</w:t>
      </w:r>
    </w:p>
    <w:p>
      <w:pPr>
        <w:ind w:firstLine="640" w:firstLineChars="200"/>
        <w:outlineLvl w:val="0"/>
        <w:rPr>
          <w:rFonts w:ascii="仿宋" w:hAnsi="仿宋" w:eastAsia="仿宋"/>
          <w:sz w:val="32"/>
          <w:szCs w:val="32"/>
        </w:rPr>
      </w:pPr>
      <w:r>
        <w:rPr>
          <w:rFonts w:hint="eastAsia" w:ascii="仿宋" w:hAnsi="仿宋" w:eastAsia="仿宋" w:cs="仿宋"/>
          <w:sz w:val="32"/>
          <w:szCs w:val="32"/>
        </w:rPr>
        <w:t>涞源县扶贫开发局</w:t>
      </w:r>
      <w:r>
        <w:rPr>
          <w:rFonts w:ascii="仿宋" w:hAnsi="仿宋" w:eastAsia="仿宋" w:cs="仿宋"/>
          <w:sz w:val="32"/>
          <w:szCs w:val="32"/>
        </w:rPr>
        <w:t>201</w:t>
      </w:r>
      <w:r>
        <w:rPr>
          <w:rFonts w:hint="eastAsia" w:ascii="仿宋" w:hAnsi="仿宋" w:eastAsia="仿宋" w:cs="仿宋"/>
          <w:sz w:val="32"/>
          <w:szCs w:val="32"/>
        </w:rPr>
        <w:t>7年末固定资产总值55.1909万元，2018年无拟购置情况。</w:t>
      </w:r>
    </w:p>
    <w:tbl>
      <w:tblPr>
        <w:tblStyle w:val="7"/>
        <w:tblW w:w="8804" w:type="dxa"/>
        <w:tblInd w:w="-106" w:type="dxa"/>
        <w:tblLayout w:type="fixed"/>
        <w:tblCellMar>
          <w:top w:w="0" w:type="dxa"/>
          <w:left w:w="108" w:type="dxa"/>
          <w:bottom w:w="0" w:type="dxa"/>
          <w:right w:w="108" w:type="dxa"/>
        </w:tblCellMar>
      </w:tblPr>
      <w:tblGrid>
        <w:gridCol w:w="3811"/>
        <w:gridCol w:w="1591"/>
        <w:gridCol w:w="3402"/>
      </w:tblGrid>
      <w:tr>
        <w:tblPrEx>
          <w:tblLayout w:type="fixed"/>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pPr>
              <w:widowControl/>
              <w:jc w:val="center"/>
              <w:rPr>
                <w:rFonts w:ascii="宋体"/>
                <w:color w:val="000000"/>
                <w:kern w:val="0"/>
                <w:sz w:val="28"/>
                <w:szCs w:val="28"/>
              </w:rPr>
            </w:pPr>
            <w:r>
              <w:rPr>
                <w:rFonts w:hint="eastAsia" w:ascii="仿宋" w:hAnsi="仿宋" w:eastAsia="仿宋" w:cs="仿宋"/>
                <w:sz w:val="32"/>
                <w:szCs w:val="32"/>
              </w:rPr>
              <w:t>涞源县扶贫开发局固定资产占用情况表</w:t>
            </w:r>
          </w:p>
        </w:tc>
      </w:tr>
      <w:tr>
        <w:tblPrEx>
          <w:tblLayout w:type="fixed"/>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pPr>
              <w:widowControl/>
              <w:jc w:val="center"/>
              <w:rPr>
                <w:rFonts w:ascii="仿宋_GB2312" w:hAnsi="宋体" w:eastAsia="仿宋_GB2312"/>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截止时间：</w:t>
            </w:r>
            <w:r>
              <w:rPr>
                <w:rFonts w:ascii="仿宋_GB2312" w:hAnsi="宋体" w:eastAsia="仿宋_GB2312" w:cs="仿宋_GB2312"/>
                <w:color w:val="000000"/>
                <w:kern w:val="0"/>
                <w:sz w:val="32"/>
                <w:szCs w:val="32"/>
              </w:rPr>
              <w:t>201</w:t>
            </w:r>
            <w:r>
              <w:rPr>
                <w:rFonts w:hint="eastAsia" w:ascii="仿宋_GB2312" w:hAnsi="宋体" w:eastAsia="仿宋_GB2312" w:cs="仿宋_GB2312"/>
                <w:color w:val="000000"/>
                <w:kern w:val="0"/>
                <w:sz w:val="32"/>
                <w:szCs w:val="32"/>
              </w:rPr>
              <w:t>7年</w:t>
            </w:r>
            <w:r>
              <w:rPr>
                <w:rFonts w:ascii="仿宋_GB2312" w:hAnsi="宋体" w:eastAsia="仿宋_GB2312" w:cs="仿宋_GB2312"/>
                <w:color w:val="000000"/>
                <w:kern w:val="0"/>
                <w:sz w:val="32"/>
                <w:szCs w:val="32"/>
              </w:rPr>
              <w:t>12</w:t>
            </w:r>
            <w:r>
              <w:rPr>
                <w:rFonts w:hint="eastAsia" w:ascii="仿宋_GB2312" w:hAnsi="宋体" w:eastAsia="仿宋_GB2312" w:cs="仿宋_GB2312"/>
                <w:color w:val="000000"/>
                <w:kern w:val="0"/>
                <w:sz w:val="32"/>
                <w:szCs w:val="32"/>
              </w:rPr>
              <w:t>月</w:t>
            </w:r>
            <w:r>
              <w:rPr>
                <w:rFonts w:ascii="仿宋_GB2312" w:hAnsi="宋体" w:eastAsia="仿宋_GB2312" w:cs="仿宋_GB2312"/>
                <w:color w:val="000000"/>
                <w:kern w:val="0"/>
                <w:sz w:val="32"/>
                <w:szCs w:val="32"/>
              </w:rPr>
              <w:t>31</w:t>
            </w:r>
            <w:r>
              <w:rPr>
                <w:rFonts w:hint="eastAsia" w:ascii="仿宋_GB2312" w:hAnsi="宋体" w:eastAsia="仿宋_GB2312" w:cs="仿宋_GB2312"/>
                <w:color w:val="000000"/>
                <w:kern w:val="0"/>
                <w:sz w:val="32"/>
                <w:szCs w:val="32"/>
              </w:rPr>
              <w:t>日</w:t>
            </w:r>
          </w:p>
        </w:tc>
      </w:tr>
      <w:tr>
        <w:tblPrEx>
          <w:tblLayout w:type="fixed"/>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pPr>
              <w:widowControl/>
              <w:jc w:val="center"/>
              <w:rPr>
                <w:rFonts w:ascii="宋体"/>
                <w:b/>
                <w:bCs/>
                <w:color w:val="000000"/>
                <w:kern w:val="0"/>
                <w:sz w:val="24"/>
                <w:szCs w:val="24"/>
              </w:rPr>
            </w:pPr>
            <w:r>
              <w:rPr>
                <w:rFonts w:hint="eastAsia" w:ascii="宋体" w:hAnsi="宋体"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pPr>
              <w:widowControl/>
              <w:jc w:val="center"/>
              <w:rPr>
                <w:rFonts w:ascii="宋体"/>
                <w:b/>
                <w:bCs/>
                <w:color w:val="000000"/>
                <w:kern w:val="0"/>
                <w:sz w:val="24"/>
                <w:szCs w:val="24"/>
              </w:rPr>
            </w:pPr>
            <w:r>
              <w:rPr>
                <w:rFonts w:hint="eastAsia" w:ascii="宋体" w:hAnsi="宋体" w:cs="宋体"/>
                <w:b/>
                <w:bCs/>
                <w:color w:val="000000"/>
                <w:kern w:val="0"/>
                <w:sz w:val="24"/>
                <w:szCs w:val="24"/>
              </w:rPr>
              <w:t>价值（单位：万元）</w:t>
            </w:r>
          </w:p>
        </w:tc>
      </w:tr>
      <w:tr>
        <w:tblPrEx>
          <w:tblLayout w:type="fixed"/>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pPr>
              <w:widowControl/>
              <w:jc w:val="center"/>
              <w:rPr>
                <w:rFonts w:ascii="宋体"/>
                <w:b/>
                <w:bCs/>
                <w:color w:val="000000"/>
                <w:kern w:val="0"/>
                <w:sz w:val="24"/>
                <w:szCs w:val="24"/>
              </w:rPr>
            </w:pPr>
            <w:r>
              <w:rPr>
                <w:rFonts w:hint="eastAsia" w:ascii="宋体" w:hAnsi="宋体" w:cs="宋体"/>
                <w:b/>
                <w:bCs/>
                <w:color w:val="000000"/>
                <w:kern w:val="0"/>
                <w:sz w:val="24"/>
                <w:szCs w:val="24"/>
              </w:rPr>
              <w:t>55.1909</w:t>
            </w:r>
          </w:p>
        </w:tc>
      </w:tr>
      <w:tr>
        <w:tblPrEx>
          <w:tblLayout w:type="fixed"/>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p>
        </w:tc>
        <w:tc>
          <w:tcPr>
            <w:tcW w:w="3402"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p>
        </w:tc>
      </w:tr>
      <w:tr>
        <w:tblPrEx>
          <w:tblLayout w:type="fixed"/>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olor w:val="000000"/>
                <w:kern w:val="0"/>
                <w:sz w:val="24"/>
                <w:szCs w:val="24"/>
              </w:rPr>
            </w:pPr>
          </w:p>
        </w:tc>
        <w:tc>
          <w:tcPr>
            <w:tcW w:w="3402" w:type="dxa"/>
            <w:tcBorders>
              <w:top w:val="single" w:color="auto" w:sz="4" w:space="0"/>
              <w:left w:val="nil"/>
              <w:bottom w:val="single" w:color="auto" w:sz="4" w:space="0"/>
              <w:right w:val="single" w:color="auto" w:sz="4" w:space="0"/>
            </w:tcBorders>
            <w:vAlign w:val="center"/>
          </w:tcPr>
          <w:p>
            <w:pPr>
              <w:jc w:val="center"/>
              <w:rPr>
                <w:rFonts w:ascii="宋体"/>
                <w:color w:val="000000"/>
                <w:kern w:val="0"/>
                <w:sz w:val="24"/>
                <w:szCs w:val="24"/>
              </w:rPr>
            </w:pPr>
          </w:p>
        </w:tc>
      </w:tr>
      <w:tr>
        <w:tblPrEx>
          <w:tblLayout w:type="fixed"/>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r>
              <w:rPr>
                <w:rFonts w:hint="eastAsia" w:ascii="宋体" w:hAnsi="宋体" w:cs="宋体"/>
                <w:color w:val="000000"/>
                <w:kern w:val="0"/>
                <w:sz w:val="24"/>
                <w:szCs w:val="24"/>
              </w:rPr>
              <w:t>1</w:t>
            </w:r>
          </w:p>
        </w:tc>
        <w:tc>
          <w:tcPr>
            <w:tcW w:w="3402"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r>
              <w:rPr>
                <w:rFonts w:hint="eastAsia" w:ascii="宋体" w:hAnsi="宋体" w:cs="宋体"/>
                <w:color w:val="000000"/>
                <w:kern w:val="0"/>
                <w:sz w:val="24"/>
                <w:szCs w:val="24"/>
              </w:rPr>
              <w:t>7.5</w:t>
            </w:r>
          </w:p>
        </w:tc>
      </w:tr>
      <w:tr>
        <w:tblPrEx>
          <w:tblLayout w:type="fixed"/>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pPr>
              <w:widowControl/>
              <w:jc w:val="center"/>
              <w:rPr>
                <w:rFonts w:ascii="宋体"/>
                <w:color w:val="000000"/>
                <w:kern w:val="0"/>
                <w:sz w:val="24"/>
                <w:szCs w:val="24"/>
              </w:rPr>
            </w:pPr>
          </w:p>
        </w:tc>
      </w:tr>
      <w:tr>
        <w:tblPrEx>
          <w:tblLayout w:type="fixed"/>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olor w:val="000000"/>
                <w:kern w:val="0"/>
                <w:sz w:val="24"/>
                <w:szCs w:val="24"/>
              </w:rPr>
            </w:pPr>
            <w:r>
              <w:rPr>
                <w:rFonts w:ascii="宋体" w:hAnsi="宋体" w:cs="宋体"/>
                <w:color w:val="000000"/>
                <w:kern w:val="0"/>
                <w:sz w:val="24"/>
                <w:szCs w:val="24"/>
              </w:rPr>
              <w:t>—</w:t>
            </w:r>
          </w:p>
        </w:tc>
        <w:tc>
          <w:tcPr>
            <w:tcW w:w="3402" w:type="dxa"/>
            <w:tcBorders>
              <w:top w:val="single" w:color="auto" w:sz="4" w:space="0"/>
              <w:left w:val="nil"/>
              <w:bottom w:val="single" w:color="auto" w:sz="4" w:space="0"/>
              <w:right w:val="single" w:color="auto" w:sz="4" w:space="0"/>
            </w:tcBorders>
            <w:vAlign w:val="center"/>
          </w:tcPr>
          <w:p>
            <w:pPr>
              <w:jc w:val="center"/>
              <w:rPr>
                <w:rFonts w:ascii="宋体"/>
                <w:color w:val="000000"/>
                <w:kern w:val="0"/>
                <w:sz w:val="24"/>
                <w:szCs w:val="24"/>
              </w:rPr>
            </w:pPr>
            <w:r>
              <w:rPr>
                <w:rFonts w:hint="eastAsia" w:ascii="宋体" w:hAnsi="宋体" w:cs="宋体"/>
                <w:color w:val="000000"/>
                <w:kern w:val="0"/>
                <w:sz w:val="24"/>
                <w:szCs w:val="24"/>
              </w:rPr>
              <w:t>47.6909</w:t>
            </w:r>
          </w:p>
        </w:tc>
      </w:tr>
    </w:tbl>
    <w:p>
      <w:pPr>
        <w:spacing w:line="520" w:lineRule="exact"/>
        <w:ind w:firstLine="640" w:firstLineChars="200"/>
        <w:jc w:val="center"/>
        <w:rPr>
          <w:rFonts w:ascii="黑体" w:hAnsi="黑体" w:eastAsia="黑体"/>
          <w:sz w:val="32"/>
          <w:szCs w:val="32"/>
        </w:rPr>
      </w:pPr>
    </w:p>
    <w:p>
      <w:pPr>
        <w:spacing w:line="520" w:lineRule="exact"/>
        <w:ind w:firstLine="640" w:firstLineChars="200"/>
        <w:jc w:val="left"/>
        <w:outlineLvl w:val="0"/>
        <w:rPr>
          <w:rFonts w:ascii="仿宋_GB2312" w:hAnsi="仿宋" w:eastAsia="仿宋_GB2312"/>
          <w:sz w:val="32"/>
          <w:szCs w:val="32"/>
        </w:rPr>
      </w:pPr>
    </w:p>
    <w:p>
      <w:pPr>
        <w:spacing w:line="500" w:lineRule="exact"/>
        <w:ind w:firstLine="627" w:firstLineChars="196"/>
        <w:jc w:val="center"/>
        <w:outlineLvl w:val="0"/>
        <w:rPr>
          <w:rFonts w:ascii="黑体" w:hAnsi="黑体" w:eastAsia="黑体"/>
          <w:sz w:val="32"/>
          <w:szCs w:val="32"/>
        </w:rPr>
      </w:pPr>
      <w:r>
        <w:rPr>
          <w:rFonts w:hint="eastAsia" w:ascii="黑体" w:hAnsi="黑体" w:eastAsia="黑体" w:cs="黑体"/>
          <w:sz w:val="32"/>
          <w:szCs w:val="32"/>
        </w:rPr>
        <w:t>第八部分：名词解释</w:t>
      </w:r>
    </w:p>
    <w:p>
      <w:pPr>
        <w:spacing w:line="500" w:lineRule="exact"/>
        <w:ind w:firstLine="627" w:firstLineChars="196"/>
        <w:jc w:val="center"/>
        <w:outlineLvl w:val="0"/>
        <w:rPr>
          <w:rFonts w:ascii="黑体" w:hAnsi="黑体" w:eastAsia="黑体"/>
          <w:sz w:val="32"/>
          <w:szCs w:val="32"/>
        </w:rPr>
      </w:pPr>
    </w:p>
    <w:p>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指除上述“财政拨款收入”、“事业收入”等以外的收入。</w:t>
      </w:r>
    </w:p>
    <w:p>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 w:hAnsi="仿宋" w:eastAsia="仿宋"/>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 w:hAnsi="仿宋" w:eastAsia="仿宋"/>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pPr>
        <w:ind w:firstLine="800" w:firstLineChars="250"/>
        <w:rPr>
          <w:rFonts w:ascii="仿宋" w:hAnsi="仿宋" w:eastAsia="仿宋"/>
          <w:sz w:val="32"/>
          <w:szCs w:val="32"/>
        </w:rPr>
      </w:pPr>
    </w:p>
    <w:p>
      <w:pPr>
        <w:spacing w:line="500" w:lineRule="exact"/>
        <w:ind w:firstLine="627" w:firstLineChars="196"/>
        <w:jc w:val="center"/>
        <w:outlineLvl w:val="0"/>
        <w:rPr>
          <w:rFonts w:ascii="黑体" w:hAnsi="黑体" w:eastAsia="黑体"/>
          <w:sz w:val="32"/>
          <w:szCs w:val="32"/>
        </w:rPr>
      </w:pPr>
      <w:r>
        <w:rPr>
          <w:rFonts w:hint="eastAsia" w:ascii="黑体" w:hAnsi="黑体" w:eastAsia="黑体" w:cs="黑体"/>
          <w:sz w:val="32"/>
          <w:szCs w:val="32"/>
        </w:rPr>
        <w:t>第九部分：其他需说明的事项</w:t>
      </w:r>
    </w:p>
    <w:p>
      <w:pPr>
        <w:spacing w:line="500" w:lineRule="exact"/>
        <w:ind w:firstLine="627" w:firstLineChars="196"/>
        <w:jc w:val="center"/>
        <w:outlineLvl w:val="0"/>
        <w:rPr>
          <w:rFonts w:ascii="黑体" w:hAnsi="黑体" w:eastAsia="黑体"/>
          <w:sz w:val="32"/>
          <w:szCs w:val="32"/>
        </w:rPr>
      </w:pPr>
    </w:p>
    <w:p>
      <w:pPr>
        <w:spacing w:line="500" w:lineRule="exact"/>
        <w:ind w:firstLine="640" w:firstLineChars="200"/>
        <w:jc w:val="left"/>
        <w:outlineLvl w:val="0"/>
        <w:rPr>
          <w:rFonts w:ascii="黑体" w:hAnsi="黑体" w:eastAsia="黑体"/>
          <w:sz w:val="32"/>
          <w:szCs w:val="32"/>
        </w:rPr>
      </w:pPr>
      <w:r>
        <w:rPr>
          <w:rFonts w:hint="eastAsia" w:ascii="仿宋" w:hAnsi="仿宋" w:eastAsia="仿宋" w:cs="仿宋"/>
          <w:sz w:val="32"/>
          <w:szCs w:val="32"/>
        </w:rPr>
        <w:t>无其他需说明的事项。</w:t>
      </w:r>
    </w:p>
    <w:bookmarkEnd w:id="1"/>
    <w:p>
      <w:pPr>
        <w:ind w:firstLine="800" w:firstLineChars="250"/>
        <w:rPr>
          <w:rFonts w:ascii="仿宋" w:hAnsi="仿宋" w:eastAsia="仿宋"/>
          <w:sz w:val="32"/>
          <w:szCs w:val="32"/>
        </w:rPr>
      </w:pPr>
    </w:p>
    <w:sectPr>
      <w:pgSz w:w="11907" w:h="16839"/>
      <w:pgMar w:top="1361" w:right="1020" w:bottom="1361"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Shruti"/>
    <w:panose1 w:val="02040503050406030204"/>
    <w:charset w:val="00"/>
    <w:family w:val="roman"/>
    <w:pitch w:val="default"/>
    <w:sig w:usb0="00000000" w:usb1="00000000" w:usb2="00000000" w:usb3="00000000" w:csb0="0000019F" w:csb1="00000000"/>
  </w:font>
  <w:font w:name="Calibri">
    <w:altName w:val="Lucida Sans Unicode"/>
    <w:panose1 w:val="020F0502020204030204"/>
    <w:charset w:val="00"/>
    <w:family w:val="swiss"/>
    <w:pitch w:val="default"/>
    <w:sig w:usb0="00000000" w:usb1="00000000" w:usb2="00000001" w:usb3="00000000" w:csb0="0000019F" w:csb1="00000000"/>
  </w:font>
  <w:font w:name="Shruti">
    <w:panose1 w:val="02000500000000000000"/>
    <w:charset w:val="00"/>
    <w:family w:val="auto"/>
    <w:pitch w:val="default"/>
    <w:sig w:usb0="00040000" w:usb1="00000000" w:usb2="00000000" w:usb3="00000000" w:csb0="00000000" w:csb1="00000000"/>
  </w:font>
  <w:font w:name="Lucida Sans Unicode">
    <w:panose1 w:val="020B0602030504020204"/>
    <w:charset w:val="00"/>
    <w:family w:val="auto"/>
    <w:pitch w:val="default"/>
    <w:sig w:usb0="80001AFF" w:usb1="0000396B" w:usb2="00000000" w:usb3="00000000" w:csb0="0000003F" w:csb1="D7F70000"/>
  </w:font>
  <w:font w:name="方正小标宋_GBK">
    <w:altName w:val="宋体"/>
    <w:panose1 w:val="00000000000000000000"/>
    <w:charset w:val="86"/>
    <w:family w:val="roman"/>
    <w:pitch w:val="default"/>
    <w:sig w:usb0="00000000" w:usb1="00000000" w:usb2="0000001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方正书宋_GBK">
    <w:altName w:val="宋体"/>
    <w:panose1 w:val="00000000000000000000"/>
    <w:charset w:val="86"/>
    <w:family w:val="roma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W w:w="14347" w:type="dxa"/>
      <w:tblInd w:w="-113" w:type="dxa"/>
      <w:tblBorders>
        <w:top w:val="none" w:color="auto" w:sz="0" w:space="0"/>
        <w:left w:val="none" w:color="auto" w:sz="0" w:space="0"/>
        <w:bottom w:val="none" w:color="auto" w:sz="0" w:space="0"/>
        <w:right w:val="none" w:color="auto" w:sz="0" w:space="0"/>
        <w:insideH w:val="none" w:color="auto" w:sz="0" w:space="0"/>
        <w:insideV w:val="single" w:color="4F81BD" w:sz="18" w:space="0"/>
      </w:tblBorders>
      <w:tblLayout w:type="fixed"/>
      <w:tblCellMar>
        <w:top w:w="58" w:type="dxa"/>
        <w:left w:w="115" w:type="dxa"/>
        <w:bottom w:w="58" w:type="dxa"/>
        <w:right w:w="115" w:type="dxa"/>
      </w:tblCellMar>
    </w:tblPr>
    <w:tblGrid>
      <w:gridCol w:w="2152"/>
      <w:gridCol w:w="12195"/>
    </w:tblGrid>
    <w:tr>
      <w:tblPrEx>
        <w:tblBorders>
          <w:top w:val="none" w:color="auto" w:sz="0" w:space="0"/>
          <w:left w:val="none" w:color="auto" w:sz="0" w:space="0"/>
          <w:bottom w:val="none" w:color="auto" w:sz="0" w:space="0"/>
          <w:right w:val="none" w:color="auto" w:sz="0" w:space="0"/>
          <w:insideH w:val="none" w:color="auto" w:sz="0" w:space="0"/>
          <w:insideV w:val="single" w:color="4F81BD" w:sz="18" w:space="0"/>
        </w:tblBorders>
        <w:tblLayout w:type="fixed"/>
        <w:tblCellMar>
          <w:top w:w="58" w:type="dxa"/>
          <w:left w:w="115" w:type="dxa"/>
          <w:bottom w:w="58" w:type="dxa"/>
          <w:right w:w="115" w:type="dxa"/>
        </w:tblCellMar>
      </w:tblPrEx>
      <w:tc>
        <w:tcPr>
          <w:tcW w:w="2152" w:type="dxa"/>
        </w:tcPr>
        <w:p>
          <w:pPr>
            <w:pStyle w:val="2"/>
            <w:jc w:val="right"/>
            <w:rPr>
              <w:color w:val="4F81BD"/>
            </w:rPr>
          </w:pPr>
          <w:r>
            <w:fldChar w:fldCharType="begin"/>
          </w:r>
          <w:r>
            <w:instrText xml:space="preserve"> PAGE   \* MERGEFORMAT </w:instrText>
          </w:r>
          <w:r>
            <w:fldChar w:fldCharType="separate"/>
          </w:r>
          <w:r>
            <w:rPr>
              <w:color w:val="4F81BD"/>
              <w:lang w:val="zh-CN"/>
            </w:rPr>
            <w:t>15</w:t>
          </w:r>
          <w:r>
            <w:rPr>
              <w:color w:val="4F81BD"/>
              <w:lang w:val="zh-CN"/>
            </w:rPr>
            <w:fldChar w:fldCharType="end"/>
          </w:r>
        </w:p>
      </w:tc>
      <w:tc>
        <w:tcPr>
          <w:tcW w:w="12195" w:type="dxa"/>
        </w:tcPr>
        <w:p>
          <w:pPr>
            <w:pStyle w:val="2"/>
            <w:rPr>
              <w:color w:val="4F81BD"/>
            </w:rPr>
          </w:pPr>
        </w:p>
      </w:tc>
    </w:tr>
  </w:tbl>
  <w:p>
    <w:pPr>
      <w:pStyle w:val="2"/>
    </w:pP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E01DB"/>
    <w:multiLevelType w:val="multilevel"/>
    <w:tmpl w:val="0F7E01DB"/>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31570200"/>
    <w:multiLevelType w:val="multilevel"/>
    <w:tmpl w:val="31570200"/>
    <w:lvl w:ilvl="0" w:tentative="0">
      <w:start w:val="1"/>
      <w:numFmt w:val="none"/>
      <w:lvlText w:val="一、"/>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825"/>
    <w:rsid w:val="000B4534"/>
    <w:rsid w:val="00107BFB"/>
    <w:rsid w:val="001872BF"/>
    <w:rsid w:val="001D3384"/>
    <w:rsid w:val="00217A1A"/>
    <w:rsid w:val="00263825"/>
    <w:rsid w:val="00265E3B"/>
    <w:rsid w:val="00273936"/>
    <w:rsid w:val="00277327"/>
    <w:rsid w:val="00295744"/>
    <w:rsid w:val="003A4B93"/>
    <w:rsid w:val="003A7A29"/>
    <w:rsid w:val="003D524A"/>
    <w:rsid w:val="003E35D8"/>
    <w:rsid w:val="0041650C"/>
    <w:rsid w:val="004501E9"/>
    <w:rsid w:val="004B5348"/>
    <w:rsid w:val="005503A8"/>
    <w:rsid w:val="005A11FF"/>
    <w:rsid w:val="005B475B"/>
    <w:rsid w:val="005E7604"/>
    <w:rsid w:val="006130F2"/>
    <w:rsid w:val="00622E5D"/>
    <w:rsid w:val="00654C8B"/>
    <w:rsid w:val="00697263"/>
    <w:rsid w:val="006B4CA1"/>
    <w:rsid w:val="00700AF5"/>
    <w:rsid w:val="00734832"/>
    <w:rsid w:val="007E5FA2"/>
    <w:rsid w:val="00853ABC"/>
    <w:rsid w:val="00881EC9"/>
    <w:rsid w:val="00886CD8"/>
    <w:rsid w:val="008C79E9"/>
    <w:rsid w:val="00912A51"/>
    <w:rsid w:val="00955632"/>
    <w:rsid w:val="00A06E3B"/>
    <w:rsid w:val="00A158DE"/>
    <w:rsid w:val="00A23BD0"/>
    <w:rsid w:val="00A7240F"/>
    <w:rsid w:val="00B0260C"/>
    <w:rsid w:val="00B211F3"/>
    <w:rsid w:val="00B30806"/>
    <w:rsid w:val="00B46C3F"/>
    <w:rsid w:val="00BA37E0"/>
    <w:rsid w:val="00BB58F5"/>
    <w:rsid w:val="00C33586"/>
    <w:rsid w:val="00CB6B94"/>
    <w:rsid w:val="00CF0602"/>
    <w:rsid w:val="00D234CB"/>
    <w:rsid w:val="00D274C7"/>
    <w:rsid w:val="00D33441"/>
    <w:rsid w:val="00DB6D1F"/>
    <w:rsid w:val="00DB755F"/>
    <w:rsid w:val="00DE5571"/>
    <w:rsid w:val="00E054A7"/>
    <w:rsid w:val="00E34D91"/>
    <w:rsid w:val="00EB2162"/>
    <w:rsid w:val="00F16BAD"/>
    <w:rsid w:val="00F26CEA"/>
    <w:rsid w:val="00F37EBA"/>
    <w:rsid w:val="00F42AE0"/>
    <w:rsid w:val="00F60E67"/>
    <w:rsid w:val="00F82C90"/>
    <w:rsid w:val="00FC3C08"/>
    <w:rsid w:val="18E24C5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iPriority w:val="99"/>
    <w:pPr>
      <w:tabs>
        <w:tab w:val="center" w:pos="4153"/>
        <w:tab w:val="right" w:pos="8306"/>
      </w:tabs>
      <w:snapToGrid w:val="0"/>
      <w:jc w:val="left"/>
    </w:pPr>
    <w:rPr>
      <w:sz w:val="18"/>
      <w:szCs w:val="18"/>
    </w:rPr>
  </w:style>
  <w:style w:type="paragraph" w:styleId="3">
    <w:name w:val="header"/>
    <w:basedOn w:val="1"/>
    <w:link w:val="8"/>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semiHidden/>
    <w:qFormat/>
    <w:uiPriority w:val="99"/>
  </w:style>
  <w:style w:type="paragraph" w:styleId="5">
    <w:name w:val="toc 2"/>
    <w:basedOn w:val="1"/>
    <w:next w:val="1"/>
    <w:semiHidden/>
    <w:qFormat/>
    <w:uiPriority w:val="99"/>
    <w:pPr>
      <w:ind w:left="420" w:leftChars="200"/>
    </w:pPr>
  </w:style>
  <w:style w:type="character" w:customStyle="1" w:styleId="8">
    <w:name w:val="页眉 Char"/>
    <w:basedOn w:val="6"/>
    <w:link w:val="3"/>
    <w:locked/>
    <w:uiPriority w:val="99"/>
    <w:rPr>
      <w:sz w:val="18"/>
      <w:szCs w:val="18"/>
    </w:rPr>
  </w:style>
  <w:style w:type="character" w:customStyle="1" w:styleId="9">
    <w:name w:val="页脚 Char"/>
    <w:basedOn w:val="6"/>
    <w:link w:val="2"/>
    <w:locked/>
    <w:uiPriority w:val="99"/>
    <w:rPr>
      <w:sz w:val="18"/>
      <w:szCs w:val="18"/>
    </w:rPr>
  </w:style>
  <w:style w:type="paragraph" w:customStyle="1" w:styleId="10">
    <w:name w:val="Char Char Char Char"/>
    <w:basedOn w:val="1"/>
    <w:qFormat/>
    <w:uiPriority w:val="99"/>
  </w:style>
  <w:style w:type="paragraph" w:styleId="11">
    <w:name w:val="No Spacing"/>
    <w:link w:val="12"/>
    <w:qFormat/>
    <w:uiPriority w:val="99"/>
    <w:rPr>
      <w:rFonts w:ascii="Calibri" w:hAnsi="Calibri" w:eastAsia="宋体" w:cs="Calibri"/>
      <w:sz w:val="22"/>
      <w:szCs w:val="22"/>
      <w:lang w:val="en-US" w:eastAsia="zh-CN" w:bidi="ar-SA"/>
    </w:rPr>
  </w:style>
  <w:style w:type="character" w:customStyle="1" w:styleId="12">
    <w:name w:val="无间隔 Char"/>
    <w:basedOn w:val="6"/>
    <w:link w:val="11"/>
    <w:qFormat/>
    <w:locked/>
    <w:uiPriority w:val="99"/>
    <w:rPr>
      <w:rFonts w:cs="Calibri"/>
      <w:sz w:val="22"/>
      <w:szCs w:val="22"/>
      <w:lang w:val="en-US" w:eastAsia="zh-CN" w:bidi="ar-SA"/>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16</Pages>
  <Words>706</Words>
  <Characters>4029</Characters>
  <Lines>33</Lines>
  <Paragraphs>9</Paragraphs>
  <TotalTime>0</TotalTime>
  <ScaleCrop>false</ScaleCrop>
  <LinksUpToDate>false</LinksUpToDate>
  <CharactersWithSpaces>4726</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2017-06-21T07:33:00Z</dcterms:created>
  <dc:creator>300S</dc:creator>
  <cp:lastModifiedBy>Administrator</cp:lastModifiedBy>
  <dcterms:modified xsi:type="dcterms:W3CDTF">2018-03-13T03:06:30Z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