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stylesWithEffects.xml" ContentType="application/vnd.ms-word.stylesWithEffect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pPr>
        <w:pStyle w:val=""/>
        <w:jc w:val="center"/>
        <w:rPr>
          <w:b/>
          <w:rFonts w:ascii="宋体" w:hAnsi="宋体"/>
          <w:sz w:val="44"/>
          <w:szCs w:val="44"/>
        </w:rPr>
      </w:pPr>
      <w:r>
        <w:rPr>
          <w:b/>
          <w:rFonts w:ascii="宋体" w:hAnsi="宋体"/>
          <w:sz w:val="44"/>
          <w:szCs w:val="44"/>
        </w:rPr>
        <w:t>涞源县交通运输局</w:t>
      </w:r>
    </w:p>
    <w:p>
      <w:pPr>
        <w:pStyle w:val=""/>
        <w:jc w:val="center"/>
        <w:rPr>
          <w:b/>
          <w:rFonts w:ascii="宋体" w:hAnsi="宋体"/>
          <w:sz w:val="44"/>
          <w:szCs w:val="44"/>
        </w:rPr>
      </w:pPr>
      <w:r>
        <w:rPr>
          <w:b/>
          <w:rFonts w:ascii="宋体" w:hAnsi="宋体"/>
          <w:sz w:val="44"/>
          <w:szCs w:val="44"/>
        </w:rPr>
        <w:t>2017年部门预算信息公开</w:t>
      </w:r>
    </w:p>
    <w:p>
      <w:pPr>
        <w:pStyle w:val=""/>
        <w:jc w:val="left"/>
        <w:ind w:firstLine="640"/>
        <w:spacing w:line="520" w:lineRule="exact"/>
        <w:rPr>
          <w:rFonts w:ascii="Times New Roman" w:hAnsi="Times New Roman"/>
          <w:sz w:val="32"/>
          <w:szCs w:val="32"/>
        </w:rPr>
      </w:pPr>
    </w:p>
    <w:p>
      <w:pPr>
        <w:pStyle w:val=""/>
        <w:jc w:val="left"/>
        <w:ind w:firstLine="640"/>
        <w:spacing w:line="520" w:lineRule="exact"/>
        <w:rPr>
          <w:rFonts w:ascii="仿宋_GB2312" w:hAnsi="仿宋"/>
          <w:sz w:val="32"/>
          <w:szCs w:val="32"/>
        </w:rPr>
      </w:pPr>
      <w:r>
        <w:rPr>
          <w:rFonts w:ascii="仿宋_GB2312" w:hAnsi="仿宋"/>
          <w:sz w:val="32"/>
          <w:szCs w:val="32"/>
        </w:rPr>
        <w:t>按照《中华人民共和国预算法》规定，现将涞源县交通运输局2017年部门预算公开如下：</w:t>
      </w:r>
    </w:p>
    <w:p>
      <w:pPr>
        <w:pStyle w:val=""/>
        <w:jc w:val="center"/>
        <w:ind w:firstLine="640"/>
        <w:spacing w:line="520" w:lineRule="exact"/>
        <w:rPr>
          <w:rFonts w:ascii="黑体" w:hAnsi="黑体"/>
          <w:sz w:val="32"/>
          <w:szCs w:val="32"/>
        </w:rPr>
      </w:pPr>
      <w:r>
        <w:rPr>
          <w:rFonts w:ascii="黑体" w:hAnsi="黑体"/>
          <w:sz w:val="32"/>
          <w:szCs w:val="32"/>
        </w:rPr>
        <w:t>第一部分:部门职责及机构设置情况</w:t>
      </w:r>
    </w:p>
    <w:p>
      <w:pPr>
        <w:pStyle w:val=""/>
        <w:jc w:val="center"/>
        <w:ind w:firstLine="640"/>
        <w:spacing w:line="520" w:lineRule="exact"/>
        <w:rPr>
          <w:rFonts w:ascii="黑体" w:hAnsi="黑体"/>
          <w:sz w:val="32"/>
          <w:szCs w:val="32"/>
        </w:rPr>
      </w:pPr>
    </w:p>
    <w:p>
      <w:pPr>
        <w:pStyle w:val=""/>
        <w:ind w:firstLine="640"/>
        <w:spacing w:line="520" w:lineRule="exact"/>
        <w:rPr>
          <w:rFonts w:ascii="仿宋_GB2312" w:hAnsi="黑体"/>
          <w:sz w:val="32"/>
          <w:szCs w:val="32"/>
        </w:rPr>
      </w:pPr>
      <w:r>
        <w:rPr>
          <w:rFonts w:ascii="仿宋_GB2312" w:hAnsi="黑体"/>
          <w:sz w:val="32"/>
          <w:szCs w:val="32"/>
        </w:rPr>
        <w:t>一、部门职责</w:t>
      </w:r>
    </w:p>
    <w:p>
      <w:pPr>
        <w:pStyle w:val=""/>
        <w:ind w:firstLine="640"/>
        <w:spacing w:line="360" w:lineRule="auto"/>
        <w:rPr>
          <w:rFonts w:ascii="仿宋_GB2312"/>
          <w:sz w:val="32"/>
          <w:szCs w:val="32"/>
        </w:rPr>
      </w:pPr>
      <w:r>
        <w:rPr>
          <w:rFonts w:ascii="仿宋_GB2312"/>
          <w:sz w:val="32"/>
          <w:szCs w:val="32"/>
        </w:rPr>
        <w:t>1、贯彻国家有关交通行业的方针、政策、法规、并负责监督实施。</w:t>
      </w:r>
    </w:p>
    <w:p>
      <w:pPr>
        <w:pStyle w:val=""/>
        <w:spacing w:line="360" w:lineRule="auto"/>
        <w:rPr>
          <w:rFonts w:ascii="仿宋_GB2312"/>
          <w:sz w:val="32"/>
          <w:szCs w:val="32"/>
        </w:rPr>
      </w:pPr>
      <w:r>
        <w:rPr>
          <w:rFonts w:ascii="仿宋_GB2312"/>
          <w:sz w:val="32"/>
          <w:szCs w:val="32"/>
        </w:rPr>
        <w:t xml:space="preserve">    2、拟定全县公路交通行业发展战略及规章制度，提出全县公路交通行业方针、政策、经批准后，负责组织实施协调和监督执行。</w:t>
      </w:r>
    </w:p>
    <w:p>
      <w:pPr>
        <w:pStyle w:val=""/>
        <w:spacing w:line="360" w:lineRule="auto"/>
        <w:rPr>
          <w:rFonts w:ascii="仿宋_GB2312"/>
          <w:sz w:val="32"/>
          <w:szCs w:val="32"/>
        </w:rPr>
      </w:pPr>
      <w:r>
        <w:rPr>
          <w:rFonts w:ascii="仿宋_GB2312"/>
          <w:sz w:val="32"/>
          <w:szCs w:val="32"/>
        </w:rPr>
        <w:t xml:space="preserve">    3、组织编制全县公路交通行业发展规划、中长期和年度计划，并监督实施。组织全县重点和中型交通基础设施建设项目的前期工作；并对项目审批提出行业初审意见。负责行业统计管理和信息引导。</w:t>
      </w:r>
    </w:p>
    <w:p>
      <w:pPr>
        <w:pStyle w:val=""/>
        <w:spacing w:line="360" w:lineRule="auto"/>
        <w:rPr>
          <w:rFonts w:ascii="仿宋_GB2312"/>
          <w:sz w:val="32"/>
          <w:szCs w:val="32"/>
        </w:rPr>
      </w:pPr>
      <w:r>
        <w:rPr>
          <w:rFonts w:ascii="仿宋_GB2312"/>
          <w:sz w:val="32"/>
          <w:szCs w:val="32"/>
        </w:rPr>
        <w:t xml:space="preserve">    4、管理全县交通基础设施建设市场。</w:t>
      </w:r>
    </w:p>
    <w:p>
      <w:pPr>
        <w:pStyle w:val=""/>
        <w:spacing w:line="360" w:lineRule="auto"/>
        <w:rPr>
          <w:rFonts w:ascii="仿宋_GB2312"/>
          <w:sz w:val="32"/>
          <w:szCs w:val="32"/>
        </w:rPr>
      </w:pPr>
      <w:r>
        <w:rPr>
          <w:rFonts w:ascii="仿宋_GB2312"/>
          <w:sz w:val="32"/>
          <w:szCs w:val="32"/>
        </w:rPr>
        <w:t xml:space="preserve">    5、负责全县农村公路路政管理工作。</w:t>
      </w:r>
    </w:p>
    <w:p>
      <w:pPr>
        <w:pStyle w:val=""/>
        <w:spacing w:line="360" w:lineRule="auto"/>
        <w:rPr>
          <w:rFonts w:ascii="仿宋_GB2312"/>
          <w:sz w:val="32"/>
          <w:szCs w:val="32"/>
        </w:rPr>
      </w:pPr>
      <w:r>
        <w:rPr>
          <w:rFonts w:ascii="仿宋_GB2312"/>
          <w:sz w:val="32"/>
          <w:szCs w:val="32"/>
        </w:rPr>
        <w:t xml:space="preserve">    6、主管全县道路交通运输市场，指导城市客运。</w:t>
      </w:r>
    </w:p>
    <w:p>
      <w:pPr>
        <w:pStyle w:val=""/>
        <w:spacing w:line="360" w:lineRule="auto"/>
        <w:rPr>
          <w:rFonts w:ascii="仿宋_GB2312"/>
          <w:sz w:val="32"/>
          <w:szCs w:val="32"/>
        </w:rPr>
      </w:pPr>
      <w:r>
        <w:rPr>
          <w:rFonts w:ascii="仿宋_GB2312"/>
          <w:sz w:val="32"/>
          <w:szCs w:val="32"/>
        </w:rPr>
        <w:t xml:space="preserve">    7、主管交通系统安全生产监督管理工作。监督和指导局属事业单位的安全、保卫工作。</w:t>
      </w:r>
    </w:p>
    <w:p>
      <w:pPr>
        <w:pStyle w:val=""/>
        <w:spacing w:line="360" w:lineRule="auto"/>
        <w:rPr>
          <w:rFonts w:ascii="仿宋_GB2312"/>
          <w:sz w:val="32"/>
          <w:szCs w:val="32"/>
        </w:rPr>
      </w:pPr>
      <w:r>
        <w:rPr>
          <w:rFonts w:ascii="仿宋_GB2312"/>
          <w:sz w:val="32"/>
          <w:szCs w:val="32"/>
        </w:rPr>
        <w:t xml:space="preserve">    8、指导交通行业体制改革、企业改革及其管理工作。</w:t>
      </w:r>
    </w:p>
    <w:p>
      <w:pPr>
        <w:pStyle w:val=""/>
        <w:spacing w:line="360" w:lineRule="auto"/>
        <w:rPr>
          <w:rFonts w:ascii="仿宋_GB2312"/>
          <w:sz w:val="32"/>
          <w:szCs w:val="32"/>
        </w:rPr>
      </w:pPr>
      <w:r>
        <w:rPr>
          <w:rFonts w:ascii="仿宋_GB2312"/>
          <w:sz w:val="32"/>
          <w:szCs w:val="32"/>
        </w:rPr>
        <w:t xml:space="preserve">    9、拟定科技发展项目中长期规划和年度计划，组织推广交通行业的技术标准和科技成果。</w:t>
      </w:r>
    </w:p>
    <w:p>
      <w:pPr>
        <w:pStyle w:val=""/>
        <w:spacing w:line="360" w:lineRule="auto"/>
        <w:rPr>
          <w:rFonts w:ascii="仿宋_GB2312"/>
          <w:sz w:val="32"/>
          <w:szCs w:val="32"/>
        </w:rPr>
      </w:pPr>
      <w:r>
        <w:rPr>
          <w:rFonts w:ascii="仿宋_GB2312"/>
          <w:sz w:val="32"/>
          <w:szCs w:val="32"/>
        </w:rPr>
        <w:t xml:space="preserve">    10、规划本县交通战备网络布局，拟定和组织交通战备项目建设、物资的储备和调用计划，组织国防交通保障队伍，配合军事部门做好运输运力动员和使用。</w:t>
      </w:r>
    </w:p>
    <w:p>
      <w:pPr>
        <w:pStyle w:val=""/>
        <w:spacing w:line="360" w:lineRule="auto"/>
        <w:rPr>
          <w:rFonts w:ascii="仿宋_GB2312"/>
          <w:sz w:val="32"/>
          <w:szCs w:val="32"/>
        </w:rPr>
      </w:pPr>
      <w:r>
        <w:rPr>
          <w:rFonts w:ascii="仿宋_GB2312"/>
          <w:sz w:val="32"/>
          <w:szCs w:val="32"/>
        </w:rPr>
        <w:t xml:space="preserve">    11、指导交通行业精神文明建设和职工队伍建设。</w:t>
      </w:r>
    </w:p>
    <w:p>
      <w:pPr>
        <w:pStyle w:val=""/>
        <w:numPr>
          <w:ilvl w:val="0"/>
          <w:numId w:val="1480734598"/>
        </w:numPr>
        <w:ind w:firstLine="640"/>
        <w:spacing w:line="360" w:lineRule="auto"/>
        <w:rPr>
          <w:rFonts w:ascii="仿宋_GB2312"/>
          <w:sz w:val="32"/>
          <w:szCs w:val="32"/>
        </w:rPr>
      </w:pPr>
      <w:r>
        <w:rPr>
          <w:rFonts w:ascii="仿宋_GB2312"/>
          <w:sz w:val="32"/>
          <w:szCs w:val="32"/>
        </w:rPr>
        <w:t>承办县政府交办的其他事项。</w:t>
      </w:r>
    </w:p>
    <w:p>
      <w:pPr>
        <w:pStyle w:val="Normal"/>
        <w:jc w:val="both"/>
        <w:ind w:firstLine="640"/>
        <w:spacing w:line="360" w:lineRule="auto"/>
        <w:rPr>
          <w:rFonts w:ascii="仿宋_GB2312" w:hAnsi="仿宋"/>
          <w:sz w:val="32"/>
          <w:szCs w:val="32"/>
        </w:rPr>
      </w:pPr>
      <w:r>
        <w:rPr>
          <w:rFonts w:ascii="仿宋_GB2312" w:hAnsi="仿宋"/>
          <w:sz w:val="32"/>
          <w:szCs w:val="32"/>
        </w:rPr>
        <w:t>。</w:t>
      </w:r>
    </w:p>
    <w:p>
      <w:pPr>
        <w:pStyle w:val=""/>
        <w:ind w:firstLine="736"/>
        <w:spacing w:line="520" w:lineRule="exact"/>
        <w:rPr>
          <w:rFonts w:ascii="黑体" w:hAnsi="黑体"/>
          <w:sz w:val="32"/>
          <w:szCs w:val="32"/>
        </w:rPr>
      </w:pPr>
      <w:r>
        <w:rPr>
          <w:rFonts w:ascii="黑体" w:hAnsi="黑体"/>
          <w:sz w:val="32"/>
          <w:szCs w:val="32"/>
        </w:rPr>
        <w:t>二、</w:t>
      </w:r>
      <w:r>
        <w:rPr>
          <w:rFonts w:ascii="黑体" w:hAnsi="黑体"/>
          <w:sz w:val="32"/>
          <w:szCs w:val="32"/>
        </w:rPr>
        <w:t>机构设置</w:t>
      </w:r>
    </w:p>
    <w:tbl>
      <w:tblPr>
        <w:tblInd w:w="-15" w:type="dxa"/>
        <w:tblStyle w:val="普通表格"/>
        <w:tblLook w:val="1E0"/>
      </w:tblPr>
      <w:tblGrid>
        <w:gridCol w:w="1080"/>
        <w:gridCol w:w="2320"/>
        <w:gridCol w:w="2120"/>
        <w:gridCol w:w="1900"/>
        <w:gridCol w:w="2376"/>
      </w:tblGrid>
      <w:tr>
        <w:trPr>
          <w:trHeight w:val="810" w:hRule="atLeast"/>
        </w:trPr>
        <w:tc>
          <w:tcPr>
            <w:gridSpan w:val="5"/>
            <w:tcBorders>
              <w:top w:val="nil" w:sz="0" w:color="auto" w:space="0"/>
              <w:bottom w:val="single" w:sz="4" w:color="000000" w:space="0"/>
              <w:left w:val="nil" w:sz="0" w:color="auto" w:space="0"/>
              <w:right w:val="nil" w:sz="0" w:color="auto" w:space="0"/>
            </w:tcBorders>
            <w:vAlign w:val="center"/>
            <w:tcW w:w="0" w:type="nil"/>
          </w:tcPr>
          <w:p>
            <w:pPr>
              <w:pStyle w:val=""/>
              <w:jc w:val="center"/>
            </w:pPr>
            <w:r>
              <w:rPr>
                <w:color w:val="000000"/>
                <w:rFonts w:ascii="仿宋_GB2312" w:hAnsi="宋体"/>
                <w:sz w:val="28"/>
                <w:szCs w:val="28"/>
              </w:rPr>
              <w:t>部门机构设置情况</w:t>
            </w:r>
          </w:p>
        </w:tc>
      </w:tr>
      <w:tr>
        <w:trPr>
          <w:trHeight w:val="720" w:hRule="atLeast"/>
        </w:trPr>
        <w:tc>
          <w:tcPr>
            <w:tcBorders>
              <w:top w:val="nil" w:sz="0" w:color="auto" w:space="0"/>
              <w:bottom w:val="single" w:sz="4" w:color="000000" w:space="0"/>
              <w:left w:val="single" w:sz="4" w:color="000000" w:space="0"/>
              <w:right w:val="single" w:sz="4" w:color="000000" w:space="0"/>
            </w:tcBorders>
            <w:vAlign w:val="center"/>
            <w:vMerge w:val="restart"/>
            <w:tcW w:w="0" w:type="nil"/>
          </w:tcPr>
          <w:p>
            <w:pPr>
              <w:pStyle w:val=""/>
              <w:jc w:val="center"/>
            </w:pPr>
            <w:r>
              <w:rPr>
                <w:color w:val="000000"/>
                <w:rFonts w:ascii="仿宋_GB2312" w:hAnsi="宋体"/>
                <w:sz w:val="24"/>
                <w:szCs w:val="24"/>
              </w:rPr>
              <w:t>序号</w:t>
            </w:r>
          </w:p>
        </w:tc>
        <w:tc>
          <w:tcPr>
            <w:tcBorders>
              <w:top w:val="nil" w:sz="0" w:color="auto" w:space="0"/>
              <w:bottom w:val="single" w:sz="4" w:color="000000" w:space="0"/>
              <w:left w:val="single" w:sz="4" w:color="000000" w:space="0"/>
              <w:right w:val="single" w:sz="4" w:color="000000" w:space="0"/>
            </w:tcBorders>
            <w:vAlign w:val="center"/>
            <w:vMerge w:val="restart"/>
            <w:tcW w:w="0" w:type="nil"/>
          </w:tcPr>
          <w:p>
            <w:pPr>
              <w:pStyle w:val=""/>
              <w:jc w:val="center"/>
            </w:pPr>
            <w:r>
              <w:rPr>
                <w:color w:val="000000"/>
                <w:rFonts w:ascii="仿宋_GB2312" w:hAnsi="宋体"/>
                <w:sz w:val="24"/>
                <w:szCs w:val="24"/>
              </w:rPr>
              <w:t>单位名称</w:t>
            </w:r>
          </w:p>
        </w:tc>
        <w:tc>
          <w:tcPr>
            <w:tcBorders>
              <w:top w:val="nil" w:sz="0" w:color="auto" w:space="0"/>
              <w:bottom w:val="single" w:sz="4" w:color="000000" w:space="0"/>
              <w:left w:val="single" w:sz="4" w:color="000000" w:space="0"/>
              <w:right w:val="single" w:sz="4" w:color="000000" w:space="0"/>
            </w:tcBorders>
            <w:vAlign w:val="center"/>
            <w:vMerge w:val="restart"/>
            <w:tcW w:w="0" w:type="nil"/>
          </w:tcPr>
          <w:p>
            <w:pPr>
              <w:pStyle w:val=""/>
              <w:jc w:val="center"/>
            </w:pPr>
            <w:r>
              <w:rPr>
                <w:color w:val="000000"/>
                <w:rFonts w:ascii="仿宋_GB2312" w:hAnsi="宋体"/>
                <w:sz w:val="24"/>
                <w:szCs w:val="24"/>
              </w:rPr>
              <w:t>单位性质</w:t>
            </w:r>
          </w:p>
        </w:tc>
        <w:tc>
          <w:tcPr>
            <w:tcBorders>
              <w:top w:val="nil" w:sz="0" w:color="auto" w:space="0"/>
              <w:bottom w:val="single" w:sz="4" w:color="000000" w:space="0"/>
              <w:left w:val="single" w:sz="4" w:color="000000" w:space="0"/>
              <w:right w:val="single" w:sz="4" w:color="000000" w:space="0"/>
            </w:tcBorders>
            <w:vAlign w:val="center"/>
            <w:vMerge w:val="restart"/>
            <w:tcW w:w="0" w:type="nil"/>
          </w:tcPr>
          <w:p>
            <w:pPr>
              <w:pStyle w:val=""/>
              <w:jc w:val="center"/>
            </w:pPr>
            <w:r>
              <w:rPr>
                <w:color w:val="000000"/>
                <w:rFonts w:ascii="仿宋_GB2312" w:hAnsi="宋体"/>
                <w:sz w:val="24"/>
                <w:szCs w:val="24"/>
              </w:rPr>
              <w:t>单位规格</w:t>
            </w:r>
          </w:p>
        </w:tc>
        <w:tc>
          <w:tcPr>
            <w:tcBorders>
              <w:top w:val="nil" w:sz="0" w:color="auto" w:space="0"/>
              <w:bottom w:val="single" w:sz="4" w:color="000000" w:space="0"/>
              <w:left w:val="single" w:sz="4" w:color="000000" w:space="0"/>
              <w:right w:val="single" w:sz="4" w:color="000000" w:space="0"/>
            </w:tcBorders>
            <w:vAlign w:val="center"/>
            <w:vMerge w:val="restart"/>
            <w:tcW w:w="0" w:type="nil"/>
          </w:tcPr>
          <w:p>
            <w:pPr>
              <w:pStyle w:val=""/>
              <w:jc w:val="center"/>
            </w:pPr>
            <w:r>
              <w:rPr>
                <w:color w:val="000000"/>
                <w:rFonts w:ascii="仿宋_GB2312" w:hAnsi="宋体"/>
                <w:sz w:val="24"/>
                <w:szCs w:val="24"/>
              </w:rPr>
              <w:t>经费保障形式</w:t>
            </w:r>
          </w:p>
        </w:tc>
      </w:tr>
      <w:tr>
        <w:trPr>
          <w:trHeight w:val="412" w:hRule="atLeast"/>
        </w:trPr>
        <w:tc>
          <w:tcPr>
            <w:vMerge/>
            <w:tcBorders>
              <w:top w:val="nil" w:sz="0" w:color="auto" w:space="0"/>
              <w:bottom w:val="single" w:sz="4" w:color="000000" w:space="0"/>
              <w:left w:val="single" w:sz="4" w:color="000000" w:space="0"/>
              <w:right w:val="single" w:sz="4" w:color="000000" w:space="0"/>
            </w:tcBorders>
          </w:tcPr>
          <w:p/>
        </w:tc>
        <w:tc>
          <w:tcPr>
            <w:vMerge/>
            <w:tcBorders>
              <w:top w:val="nil" w:sz="0" w:color="auto" w:space="0"/>
              <w:bottom w:val="single" w:sz="4" w:color="000000" w:space="0"/>
              <w:left w:val="single" w:sz="4" w:color="000000" w:space="0"/>
              <w:right w:val="single" w:sz="4" w:color="000000" w:space="0"/>
            </w:tcBorders>
          </w:tcPr>
          <w:p/>
        </w:tc>
        <w:tc>
          <w:tcPr>
            <w:vMerge/>
            <w:tcBorders>
              <w:top w:val="nil" w:sz="0" w:color="auto" w:space="0"/>
              <w:bottom w:val="single" w:sz="4" w:color="000000" w:space="0"/>
              <w:left w:val="single" w:sz="4" w:color="000000" w:space="0"/>
              <w:right w:val="single" w:sz="4" w:color="000000" w:space="0"/>
            </w:tcBorders>
          </w:tcPr>
          <w:p/>
        </w:tc>
        <w:tc>
          <w:tcPr>
            <w:vMerge/>
            <w:tcBorders>
              <w:top w:val="nil" w:sz="0" w:color="auto" w:space="0"/>
              <w:bottom w:val="single" w:sz="4" w:color="000000" w:space="0"/>
              <w:left w:val="single" w:sz="4" w:color="000000" w:space="0"/>
              <w:right w:val="single" w:sz="4" w:color="000000" w:space="0"/>
            </w:tcBorders>
          </w:tcPr>
          <w:p/>
        </w:tc>
        <w:tc>
          <w:tcPr>
            <w:vMerge/>
            <w:tcBorders>
              <w:top w:val="nil" w:sz="0" w:color="auto" w:space="0"/>
              <w:bottom w:val="single" w:sz="4" w:color="000000" w:space="0"/>
              <w:left w:val="single" w:sz="4" w:color="000000" w:space="0"/>
              <w:right w:val="single" w:sz="4" w:color="000000" w:space="0"/>
            </w:tcBorders>
          </w:tcPr>
          <w:p/>
        </w:tc>
      </w:tr>
      <w:tr>
        <w:trPr>
          <w:trHeight w:val="720" w:hRule="atLeast"/>
        </w:trPr>
        <w:tc>
          <w:tcPr>
            <w:tcBorders>
              <w:top w:val="nil" w:sz="0" w:color="auto"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1</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color w:val="000000"/>
                <w:rFonts w:ascii="仿宋_GB2312" w:hAnsi="宋体"/>
                <w:sz w:val="24"/>
                <w:szCs w:val="24"/>
              </w:rPr>
              <w:t>涞源县交通运输局机关</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color w:val="000000"/>
                <w:rFonts w:ascii="仿宋_GB2312" w:hAnsi="宋体"/>
                <w:sz w:val="24"/>
                <w:szCs w:val="24"/>
              </w:rPr>
              <w:t>行政</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color w:val="000000"/>
                <w:rFonts w:ascii="仿宋_GB2312" w:hAnsi="宋体"/>
                <w:sz w:val="24"/>
                <w:szCs w:val="24"/>
              </w:rPr>
              <w:t>正科级</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color w:val="000000"/>
                <w:rFonts w:ascii="仿宋_GB2312" w:hAnsi="宋体"/>
                <w:sz w:val="24"/>
                <w:szCs w:val="24"/>
              </w:rPr>
              <w:t>财政拨款</w:t>
            </w:r>
          </w:p>
        </w:tc>
      </w:tr>
      <w:tr>
        <w:trPr>
          <w:trHeight w:val="720" w:hRule="atLeast"/>
        </w:trPr>
        <w:tc>
          <w:tcPr>
            <w:tcBorders>
              <w:top w:val="nil" w:sz="0" w:color="auto"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2</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color w:val="000000"/>
                <w:rFonts w:ascii="仿宋_GB2312" w:hAnsi="宋体"/>
                <w:sz w:val="24"/>
                <w:szCs w:val="24"/>
              </w:rPr>
              <w:t>涞源县交通运输局出租汽车和城市公交管理站</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color w:val="000000"/>
                <w:rFonts w:ascii="仿宋_GB2312" w:hAnsi="宋体"/>
                <w:sz w:val="24"/>
                <w:szCs w:val="24"/>
              </w:rPr>
              <w:t>事业</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color w:val="000000"/>
                <w:rFonts w:ascii="仿宋_GB2312" w:hAnsi="宋体"/>
                <w:sz w:val="24"/>
                <w:szCs w:val="24"/>
              </w:rPr>
              <w:t>正股级</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color w:val="000000"/>
                <w:rFonts w:ascii="仿宋_GB2312" w:hAnsi="宋体"/>
                <w:sz w:val="24"/>
                <w:szCs w:val="24"/>
              </w:rPr>
              <w:t>财政性资金基本保证</w:t>
            </w:r>
          </w:p>
        </w:tc>
      </w:tr>
      <w:tr>
        <w:trPr>
          <w:trHeight w:val="720" w:hRule="atLeast"/>
        </w:trPr>
        <w:tc>
          <w:tcPr>
            <w:tcBorders>
              <w:top w:val="nil" w:sz="0" w:color="auto"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3</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color w:val="000000"/>
                <w:rFonts w:ascii="仿宋_GB2312" w:hAnsi="宋体"/>
                <w:sz w:val="24"/>
                <w:szCs w:val="24"/>
              </w:rPr>
              <w:t>涞源县交通运输局运输管理站</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color w:val="000000"/>
                <w:rFonts w:ascii="仿宋_GB2312" w:hAnsi="宋体"/>
                <w:sz w:val="24"/>
                <w:szCs w:val="24"/>
              </w:rPr>
              <w:t>事业</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color w:val="000000"/>
                <w:rFonts w:ascii="仿宋_GB2312" w:hAnsi="宋体"/>
                <w:sz w:val="24"/>
                <w:szCs w:val="24"/>
              </w:rPr>
              <w:t>正股级</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color w:val="000000"/>
                <w:rFonts w:ascii="仿宋_GB2312" w:hAnsi="宋体"/>
                <w:sz w:val="24"/>
                <w:szCs w:val="24"/>
              </w:rPr>
              <w:t>财政性资金基本保证</w:t>
            </w:r>
          </w:p>
        </w:tc>
      </w:tr>
      <w:tr>
        <w:trPr>
          <w:trHeight w:val="720" w:hRule="atLeast"/>
        </w:trPr>
        <w:tc>
          <w:tcPr>
            <w:tcBorders>
              <w:top w:val="nil" w:sz="0" w:color="auto"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4</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color w:val="000000"/>
                <w:rFonts w:ascii="仿宋_GB2312" w:hAnsi="宋体"/>
                <w:sz w:val="24"/>
                <w:szCs w:val="24"/>
              </w:rPr>
              <w:t>涞源县交通运输局原稽征站</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color w:val="000000"/>
                <w:rFonts w:ascii="仿宋_GB2312" w:hAnsi="宋体"/>
                <w:sz w:val="24"/>
                <w:szCs w:val="24"/>
              </w:rPr>
              <w:t>事业</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color w:val="000000"/>
                <w:rFonts w:ascii="仿宋_GB2312" w:hAnsi="宋体"/>
                <w:sz w:val="24"/>
                <w:szCs w:val="24"/>
              </w:rPr>
              <w:t>正股级</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color w:val="000000"/>
                <w:rFonts w:ascii="仿宋_GB2312" w:hAnsi="宋体"/>
                <w:sz w:val="24"/>
                <w:szCs w:val="24"/>
              </w:rPr>
              <w:t>财政性资金基本保证</w:t>
            </w:r>
          </w:p>
        </w:tc>
      </w:tr>
      <w:tr>
        <w:trPr>
          <w:trHeight w:val="720" w:hRule="atLeast"/>
        </w:trPr>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5</w:t>
            </w:r>
          </w:p>
        </w:tc>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涞源县交通运输局原收费站</w:t>
            </w:r>
          </w:p>
        </w:tc>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事业</w:t>
            </w:r>
          </w:p>
        </w:tc>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正股级</w:t>
            </w:r>
          </w:p>
        </w:tc>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财政性资金基本保证</w:t>
            </w:r>
          </w:p>
        </w:tc>
      </w:tr>
      <w:tr>
        <w:trPr>
          <w:trHeight w:val="720" w:hRule="atLeast"/>
        </w:trPr>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6</w:t>
            </w:r>
          </w:p>
        </w:tc>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涞源县交通运输局公路养护中心</w:t>
            </w:r>
          </w:p>
        </w:tc>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事业</w:t>
            </w:r>
          </w:p>
        </w:tc>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正股级</w:t>
            </w:r>
          </w:p>
        </w:tc>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财政性资金零补助</w:t>
            </w:r>
          </w:p>
        </w:tc>
      </w:tr>
      <w:tr>
        <w:trPr>
          <w:trHeight w:val="720" w:hRule="atLeast"/>
        </w:trPr>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7</w:t>
            </w:r>
          </w:p>
        </w:tc>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培训基地</w:t>
            </w:r>
          </w:p>
        </w:tc>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事业</w:t>
            </w:r>
          </w:p>
        </w:tc>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正股级</w:t>
            </w:r>
          </w:p>
        </w:tc>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财政性资金零补助</w:t>
            </w:r>
          </w:p>
        </w:tc>
      </w:tr>
      <w:tr>
        <w:trPr>
          <w:trHeight w:val="720" w:hRule="atLeast"/>
        </w:trPr>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8</w:t>
            </w:r>
          </w:p>
        </w:tc>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驾校</w:t>
            </w:r>
          </w:p>
        </w:tc>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事业</w:t>
            </w:r>
          </w:p>
        </w:tc>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正股级</w:t>
            </w:r>
          </w:p>
        </w:tc>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财政性资金零补助</w:t>
            </w:r>
          </w:p>
        </w:tc>
      </w:tr>
      <w:tr>
        <w:trPr>
          <w:trHeight w:val="720" w:hRule="atLeast"/>
        </w:trPr>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9</w:t>
            </w:r>
          </w:p>
        </w:tc>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保定市汽车性能检测站</w:t>
            </w:r>
          </w:p>
        </w:tc>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事业</w:t>
            </w:r>
          </w:p>
        </w:tc>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正股级</w:t>
            </w:r>
          </w:p>
        </w:tc>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财政性资金零补助</w:t>
            </w:r>
          </w:p>
        </w:tc>
      </w:tr>
      <w:tr>
        <w:trPr>
          <w:trHeight w:val="720" w:hRule="atLeast"/>
        </w:trPr>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10</w:t>
            </w:r>
          </w:p>
        </w:tc>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涞源县交通运输局公路管理站</w:t>
            </w:r>
          </w:p>
        </w:tc>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事业</w:t>
            </w:r>
          </w:p>
        </w:tc>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正股级</w:t>
            </w:r>
          </w:p>
        </w:tc>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color w:val="000000"/>
                <w:rFonts w:ascii="仿宋_GB2312" w:hAnsi="宋体"/>
                <w:sz w:val="24"/>
                <w:szCs w:val="24"/>
              </w:rPr>
              <w:t>财政性资金零补助</w:t>
            </w:r>
          </w:p>
        </w:tc>
      </w:tr>
    </w:tbl>
    <w:p>
      <w:pPr>
        <w:pStyle w:val=""/>
        <w:spacing w:line="520" w:lineRule="exact"/>
        <w:rPr>
          <w:rFonts w:ascii="仿宋_GB2312" w:hAnsi="黑体"/>
          <w:sz w:val="32"/>
          <w:szCs w:val="32"/>
        </w:rPr>
      </w:pPr>
    </w:p>
    <w:p>
      <w:pPr>
        <w:pStyle w:val=""/>
        <w:ind w:left="1713"/>
        <w:ind w:firstLine="320"/>
        <w:spacing w:line="520" w:lineRule="exact"/>
        <w:rPr>
          <w:rFonts w:ascii="黑体" w:hAnsi="黑体"/>
          <w:sz w:val="32"/>
          <w:szCs w:val="32"/>
        </w:rPr>
      </w:pPr>
      <w:r>
        <w:rPr>
          <w:rFonts w:ascii="黑体" w:hAnsi="黑体"/>
          <w:sz w:val="32"/>
          <w:szCs w:val="32"/>
        </w:rPr>
        <w:t>第二部分：部门预算安排的总体情况</w:t>
      </w:r>
    </w:p>
    <w:p>
      <w:pPr>
        <w:pStyle w:val=""/>
        <w:ind w:left="1713"/>
        <w:spacing w:line="520" w:lineRule="exact"/>
        <w:rPr>
          <w:rFonts w:ascii="黑体" w:hAnsi="黑体"/>
          <w:sz w:val="32"/>
          <w:szCs w:val="32"/>
        </w:rPr>
      </w:pPr>
    </w:p>
    <w:p>
      <w:pPr>
        <w:pStyle w:val=""/>
        <w:ind w:firstLine="640"/>
        <w:spacing w:line="520" w:lineRule="exact"/>
        <w:rPr>
          <w:rFonts w:ascii="仿宋_GB2312" w:hAnsi="黑体"/>
          <w:sz w:val="32"/>
          <w:szCs w:val="32"/>
        </w:rPr>
      </w:pPr>
      <w:r>
        <w:rPr>
          <w:rFonts w:ascii="仿宋_GB2312" w:hAnsi="黑体"/>
          <w:sz w:val="32"/>
          <w:szCs w:val="32"/>
        </w:rPr>
        <w:t>1、收入说明</w:t>
      </w:r>
    </w:p>
    <w:p>
      <w:pPr>
        <w:pStyle w:val=""/>
        <w:ind w:firstLine="640"/>
        <w:spacing w:line="520" w:lineRule="exact"/>
        <w:rPr>
          <w:rFonts w:ascii="仿宋_GB2312" w:hAnsi="仿宋"/>
          <w:sz w:val="32"/>
          <w:szCs w:val="32"/>
        </w:rPr>
      </w:pPr>
      <w:r>
        <w:rPr>
          <w:rFonts w:ascii="仿宋_GB2312" w:hAnsi="仿宋"/>
          <w:sz w:val="32"/>
          <w:szCs w:val="32"/>
        </w:rPr>
        <w:t>2017年涞源县交通运输局及所属事业单位年初部门收入预算总额为</w:t>
      </w:r>
      <w:r>
        <w:rPr>
          <w:rFonts w:ascii="仿宋_GB2312"/>
          <w:sz w:val="32"/>
          <w:szCs w:val="32"/>
        </w:rPr>
        <w:t>8045.28</w:t>
      </w:r>
      <w:r>
        <w:rPr>
          <w:rFonts w:ascii="仿宋_GB2312" w:hAnsi="仿宋"/>
          <w:sz w:val="32"/>
          <w:szCs w:val="32"/>
        </w:rPr>
        <w:t>万元。</w:t>
      </w:r>
    </w:p>
    <w:p>
      <w:pPr>
        <w:pStyle w:val=""/>
        <w:ind w:firstLine="640"/>
        <w:spacing w:line="520" w:lineRule="exact"/>
        <w:rPr>
          <w:rFonts w:ascii="仿宋_GB2312" w:hAnsi="仿宋"/>
          <w:sz w:val="32"/>
          <w:szCs w:val="32"/>
        </w:rPr>
      </w:pPr>
      <w:r>
        <w:rPr>
          <w:rFonts w:ascii="仿宋_GB2312" w:hAnsi="仿宋"/>
          <w:sz w:val="32"/>
          <w:szCs w:val="32"/>
        </w:rPr>
        <w:t>其中：</w:t>
      </w:r>
      <w:r>
        <w:rPr>
          <w:rFonts w:ascii="仿宋_GB2312" w:hAnsi="仿宋"/>
          <w:sz w:val="32"/>
          <w:szCs w:val="32"/>
        </w:rPr>
        <w:t>一般公共预算收入</w:t>
      </w:r>
      <w:r>
        <w:rPr>
          <w:rFonts w:ascii="仿宋_GB2312" w:hAnsi="仿宋"/>
          <w:sz w:val="32"/>
          <w:szCs w:val="32"/>
        </w:rPr>
        <w:t>8045.28万元。</w:t>
      </w:r>
    </w:p>
    <w:p>
      <w:pPr>
        <w:pStyle w:val=""/>
        <w:ind w:firstLine="640"/>
        <w:spacing w:line="520" w:lineRule="exact"/>
        <w:rPr>
          <w:rFonts w:ascii="仿宋_GB2312" w:hAnsi="仿宋"/>
          <w:sz w:val="32"/>
          <w:szCs w:val="32"/>
        </w:rPr>
      </w:pPr>
      <w:r>
        <w:rPr>
          <w:rFonts w:ascii="仿宋_GB2312" w:hAnsi="黑体"/>
          <w:sz w:val="32"/>
          <w:szCs w:val="32"/>
        </w:rPr>
        <w:t>2、支出说明</w:t>
      </w:r>
    </w:p>
    <w:p>
      <w:pPr>
        <w:pStyle w:val=""/>
        <w:ind w:firstLine="640"/>
        <w:spacing w:line="520" w:lineRule="exact"/>
        <w:rPr>
          <w:rFonts w:ascii="仿宋_GB2312" w:hAnsi="仿宋"/>
          <w:sz w:val="32"/>
          <w:szCs w:val="32"/>
        </w:rPr>
      </w:pPr>
      <w:r>
        <w:rPr>
          <w:rFonts w:ascii="仿宋_GB2312" w:hAnsi="仿宋"/>
          <w:sz w:val="32"/>
          <w:szCs w:val="32"/>
        </w:rPr>
        <w:t>2017年部门支出安排预算总额</w:t>
      </w:r>
      <w:r>
        <w:rPr>
          <w:rFonts w:ascii="仿宋_GB2312"/>
          <w:sz w:val="32"/>
          <w:szCs w:val="32"/>
        </w:rPr>
        <w:t>8045.28</w:t>
      </w:r>
      <w:r>
        <w:rPr>
          <w:rFonts w:ascii="仿宋_GB2312" w:hAnsi="仿宋"/>
          <w:sz w:val="32"/>
          <w:szCs w:val="32"/>
        </w:rPr>
        <w:t>万元。</w:t>
      </w:r>
    </w:p>
    <w:p>
      <w:pPr>
        <w:pStyle w:val=""/>
        <w:ind w:firstLine="640"/>
        <w:spacing w:line="520" w:lineRule="exact"/>
        <w:rPr>
          <w:rFonts w:ascii="仿宋_GB2312" w:hAnsi="仿宋"/>
          <w:sz w:val="32"/>
          <w:szCs w:val="32"/>
        </w:rPr>
      </w:pPr>
      <w:r>
        <w:rPr>
          <w:rFonts w:ascii="仿宋_GB2312" w:hAnsi="仿宋"/>
          <w:sz w:val="32"/>
          <w:szCs w:val="32"/>
        </w:rPr>
        <w:t>基本支出  2390.88万元</w:t>
      </w:r>
    </w:p>
    <w:p>
      <w:pPr>
        <w:pStyle w:val=""/>
        <w:ind w:firstLine="640"/>
        <w:spacing w:line="520" w:lineRule="exact"/>
        <w:rPr>
          <w:rFonts w:ascii="仿宋_GB2312" w:hAnsi="仿宋"/>
          <w:sz w:val="32"/>
          <w:szCs w:val="32"/>
        </w:rPr>
      </w:pPr>
      <w:r>
        <w:rPr>
          <w:rFonts w:ascii="仿宋_GB2312" w:hAnsi="仿宋"/>
          <w:sz w:val="32"/>
          <w:szCs w:val="32"/>
        </w:rPr>
        <w:t xml:space="preserve">   其中：人员经费 </w:t>
      </w:r>
      <w:r>
        <w:rPr>
          <w:rFonts w:ascii="仿宋_GB2312"/>
          <w:sz w:val="32"/>
          <w:szCs w:val="32"/>
        </w:rPr>
        <w:t>2367.78</w:t>
      </w:r>
      <w:r>
        <w:rPr>
          <w:rFonts w:ascii="仿宋_GB2312" w:hAnsi="仿宋"/>
          <w:sz w:val="32"/>
          <w:szCs w:val="32"/>
        </w:rPr>
        <w:t>万元</w:t>
      </w:r>
    </w:p>
    <w:p>
      <w:pPr>
        <w:pStyle w:val=""/>
        <w:ind w:firstLine="640"/>
        <w:spacing w:line="520" w:lineRule="exact"/>
        <w:rPr>
          <w:rFonts w:ascii="仿宋_GB2312" w:hAnsi="仿宋"/>
          <w:sz w:val="32"/>
          <w:szCs w:val="32"/>
        </w:rPr>
      </w:pPr>
      <w:r>
        <w:rPr>
          <w:rFonts w:ascii="仿宋_GB2312" w:hAnsi="仿宋"/>
          <w:sz w:val="32"/>
          <w:szCs w:val="32"/>
        </w:rPr>
        <w:t xml:space="preserve">         日常公用经费 </w:t>
      </w:r>
      <w:r>
        <w:rPr>
          <w:rFonts w:ascii="仿宋_GB2312"/>
          <w:sz w:val="32"/>
          <w:szCs w:val="32"/>
        </w:rPr>
        <w:t>23.1</w:t>
      </w:r>
      <w:r>
        <w:rPr>
          <w:rFonts w:ascii="仿宋_GB2312" w:hAnsi="仿宋"/>
          <w:sz w:val="32"/>
          <w:szCs w:val="32"/>
        </w:rPr>
        <w:t>万元</w:t>
      </w:r>
    </w:p>
    <w:p>
      <w:pPr>
        <w:pStyle w:val=""/>
        <w:ind w:firstLine="640"/>
        <w:spacing w:line="520" w:lineRule="exact"/>
        <w:rPr>
          <w:rFonts w:ascii="仿宋_GB2312" w:hAnsi="仿宋"/>
          <w:sz w:val="32"/>
          <w:szCs w:val="32"/>
        </w:rPr>
      </w:pPr>
      <w:r>
        <w:rPr>
          <w:rFonts w:ascii="仿宋_GB2312" w:hAnsi="仿宋"/>
          <w:sz w:val="32"/>
          <w:szCs w:val="32"/>
        </w:rPr>
        <w:t xml:space="preserve">项目支出  </w:t>
      </w:r>
      <w:r>
        <w:rPr>
          <w:rFonts w:ascii="仿宋_GB2312"/>
          <w:sz w:val="32"/>
          <w:szCs w:val="32"/>
        </w:rPr>
        <w:t>5654.4</w:t>
      </w:r>
      <w:r>
        <w:rPr>
          <w:rFonts w:ascii="仿宋_GB2312" w:hAnsi="仿宋"/>
          <w:sz w:val="32"/>
          <w:szCs w:val="32"/>
        </w:rPr>
        <w:t>万元</w:t>
      </w:r>
    </w:p>
    <w:p>
      <w:pPr>
        <w:pStyle w:val=""/>
        <w:jc w:val="left"/>
        <w:ind w:firstLine="640"/>
        <w:spacing w:line="560" w:lineRule="exact"/>
        <w:rPr>
          <w:rFonts w:ascii="仿宋_GB2312" w:hAnsi="黑体"/>
          <w:sz w:val="32"/>
          <w:szCs w:val="32"/>
        </w:rPr>
      </w:pPr>
      <w:r>
        <w:rPr>
          <w:rFonts w:ascii="仿宋_GB2312" w:hAnsi="黑体"/>
          <w:sz w:val="32"/>
          <w:szCs w:val="32"/>
        </w:rPr>
        <w:t>3、比上年增减情况</w:t>
      </w:r>
    </w:p>
    <w:p>
      <w:pPr>
        <w:pStyle w:val=""/>
        <w:jc w:val="left"/>
        <w:spacing w:line="560" w:lineRule="exact"/>
        <w:rPr>
          <w:rFonts w:ascii="仿宋_GB2312" w:hAnsi="仿宋"/>
          <w:sz w:val="32"/>
          <w:szCs w:val="32"/>
        </w:rPr>
      </w:pPr>
      <w:r>
        <w:rPr>
          <w:rFonts w:ascii="仿宋_GB2312" w:hAnsi="仿宋"/>
          <w:sz w:val="32"/>
          <w:szCs w:val="32"/>
        </w:rPr>
        <w:t>　　本年度预算收支安排</w:t>
      </w:r>
      <w:r>
        <w:rPr>
          <w:rFonts w:ascii="仿宋_GB2312"/>
          <w:sz w:val="32"/>
          <w:szCs w:val="32"/>
        </w:rPr>
        <w:t>8045.28</w:t>
      </w:r>
      <w:r>
        <w:rPr>
          <w:rFonts w:ascii="仿宋_GB2312" w:hAnsi="仿宋"/>
          <w:sz w:val="32"/>
          <w:szCs w:val="32"/>
        </w:rPr>
        <w:t xml:space="preserve">万元，较上年增加6093.53万元。其中:基本支出增加1482.83万元，人员经费增加1482.83万元，主要是2016年度拖欠职工工资在2017年发放；项目支出增加4610.7万元，主要增加农村公路工程项目、城市公交汽车和出租汽车燃油补贴支出。 </w:t>
      </w:r>
    </w:p>
    <w:p>
      <w:pPr>
        <w:pStyle w:val=""/>
        <w:spacing w:line="520" w:lineRule="exact"/>
        <w:rPr>
          <w:rFonts w:ascii="黑体" w:hAnsi="黑体"/>
          <w:sz w:val="32"/>
          <w:szCs w:val="32"/>
        </w:rPr>
      </w:pPr>
    </w:p>
    <w:p>
      <w:pPr>
        <w:pStyle w:val=""/>
        <w:jc w:val="center"/>
        <w:spacing w:line="520" w:lineRule="exact"/>
        <w:rPr>
          <w:rFonts w:ascii="黑体" w:hAnsi="黑体"/>
          <w:sz w:val="32"/>
          <w:szCs w:val="32"/>
        </w:rPr>
      </w:pPr>
      <w:r>
        <w:rPr>
          <w:rFonts w:ascii="黑体" w:hAnsi="黑体"/>
          <w:sz w:val="32"/>
          <w:szCs w:val="32"/>
        </w:rPr>
        <w:t>第三部分：机关运行经费安排情况</w:t>
      </w:r>
    </w:p>
    <w:p>
      <w:pPr>
        <w:pStyle w:val=""/>
        <w:jc w:val="center"/>
        <w:spacing w:line="520" w:lineRule="exact"/>
        <w:rPr>
          <w:rFonts w:ascii="黑体" w:hAnsi="黑体"/>
          <w:sz w:val="32"/>
          <w:szCs w:val="32"/>
        </w:rPr>
      </w:pPr>
    </w:p>
    <w:p>
      <w:pPr>
        <w:pStyle w:val=""/>
        <w:jc w:val="left"/>
        <w:ind w:firstLine="640"/>
        <w:spacing w:line="520" w:lineRule="exact"/>
        <w:rPr>
          <w:rFonts w:ascii="黑体" w:hAnsi="黑体"/>
          <w:sz w:val="32"/>
          <w:szCs w:val="32"/>
        </w:rPr>
      </w:pPr>
      <w:r>
        <w:rPr>
          <w:rFonts w:ascii="仿宋_GB2312" w:hAnsi="仿宋"/>
          <w:sz w:val="32"/>
          <w:szCs w:val="32"/>
        </w:rPr>
        <w:t xml:space="preserve"> </w:t>
      </w:r>
      <w:r>
        <w:rPr>
          <w:rFonts w:ascii="仿宋_GB2312" w:hAnsi="宋体"/>
          <w:sz w:val="32"/>
          <w:szCs w:val="32"/>
        </w:rPr>
        <w:t>涞源县交通运输</w:t>
      </w:r>
      <w:r>
        <w:rPr>
          <w:rFonts w:ascii="仿宋_GB2312" w:hAnsi="仿宋"/>
          <w:sz w:val="32"/>
          <w:szCs w:val="32"/>
        </w:rPr>
        <w:t>局机关运行经费安排</w:t>
      </w:r>
      <w:r>
        <w:rPr>
          <w:rFonts w:ascii="仿宋_GB2312"/>
          <w:sz w:val="32"/>
          <w:szCs w:val="32"/>
        </w:rPr>
        <w:t>23.1</w:t>
      </w:r>
      <w:r>
        <w:rPr>
          <w:rFonts w:ascii="仿宋_GB2312" w:hAnsi="仿宋"/>
          <w:sz w:val="32"/>
          <w:szCs w:val="32"/>
        </w:rPr>
        <w:t>万元，用于水费、电费、邮电费支出23.1万元。</w:t>
      </w:r>
    </w:p>
    <w:p>
      <w:pPr>
        <w:pStyle w:val=""/>
        <w:jc w:val="center"/>
        <w:spacing w:line="520" w:lineRule="exact"/>
        <w:rPr>
          <w:rFonts w:ascii="黑体" w:hAnsi="黑体"/>
          <w:sz w:val="32"/>
          <w:szCs w:val="32"/>
        </w:rPr>
      </w:pPr>
      <w:r>
        <w:rPr>
          <w:rFonts w:ascii="黑体" w:hAnsi="黑体"/>
          <w:sz w:val="32"/>
          <w:szCs w:val="32"/>
        </w:rPr>
        <w:t>第四部分：财政拨款“三公”经费预算情况及增减变化原因</w:t>
      </w:r>
    </w:p>
    <w:p>
      <w:pPr>
        <w:pStyle w:val=""/>
        <w:jc w:val="center"/>
        <w:spacing w:line="520" w:lineRule="exact"/>
        <w:rPr>
          <w:rFonts w:ascii="黑体" w:hAnsi="黑体"/>
          <w:sz w:val="32"/>
          <w:szCs w:val="32"/>
        </w:rPr>
      </w:pPr>
    </w:p>
    <w:tbl>
      <w:tblPr>
        <w:tblInd w:w="-108" w:type="dxa"/>
        <w:tblStyle w:val="普通表格"/>
        <w:tblLook w:val="1E0"/>
      </w:tblPr>
      <w:tblGrid>
        <w:gridCol w:w="2136"/>
        <w:gridCol w:w="1717"/>
        <w:gridCol w:w="1717"/>
        <w:gridCol w:w="1177"/>
        <w:gridCol w:w="3108"/>
      </w:tblGrid>
      <w:tr>
        <w:trPr>
          <w:trHeight w:val="405" w:hRule="atLeast"/>
        </w:trPr>
        <w:tc>
          <w:tcPr>
            <w:gridSpan w:val="5"/>
            <w:tcBorders>
              <w:top w:val="nil" w:sz="0" w:color="auto" w:space="0"/>
              <w:bottom w:val="nil" w:sz="0" w:color="auto" w:space="0"/>
              <w:left w:val="nil" w:sz="0" w:color="auto" w:space="0"/>
              <w:right w:val="nil" w:sz="0" w:color="auto" w:space="0"/>
            </w:tcBorders>
            <w:vAlign w:val="center"/>
            <w:tcW w:w="0" w:type="nil"/>
          </w:tcPr>
          <w:p>
            <w:pPr>
              <w:pStyle w:val=""/>
              <w:jc w:val="center"/>
              <w:spacing w:line="520" w:lineRule="exact"/>
            </w:pPr>
            <w:r>
              <w:rPr>
                <w:rFonts w:ascii="黑体" w:hAnsi="黑体"/>
                <w:sz w:val="32"/>
                <w:szCs w:val="32"/>
              </w:rPr>
              <w:t>“三公”经费预算情况及增减变化原因</w:t>
            </w:r>
          </w:p>
        </w:tc>
      </w:tr>
      <w:tr>
        <w:trPr>
          <w:trHeight w:val="221" w:hRule="atLeast"/>
        </w:trPr>
        <w:tc>
          <w:tcPr>
            <w:tcBorders>
              <w:top w:val="nil" w:sz="0" w:color="auto" w:space="0"/>
              <w:bottom w:val="nil" w:sz="0" w:color="auto" w:space="0"/>
              <w:left w:val="nil" w:sz="0" w:color="auto" w:space="0"/>
              <w:right w:val="nil" w:sz="0" w:color="auto" w:space="0"/>
            </w:tcBorders>
            <w:vAlign w:val="center"/>
            <w:tcW w:w="0" w:type="nil"/>
          </w:tcPr>
          <w:p>
            <w:pPr>
              <w:pStyle w:val=""/>
              <w:jc w:val="left"/>
            </w:pPr>
          </w:p>
        </w:tc>
        <w:tc>
          <w:tcPr>
            <w:tcBorders>
              <w:top w:val="nil" w:sz="0" w:color="auto" w:space="0"/>
              <w:bottom w:val="nil" w:sz="0" w:color="auto" w:space="0"/>
              <w:left w:val="nil" w:sz="0" w:color="auto" w:space="0"/>
              <w:right w:val="nil" w:sz="0" w:color="auto" w:space="0"/>
            </w:tcBorders>
            <w:vAlign w:val="center"/>
            <w:tcW w:w="0" w:type="nil"/>
          </w:tcPr>
          <w:p>
            <w:pPr>
              <w:pStyle w:val=""/>
              <w:jc w:val="left"/>
            </w:pPr>
          </w:p>
        </w:tc>
        <w:tc>
          <w:tcPr>
            <w:tcBorders>
              <w:top w:val="nil" w:sz="0" w:color="auto" w:space="0"/>
              <w:bottom w:val="nil" w:sz="0" w:color="auto" w:space="0"/>
              <w:left w:val="nil" w:sz="0" w:color="auto" w:space="0"/>
              <w:right w:val="nil" w:sz="0" w:color="auto" w:space="0"/>
            </w:tcBorders>
            <w:vAlign w:val="center"/>
            <w:tcW w:w="0" w:type="nil"/>
          </w:tcPr>
          <w:p>
            <w:pPr>
              <w:pStyle w:val=""/>
              <w:jc w:val="left"/>
            </w:pPr>
          </w:p>
        </w:tc>
        <w:tc>
          <w:tcPr>
            <w:tcBorders>
              <w:top w:val="nil" w:sz="0" w:color="auto" w:space="0"/>
              <w:bottom w:val="nil" w:sz="0" w:color="auto" w:space="0"/>
              <w:left w:val="nil" w:sz="0" w:color="auto" w:space="0"/>
              <w:right w:val="nil" w:sz="0" w:color="auto" w:space="0"/>
            </w:tcBorders>
            <w:vAlign w:val="center"/>
            <w:tcW w:w="0" w:type="nil"/>
          </w:tcPr>
          <w:p>
            <w:pPr>
              <w:pStyle w:val=""/>
              <w:jc w:val="left"/>
            </w:pPr>
          </w:p>
        </w:tc>
        <w:tc>
          <w:tcPr>
            <w:tcBorders>
              <w:top w:val="nil" w:sz="0" w:color="auto" w:space="0"/>
              <w:bottom w:val="nil" w:sz="0" w:color="auto" w:space="0"/>
              <w:left w:val="nil" w:sz="0" w:color="auto" w:space="0"/>
              <w:right w:val="nil" w:sz="0" w:color="auto" w:space="0"/>
            </w:tcBorders>
            <w:vAlign w:val="center"/>
            <w:tcW w:w="0" w:type="nil"/>
          </w:tcPr>
          <w:p>
            <w:pPr>
              <w:pStyle w:val=""/>
              <w:jc w:val="right"/>
            </w:pPr>
            <w:r>
              <w:rPr>
                <w:rFonts w:ascii="宋体" w:hAnsi="宋体"/>
                <w:sz w:val="24"/>
                <w:szCs w:val="24"/>
              </w:rPr>
              <w:t>单位：万元</w:t>
            </w:r>
          </w:p>
        </w:tc>
      </w:tr>
      <w:tr>
        <w:trPr>
          <w:trHeight w:val="285" w:hRule="atLeast"/>
        </w:trPr>
        <w:tc>
          <w:tcPr>
            <w:tcBorders>
              <w:top w:val="single" w:sz="4" w:color="000000" w:space="0"/>
              <w:bottom w:val="single" w:sz="4" w:color="000000" w:space="0"/>
              <w:left w:val="single" w:sz="4" w:color="000000" w:space="0"/>
              <w:right w:val="single" w:sz="4" w:color="000000" w:space="0"/>
            </w:tcBorders>
            <w:vAlign w:val="center"/>
            <w:tcW w:w="0" w:type="nil"/>
          </w:tcPr>
          <w:p>
            <w:pPr>
              <w:pStyle w:val=""/>
              <w:jc w:val="center"/>
            </w:pPr>
            <w:r>
              <w:rPr>
                <w:rFonts w:ascii="仿宋_GB2312" w:hAnsi="宋体"/>
                <w:sz w:val="24"/>
                <w:szCs w:val="24"/>
              </w:rPr>
              <w:t>项目名称</w:t>
            </w:r>
          </w:p>
        </w:tc>
        <w:tc>
          <w:tcPr>
            <w:tcBorders>
              <w:top w:val="single" w:sz="4" w:color="000000" w:space="0"/>
              <w:bottom w:val="single" w:sz="4" w:color="000000" w:space="0"/>
              <w:left w:val="nil" w:sz="0" w:color="auto" w:space="0"/>
              <w:right w:val="single" w:sz="4" w:color="000000" w:space="0"/>
            </w:tcBorders>
            <w:vAlign w:val="center"/>
            <w:tcW w:w="0" w:type="nil"/>
          </w:tcPr>
          <w:p>
            <w:pPr>
              <w:pStyle w:val=""/>
              <w:jc w:val="center"/>
            </w:pPr>
            <w:r>
              <w:rPr>
                <w:rFonts w:ascii="仿宋_GB2312" w:hAnsi="宋体"/>
                <w:sz w:val="24"/>
                <w:szCs w:val="24"/>
              </w:rPr>
              <w:t>2016年度预算</w:t>
            </w:r>
          </w:p>
        </w:tc>
        <w:tc>
          <w:tcPr>
            <w:tcBorders>
              <w:top w:val="single" w:sz="4" w:color="000000" w:space="0"/>
              <w:bottom w:val="single" w:sz="4" w:color="000000" w:space="0"/>
              <w:left w:val="nil" w:sz="0" w:color="auto" w:space="0"/>
              <w:right w:val="single" w:sz="4" w:color="000000" w:space="0"/>
            </w:tcBorders>
            <w:vAlign w:val="center"/>
            <w:tcW w:w="0" w:type="nil"/>
          </w:tcPr>
          <w:p>
            <w:pPr>
              <w:pStyle w:val=""/>
              <w:jc w:val="center"/>
            </w:pPr>
            <w:r>
              <w:rPr>
                <w:rFonts w:ascii="仿宋_GB2312" w:hAnsi="宋体"/>
                <w:sz w:val="24"/>
                <w:szCs w:val="24"/>
              </w:rPr>
              <w:t>2017年度预算</w:t>
            </w:r>
          </w:p>
        </w:tc>
        <w:tc>
          <w:tcPr>
            <w:tcBorders>
              <w:top w:val="single" w:sz="4" w:color="000000" w:space="0"/>
              <w:bottom w:val="single" w:sz="4" w:color="000000" w:space="0"/>
              <w:left w:val="nil" w:sz="0" w:color="auto" w:space="0"/>
              <w:right w:val="single" w:sz="4" w:color="000000" w:space="0"/>
            </w:tcBorders>
            <w:vAlign w:val="center"/>
            <w:tcW w:w="0" w:type="nil"/>
          </w:tcPr>
          <w:p>
            <w:pPr>
              <w:pStyle w:val=""/>
              <w:jc w:val="center"/>
            </w:pPr>
            <w:r>
              <w:rPr>
                <w:rFonts w:ascii="仿宋_GB2312" w:hAnsi="宋体"/>
                <w:sz w:val="24"/>
                <w:szCs w:val="24"/>
              </w:rPr>
              <w:t>增减金额</w:t>
            </w:r>
          </w:p>
        </w:tc>
        <w:tc>
          <w:tcPr>
            <w:tcBorders>
              <w:top w:val="single" w:sz="4" w:color="000000" w:space="0"/>
              <w:bottom w:val="single" w:sz="4" w:color="000000" w:space="0"/>
              <w:left w:val="nil" w:sz="0" w:color="auto" w:space="0"/>
              <w:right w:val="single" w:sz="4" w:color="000000" w:space="0"/>
            </w:tcBorders>
            <w:vAlign w:val="center"/>
            <w:tcW w:w="0" w:type="nil"/>
          </w:tcPr>
          <w:p>
            <w:pPr>
              <w:pStyle w:val=""/>
              <w:jc w:val="center"/>
            </w:pPr>
            <w:r>
              <w:rPr>
                <w:rFonts w:ascii="仿宋_GB2312" w:hAnsi="宋体"/>
                <w:sz w:val="24"/>
                <w:szCs w:val="24"/>
              </w:rPr>
              <w:t>变化原因</w:t>
            </w:r>
          </w:p>
        </w:tc>
      </w:tr>
      <w:tr>
        <w:trPr>
          <w:trHeight w:val="285" w:hRule="atLeast"/>
        </w:trPr>
        <w:tc>
          <w:tcPr>
            <w:tcBorders>
              <w:top w:val="nil" w:sz="0" w:color="auto" w:space="0"/>
              <w:bottom w:val="single" w:sz="4" w:color="000000" w:space="0"/>
              <w:left w:val="single" w:sz="4" w:color="000000" w:space="0"/>
              <w:right w:val="single" w:sz="4" w:color="000000" w:space="0"/>
            </w:tcBorders>
            <w:vAlign w:val="center"/>
            <w:tcW w:w="0" w:type="nil"/>
          </w:tcPr>
          <w:p>
            <w:pPr>
              <w:pStyle w:val=""/>
              <w:jc w:val="center"/>
            </w:pPr>
            <w:r>
              <w:rPr>
                <w:rFonts w:ascii="仿宋_GB2312" w:hAnsi="宋体"/>
                <w:sz w:val="24"/>
                <w:szCs w:val="24"/>
              </w:rPr>
              <w:t>因公出国经费</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rFonts w:ascii="仿宋_GB2312" w:hAnsi="宋体"/>
                <w:sz w:val="24"/>
                <w:szCs w:val="24"/>
              </w:rPr>
              <w:t>0</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rFonts w:ascii="仿宋_GB2312" w:hAnsi="宋体"/>
                <w:sz w:val="24"/>
                <w:szCs w:val="24"/>
              </w:rPr>
              <w:t>0</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rFonts w:ascii="仿宋_GB2312" w:hAnsi="宋体"/>
                <w:sz w:val="24"/>
                <w:szCs w:val="24"/>
              </w:rPr>
              <w:t>0</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left"/>
            </w:pPr>
            <w:r>
              <w:rPr>
                <w:rFonts w:ascii="仿宋_GB2312" w:hAnsi="宋体"/>
                <w:sz w:val="24"/>
                <w:szCs w:val="24"/>
              </w:rPr>
              <w:t>无增减变化</w:t>
            </w:r>
          </w:p>
        </w:tc>
      </w:tr>
      <w:tr>
        <w:trPr>
          <w:trHeight w:val="285" w:hRule="atLeast"/>
        </w:trPr>
        <w:tc>
          <w:tcPr>
            <w:tcBorders>
              <w:top w:val="nil" w:sz="0" w:color="auto" w:space="0"/>
              <w:bottom w:val="single" w:sz="4" w:color="000000" w:space="0"/>
              <w:left w:val="single" w:sz="4" w:color="000000" w:space="0"/>
              <w:right w:val="single" w:sz="4" w:color="000000" w:space="0"/>
            </w:tcBorders>
            <w:vAlign w:val="center"/>
            <w:tcW w:w="0" w:type="nil"/>
          </w:tcPr>
          <w:p>
            <w:pPr>
              <w:pStyle w:val=""/>
              <w:jc w:val="center"/>
            </w:pPr>
            <w:r>
              <w:rPr>
                <w:rFonts w:ascii="仿宋_GB2312" w:hAnsi="宋体"/>
                <w:sz w:val="24"/>
                <w:szCs w:val="24"/>
              </w:rPr>
              <w:t>公务用车购置经费</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rFonts w:ascii="仿宋_GB2312" w:hAnsi="宋体"/>
                <w:sz w:val="24"/>
                <w:szCs w:val="24"/>
              </w:rPr>
              <w:t>0</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rFonts w:ascii="仿宋_GB2312" w:hAnsi="宋体"/>
                <w:sz w:val="24"/>
                <w:szCs w:val="24"/>
              </w:rPr>
              <w:t>0</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rFonts w:ascii="仿宋_GB2312" w:hAnsi="宋体"/>
                <w:sz w:val="24"/>
                <w:szCs w:val="24"/>
              </w:rPr>
              <w:t>0</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left"/>
            </w:pPr>
            <w:r>
              <w:rPr>
                <w:rFonts w:ascii="仿宋_GB2312" w:hAnsi="宋体"/>
                <w:sz w:val="24"/>
                <w:szCs w:val="24"/>
              </w:rPr>
              <w:t>无增减变化</w:t>
            </w:r>
          </w:p>
        </w:tc>
      </w:tr>
      <w:tr>
        <w:trPr>
          <w:trHeight w:val="570" w:hRule="atLeast"/>
        </w:trPr>
        <w:tc>
          <w:tcPr>
            <w:tcBorders>
              <w:top w:val="nil" w:sz="0" w:color="auto" w:space="0"/>
              <w:bottom w:val="single" w:sz="4" w:color="000000" w:space="0"/>
              <w:left w:val="single" w:sz="4" w:color="000000" w:space="0"/>
              <w:right w:val="single" w:sz="4" w:color="000000" w:space="0"/>
            </w:tcBorders>
            <w:vAlign w:val="center"/>
            <w:tcW w:w="0" w:type="nil"/>
          </w:tcPr>
          <w:p>
            <w:pPr>
              <w:pStyle w:val=""/>
              <w:jc w:val="center"/>
            </w:pPr>
            <w:r>
              <w:rPr>
                <w:rFonts w:ascii="仿宋_GB2312" w:hAnsi="宋体"/>
                <w:sz w:val="24"/>
                <w:szCs w:val="24"/>
              </w:rPr>
              <w:t>公务用车运行经费</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rFonts w:ascii="仿宋_GB2312" w:hAnsi="宋体"/>
                <w:sz w:val="24"/>
                <w:szCs w:val="24"/>
              </w:rPr>
              <w:t>2.5</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rFonts w:ascii="仿宋_GB2312" w:hAnsi="宋体"/>
                <w:sz w:val="24"/>
                <w:szCs w:val="24"/>
              </w:rPr>
              <w:t>66.5</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rFonts w:ascii="仿宋_GB2312" w:hAnsi="宋体"/>
                <w:sz w:val="24"/>
                <w:szCs w:val="24"/>
              </w:rPr>
              <w:t>64.0</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left"/>
              <w:rPr>
                <w:rFonts w:ascii="方正小标宋_GBK"/>
                <w:sz w:val="24"/>
                <w:szCs w:val="24"/>
              </w:rPr>
            </w:pPr>
            <w:r>
              <w:rPr>
                <w:rFonts w:ascii="仿宋_GB2312" w:hAnsi="宋体"/>
                <w:sz w:val="24"/>
                <w:szCs w:val="24"/>
              </w:rPr>
              <w:t>增加交通运输局下属单位出租汽和城市公交管理站公务用车运行维护费预算支出26万元，增加交通运输局下属单位运输管理站公务用车运行维护费预算支出38万元。</w:t>
            </w:r>
          </w:p>
          <w:p>
            <w:pPr>
              <w:pStyle w:val=""/>
              <w:jc w:val="left"/>
            </w:pPr>
          </w:p>
        </w:tc>
      </w:tr>
      <w:tr>
        <w:trPr>
          <w:trHeight w:val="855" w:hRule="atLeast"/>
        </w:trPr>
        <w:tc>
          <w:tcPr>
            <w:tcBorders>
              <w:top w:val="nil" w:sz="0" w:color="auto" w:space="0"/>
              <w:bottom w:val="single" w:sz="4" w:color="000000" w:space="0"/>
              <w:left w:val="single" w:sz="4" w:color="000000" w:space="0"/>
              <w:right w:val="single" w:sz="4" w:color="000000" w:space="0"/>
            </w:tcBorders>
            <w:vAlign w:val="center"/>
            <w:tcW w:w="0" w:type="nil"/>
          </w:tcPr>
          <w:p>
            <w:pPr>
              <w:pStyle w:val=""/>
              <w:jc w:val="center"/>
            </w:pPr>
            <w:r>
              <w:rPr>
                <w:rFonts w:ascii="仿宋_GB2312" w:hAnsi="宋体"/>
                <w:sz w:val="24"/>
                <w:szCs w:val="24"/>
              </w:rPr>
              <w:t>公务接待费支出</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rFonts w:ascii="仿宋_GB2312" w:hAnsi="宋体"/>
                <w:sz w:val="24"/>
                <w:szCs w:val="24"/>
              </w:rPr>
              <w:t>8.0</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rFonts w:ascii="仿宋_GB2312" w:hAnsi="宋体"/>
                <w:sz w:val="24"/>
                <w:szCs w:val="24"/>
              </w:rPr>
              <w:t>8.0</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rFonts w:ascii="仿宋_GB2312" w:hAnsi="宋体"/>
                <w:sz w:val="24"/>
                <w:szCs w:val="24"/>
              </w:rPr>
              <w:t>0</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left"/>
            </w:pPr>
            <w:r>
              <w:rPr>
                <w:rFonts w:ascii="仿宋_GB2312" w:hAnsi="宋体"/>
                <w:sz w:val="24"/>
                <w:szCs w:val="24"/>
              </w:rPr>
              <w:t>无增减变化</w:t>
            </w:r>
          </w:p>
        </w:tc>
      </w:tr>
      <w:tr>
        <w:trPr>
          <w:trHeight w:val="1140" w:hRule="atLeast"/>
        </w:trPr>
        <w:tc>
          <w:tcPr>
            <w:tcBorders>
              <w:top w:val="nil" w:sz="0" w:color="auto" w:space="0"/>
              <w:bottom w:val="single" w:sz="4" w:color="000000" w:space="0"/>
              <w:left w:val="single" w:sz="4" w:color="000000" w:space="0"/>
              <w:right w:val="single" w:sz="4" w:color="000000" w:space="0"/>
            </w:tcBorders>
            <w:vAlign w:val="center"/>
            <w:tcW w:w="0" w:type="nil"/>
          </w:tcPr>
          <w:p>
            <w:pPr>
              <w:pStyle w:val=""/>
              <w:jc w:val="center"/>
            </w:pPr>
            <w:r>
              <w:rPr>
                <w:rFonts w:ascii="仿宋_GB2312" w:hAnsi="宋体"/>
                <w:sz w:val="24"/>
                <w:szCs w:val="24"/>
              </w:rPr>
              <w:t>合计</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rFonts w:ascii="仿宋_GB2312" w:hAnsi="宋体"/>
                <w:sz w:val="24"/>
                <w:szCs w:val="24"/>
              </w:rPr>
              <w:t>10.5</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rFonts w:ascii="仿宋_GB2312" w:hAnsi="宋体"/>
                <w:sz w:val="24"/>
                <w:szCs w:val="24"/>
              </w:rPr>
              <w:t>74.5</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rFonts w:ascii="仿宋_GB2312" w:hAnsi="宋体"/>
                <w:sz w:val="24"/>
                <w:szCs w:val="24"/>
              </w:rPr>
              <w:t>64.0</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left"/>
              <w:rPr>
                <w:rFonts w:ascii="方正小标宋_GBK"/>
                <w:sz w:val="24"/>
                <w:szCs w:val="24"/>
              </w:rPr>
            </w:pPr>
            <w:r>
              <w:rPr>
                <w:rFonts w:ascii="仿宋_GB2312" w:hAnsi="宋体"/>
                <w:sz w:val="24"/>
                <w:szCs w:val="24"/>
              </w:rPr>
              <w:t>增加交通运输局下属单位出租汽和城市公交管理站公务用车运行维护费预算支出26万元，增加交通运输局下属单位运输管理站公务用车运行维护费预算支出38万元。</w:t>
            </w:r>
          </w:p>
          <w:p>
            <w:pPr>
              <w:pStyle w:val=""/>
              <w:jc w:val="left"/>
            </w:pPr>
          </w:p>
        </w:tc>
      </w:tr>
      <w:tr>
        <w:trPr>
          <w:trHeight w:val="285" w:hRule="atLeast"/>
        </w:trPr>
        <w:tc>
          <w:tcPr>
            <w:tcBorders>
              <w:top w:val="nil" w:sz="0" w:color="auto" w:space="0"/>
              <w:bottom w:val="nil" w:sz="0" w:color="auto" w:space="0"/>
              <w:left w:val="nil" w:sz="0" w:color="auto" w:space="0"/>
              <w:right w:val="nil" w:sz="0" w:color="auto" w:space="0"/>
            </w:tcBorders>
            <w:vAlign w:val="center"/>
            <w:tcW w:w="0" w:type="nil"/>
          </w:tcPr>
          <w:p>
            <w:pPr>
              <w:pStyle w:val=""/>
              <w:jc w:val="left"/>
            </w:pPr>
          </w:p>
        </w:tc>
        <w:tc>
          <w:tcPr>
            <w:tcBorders>
              <w:top w:val="nil" w:sz="0" w:color="auto" w:space="0"/>
              <w:bottom w:val="nil" w:sz="0" w:color="auto" w:space="0"/>
              <w:left w:val="nil" w:sz="0" w:color="auto" w:space="0"/>
              <w:right w:val="nil" w:sz="0" w:color="auto" w:space="0"/>
            </w:tcBorders>
            <w:vAlign w:val="center"/>
            <w:tcW w:w="0" w:type="nil"/>
          </w:tcPr>
          <w:p>
            <w:pPr>
              <w:pStyle w:val=""/>
              <w:jc w:val="left"/>
            </w:pPr>
          </w:p>
        </w:tc>
        <w:tc>
          <w:tcPr>
            <w:tcBorders>
              <w:top w:val="nil" w:sz="0" w:color="auto" w:space="0"/>
              <w:bottom w:val="nil" w:sz="0" w:color="auto" w:space="0"/>
              <w:left w:val="nil" w:sz="0" w:color="auto" w:space="0"/>
              <w:right w:val="nil" w:sz="0" w:color="auto" w:space="0"/>
            </w:tcBorders>
            <w:vAlign w:val="center"/>
            <w:tcW w:w="0" w:type="nil"/>
          </w:tcPr>
          <w:p>
            <w:pPr>
              <w:pStyle w:val=""/>
              <w:jc w:val="left"/>
            </w:pPr>
          </w:p>
        </w:tc>
        <w:tc>
          <w:tcPr>
            <w:tcBorders>
              <w:top w:val="nil" w:sz="0" w:color="auto" w:space="0"/>
              <w:bottom w:val="nil" w:sz="0" w:color="auto" w:space="0"/>
              <w:left w:val="nil" w:sz="0" w:color="auto" w:space="0"/>
              <w:right w:val="nil" w:sz="0" w:color="auto" w:space="0"/>
            </w:tcBorders>
            <w:vAlign w:val="center"/>
            <w:tcW w:w="0" w:type="nil"/>
          </w:tcPr>
          <w:p>
            <w:pPr>
              <w:pStyle w:val=""/>
              <w:jc w:val="left"/>
            </w:pPr>
          </w:p>
        </w:tc>
        <w:tc>
          <w:tcPr>
            <w:tcBorders>
              <w:top w:val="nil" w:sz="0" w:color="auto" w:space="0"/>
              <w:bottom w:val="nil" w:sz="0" w:color="auto" w:space="0"/>
              <w:left w:val="nil" w:sz="0" w:color="auto" w:space="0"/>
              <w:right w:val="nil" w:sz="0" w:color="auto" w:space="0"/>
            </w:tcBorders>
            <w:vAlign w:val="center"/>
            <w:tcW w:w="0" w:type="nil"/>
          </w:tcPr>
          <w:p>
            <w:pPr>
              <w:pStyle w:val=""/>
              <w:jc w:val="left"/>
            </w:pPr>
          </w:p>
        </w:tc>
      </w:tr>
    </w:tbl>
    <w:p>
      <w:pPr>
        <w:pStyle w:val=""/>
        <w:ind w:left="720"/>
        <w:ind w:firstLine="640"/>
        <w:spacing w:line="520" w:lineRule="exact"/>
        <w:rPr>
          <w:rFonts w:ascii="黑体" w:hAnsi="黑体"/>
          <w:sz w:val="32"/>
          <w:szCs w:val="32"/>
        </w:rPr>
      </w:pPr>
    </w:p>
    <w:p>
      <w:pPr>
        <w:pStyle w:val=""/>
        <w:rPr>
          <w:b/>
          <w:rFonts w:ascii="黑体" w:hAnsi="黑体"/>
          <w:sz w:val="32"/>
        </w:rPr>
      </w:pPr>
    </w:p>
    <w:p>
      <w:pPr>
        <w:pStyle w:val=""/>
        <w:jc w:val="center"/>
        <w:rPr>
          <w:rFonts w:ascii="黑体" w:hAnsi="黑体"/>
          <w:sz w:val="32"/>
          <w:szCs w:val="32"/>
        </w:rPr>
      </w:pPr>
      <w:r>
        <w:rPr>
          <w:rFonts w:ascii="黑体" w:hAnsi="黑体"/>
          <w:sz w:val="32"/>
          <w:szCs w:val="32"/>
        </w:rPr>
        <w:t>第五部分：绩效预算信息</w:t>
      </w:r>
    </w:p>
    <w:p>
      <w:pPr>
        <w:pStyle w:val=""/>
        <w:jc w:val="center"/>
        <w:rPr>
          <w:rFonts w:ascii="宋体" w:hAnsi="宋体"/>
        </w:rPr>
      </w:pPr>
      <w:r>
        <w:rPr>
          <w:rFonts w:ascii="宋体" w:hAnsi="宋体"/>
        </w:rPr>
        <w:t xml:space="preserve"> </w:t>
      </w:r>
    </w:p>
    <w:p>
      <w:pPr>
        <w:pStyle w:val=""/>
        <w:jc w:val="left"/>
        <w:ind w:firstLine="643"/>
        <w:spacing w:line="520" w:lineRule="exact"/>
        <w:rPr>
          <w:b/>
          <w:rFonts w:ascii="黑体" w:hAnsi="黑体"/>
          <w:sz w:val="32"/>
          <w:szCs w:val="32"/>
        </w:rPr>
      </w:pPr>
    </w:p>
    <w:p>
      <w:pPr>
        <w:pStyle w:val=""/>
        <w:jc w:val="left"/>
        <w:ind w:firstLine="643"/>
        <w:spacing w:line="520" w:lineRule="exact"/>
        <w:rPr>
          <w:b/>
          <w:rFonts w:ascii="黑体" w:hAnsi="黑体"/>
          <w:sz w:val="32"/>
          <w:szCs w:val="32"/>
        </w:rPr>
      </w:pPr>
      <w:r>
        <w:rPr>
          <w:b/>
          <w:rFonts w:ascii="黑体" w:hAnsi="黑体"/>
          <w:sz w:val="32"/>
          <w:szCs w:val="32"/>
        </w:rPr>
        <w:t>一、</w:t>
      </w:r>
      <w:r>
        <w:rPr>
          <w:rFonts w:ascii="黑体" w:hAnsi="黑体"/>
          <w:sz w:val="32"/>
          <w:szCs w:val="32"/>
        </w:rPr>
        <w:t>总体绩效目标</w:t>
      </w:r>
      <w:r>
        <w:rPr>
          <w:b/>
          <w:rFonts w:ascii="黑体" w:hAnsi="黑体"/>
          <w:sz w:val="32"/>
          <w:szCs w:val="32"/>
        </w:rPr>
        <w:t>：</w:t>
      </w:r>
    </w:p>
    <w:p>
      <w:pPr>
        <w:pStyle w:val=""/>
        <w:ind w:firstLine="600"/>
        <w:spacing w:line="360" w:lineRule="auto"/>
        <w:rPr>
          <w:rFonts w:ascii="方正仿宋_GBK"/>
          <w:sz w:val="28"/>
        </w:rPr>
      </w:pPr>
      <w:r>
        <w:rPr>
          <w:rFonts w:ascii="仿宋_GB2312" w:hAnsi="仿宋"/>
          <w:sz w:val="32"/>
          <w:szCs w:val="32"/>
        </w:rPr>
        <w:t>2017</w:t>
      </w:r>
      <w:r>
        <w:rPr>
          <w:rFonts w:ascii="仿宋_GB2312"/>
          <w:sz w:val="32"/>
          <w:szCs w:val="32"/>
        </w:rPr>
        <w:t>加快环城路网建设，启动108国道改线、207国道绕城、鼻子岭隧道改造 、白银线安保工作等重点项目建设。全力做好荣乌高速、涞曲高速建设保障工作，全力争取太行山沿线县乡干线公路改建项目，完成农村公路建设，加快打通涞源发展的“断头路”、“瓶颈路”；做好全系统职工的工资发放、养老保险、住房公积金、职业年金的缴纳工作，妥善解决拖欠职工薪资的问题。</w:t>
      </w:r>
    </w:p>
    <w:p>
      <w:pPr>
        <w:pStyle w:val=""/>
        <w:jc w:val="left"/>
        <w:ind w:firstLine="640"/>
        <w:spacing w:line="360" w:lineRule="auto"/>
        <w:rPr>
          <w:rFonts w:ascii="仿宋_GB2312"/>
          <w:sz w:val="32"/>
          <w:szCs w:val="32"/>
        </w:rPr>
      </w:pPr>
      <w:r>
        <w:rPr>
          <w:rFonts w:ascii="仿宋_GB2312" w:hAnsi="宋体"/>
          <w:sz w:val="32"/>
          <w:szCs w:val="32"/>
        </w:rPr>
        <w:t>1、部门职责分类，绩效目标情况说明</w:t>
      </w:r>
    </w:p>
    <w:p>
      <w:pPr>
        <w:pStyle w:val=""/>
        <w:ind w:firstLine="560"/>
        <w:spacing w:line="360" w:lineRule="auto"/>
        <w:rPr>
          <w:rFonts w:ascii="仿宋_GB2312"/>
          <w:sz w:val="32"/>
          <w:szCs w:val="32"/>
        </w:rPr>
      </w:pPr>
      <w:r>
        <w:rPr>
          <w:rFonts w:ascii="仿宋_GB2312"/>
          <w:sz w:val="32"/>
          <w:szCs w:val="32"/>
        </w:rPr>
        <w:t>继续 组织实施四条旅游路建设，完成投资任务。组织实施农村公路建设、客运站点建设，组织公路养护工作。监督和管理全县公路工程质量和安全生产及行业招标活动，做好建设过程中的协调管理工作，全力做好职工工资发放工作，通过以奖代补等形式对农村公路保养与维护进行资金补助。通过公路各项指标地理信息、数据采集及桥梁隧道检测、交通量调查等方式，适时采集相关数据并及时更新；管理维护数据采集信息系统。对公路建设、养护、运营及路政进行管理，依法行使公路方面行政处罚权。对全县道路旅客运输、货物运输、从业人员、道路运输相关业务进行行业管理、市场监管及安全检查，依法行使道路运输行政许可、行政处罚强制权，监督检查有关道路运输法律法规的执行情况。</w:t>
      </w:r>
    </w:p>
    <w:p>
      <w:pPr>
        <w:pStyle w:val=""/>
        <w:jc w:val="left"/>
        <w:spacing w:line="360" w:lineRule="auto"/>
        <w:rPr>
          <w:rFonts w:ascii="仿宋_GB2312"/>
          <w:sz w:val="32"/>
          <w:szCs w:val="32"/>
        </w:rPr>
      </w:pPr>
      <w:r>
        <w:rPr>
          <w:rFonts w:ascii="仿宋_GB2312"/>
          <w:sz w:val="32"/>
          <w:szCs w:val="32"/>
        </w:rPr>
        <w:t xml:space="preserve">    2、实现年度发展规划目标的保障措施</w:t>
      </w:r>
    </w:p>
    <w:p>
      <w:pPr>
        <w:pStyle w:val=""/>
        <w:ind w:firstLine="560"/>
        <w:spacing w:line="360" w:lineRule="auto"/>
        <w:rPr>
          <w:rFonts w:ascii="仿宋_GB2312"/>
          <w:sz w:val="32"/>
          <w:szCs w:val="32"/>
        </w:rPr>
      </w:pPr>
      <w:r>
        <w:rPr>
          <w:rFonts w:ascii="仿宋_GB2312"/>
          <w:sz w:val="32"/>
          <w:szCs w:val="32"/>
        </w:rPr>
        <w:t>（一）合理编制部门预算，统筹安排，节约使用各项资金，保障交通运输局正常运作的需要；</w:t>
      </w:r>
    </w:p>
    <w:p>
      <w:pPr>
        <w:pStyle w:val=""/>
        <w:ind w:firstLine="560"/>
        <w:spacing w:line="360" w:lineRule="auto"/>
        <w:rPr>
          <w:rFonts w:ascii="仿宋_GB2312"/>
          <w:sz w:val="32"/>
          <w:szCs w:val="32"/>
        </w:rPr>
      </w:pPr>
      <w:r>
        <w:rPr>
          <w:rFonts w:ascii="仿宋_GB2312"/>
          <w:sz w:val="32"/>
          <w:szCs w:val="32"/>
        </w:rPr>
        <w:t>（二）定期编制财务报告，如实反映本局的财务收支情况，进行财务活动分析；</w:t>
      </w:r>
    </w:p>
    <w:p>
      <w:pPr>
        <w:pStyle w:val=""/>
        <w:ind w:firstLine="560"/>
        <w:spacing w:line="360" w:lineRule="auto"/>
        <w:rPr>
          <w:rFonts w:ascii="仿宋_GB2312"/>
          <w:sz w:val="32"/>
          <w:szCs w:val="32"/>
        </w:rPr>
      </w:pPr>
      <w:r>
        <w:rPr>
          <w:rFonts w:ascii="仿宋_GB2312"/>
          <w:sz w:val="32"/>
          <w:szCs w:val="32"/>
        </w:rPr>
        <w:t>（三）建立、健全内部财务管理制度，对交通部门的财务活动进行指导和监督；</w:t>
      </w:r>
    </w:p>
    <w:p>
      <w:pPr>
        <w:pStyle w:val=""/>
        <w:ind w:firstLine="560"/>
        <w:spacing w:line="360" w:lineRule="auto"/>
        <w:rPr>
          <w:rFonts w:ascii="仿宋_GB2312"/>
          <w:sz w:val="32"/>
          <w:szCs w:val="32"/>
        </w:rPr>
      </w:pPr>
      <w:r>
        <w:rPr>
          <w:rFonts w:ascii="仿宋_GB2312"/>
          <w:sz w:val="32"/>
          <w:szCs w:val="32"/>
        </w:rPr>
        <w:t>（四）加强国有资产管理，防止国有资产流失。</w:t>
      </w:r>
    </w:p>
    <w:p>
      <w:pPr>
        <w:pStyle w:val=""/>
        <w:ind w:firstLine="560"/>
        <w:spacing w:line="360" w:lineRule="auto"/>
        <w:rPr>
          <w:rFonts w:ascii="仿宋_GB2312"/>
          <w:sz w:val="32"/>
          <w:szCs w:val="32"/>
        </w:rPr>
      </w:pPr>
      <w:r>
        <w:rPr>
          <w:rFonts w:ascii="仿宋_GB2312"/>
          <w:sz w:val="32"/>
          <w:szCs w:val="32"/>
        </w:rPr>
        <w:t>（五）实行国库电子集中收付制度，各项财政资金实行国库电子集中收缴和支付。</w:t>
      </w:r>
    </w:p>
    <w:p>
      <w:pPr>
        <w:pStyle w:val=""/>
        <w:ind w:firstLine="560"/>
        <w:spacing w:line="520" w:lineRule="exact"/>
        <w:sectPr>
          <w:pgSz w:w="11907" w:h="16839"/>
          <w:pgMar w:left="1134" w:right="1134" w:top="1531" w:bottom="1474"/>
        </w:sectPr>
      </w:pPr>
    </w:p>
    <w:p>
      <w:pPr>
        <w:pStyle w:val=""/>
        <w:jc w:val="center"/>
        <w:rPr>
          <w:b/>
          <w:rFonts w:ascii="黑体" w:hAnsi="黑体"/>
          <w:sz w:val="32"/>
        </w:rPr>
      </w:pPr>
      <w:r>
        <w:rPr>
          <w:rFonts w:ascii="黑体" w:hAnsi="黑体"/>
          <w:sz w:val="32"/>
          <w:szCs w:val="32"/>
        </w:rPr>
        <w:t>二、</w:t>
      </w:r>
      <w:r>
        <w:rPr>
          <w:b/>
          <w:rFonts w:ascii="黑体" w:hAnsi="黑体"/>
          <w:sz w:val="32"/>
        </w:rPr>
        <w:t>部门职责-工作活动绩效目标</w:t>
      </w:r>
    </w:p>
    <w:tbl>
      <w:tblPr>
        <w:tblBorders>
          <w:top w:val="single" w:sz="6" w:color="000000" w:space="0"/>
          <w:bottom w:val="single" w:sz="6" w:color="000000" w:space="0"/>
          <w:left w:val="single" w:sz="6" w:color="000000" w:space="0"/>
          <w:right w:val="single" w:sz="6" w:color="000000" w:space="0"/>
          <w:insideH w:val="single" w:sz="6" w:color="000000" w:space="0"/>
          <w:insideV w:val="single" w:sz="6" w:color="000000" w:space="0"/>
        </w:tblBorders>
        <w:jc w:val="center"/>
        <w:tblStyle w:val="普通表格"/>
        <w:tblLook w:val="1E0"/>
      </w:tblPr>
      <w:tblGrid>
        <w:gridCol w:w="2341"/>
        <w:gridCol w:w="1276"/>
        <w:gridCol w:w="2976"/>
        <w:gridCol w:w="2976"/>
        <w:gridCol w:w="1417"/>
        <w:gridCol w:w="737"/>
        <w:gridCol w:w="737"/>
        <w:gridCol w:w="737"/>
        <w:gridCol w:w="737"/>
      </w:tblGrid>
      <w:tr>
        <w:trPr>
          <w:trHeight w:val="227" w:hRule="atLeast"/>
        </w:trPr>
        <w:tc>
          <w:tcPr>
            <w:gridSpan w:val="9"/>
            <w:tcBorders>
              <w:top w:val="single" w:sz="6" w:color="FFFFFF" w:space="0"/>
              <w:left w:val="single" w:sz="6" w:color="FFFFFF" w:space="0"/>
              <w:right w:val="single" w:sz="6" w:color="FFFFFF" w:space="0"/>
            </w:tcBorders>
            <w:vAlign w:val="center"/>
            <w:tcW w:w="0" w:type="nil"/>
          </w:tcPr>
          <w:p>
            <w:pPr>
              <w:pStyle w:val=""/>
              <w:jc w:val="left"/>
              <w:spacing w:line="300" w:lineRule="exact"/>
            </w:pPr>
            <w:r>
              <w:rPr>
                <w:rFonts w:ascii="方正小标宋_GBK"/>
                <w:sz w:val="32"/>
                <w:szCs w:val="32"/>
              </w:rPr>
              <w:t>348</w:t>
            </w:r>
            <w:r>
              <w:rPr>
                <w:rFonts w:ascii="方正小标宋_GBK"/>
                <w:sz w:val="32"/>
                <w:szCs w:val="32"/>
              </w:rPr>
              <w:t>涞源县交通运输局</w:t>
            </w:r>
            <w:r>
              <w:rPr>
                <w:rFonts w:ascii="方正小标宋_GBK"/>
                <w:sz w:val="32"/>
                <w:szCs w:val="32"/>
              </w:rPr>
              <w:t xml:space="preserve">                                            </w:t>
            </w:r>
          </w:p>
        </w:tc>
      </w:tr>
      <w:tr>
        <w:trPr>
          <w:trHeight w:val="227" w:hRule="atLeast"/>
        </w:trPr>
        <w:tc>
          <w:tcPr>
            <w:vAlign w:val="center"/>
            <w:vMerge w:val="restart"/>
            <w:tcW w:w="0" w:type="nil"/>
          </w:tcPr>
          <w:p>
            <w:pPr>
              <w:pStyle w:val=""/>
              <w:jc w:val="center"/>
              <w:spacing w:line="300" w:lineRule="exact"/>
            </w:pPr>
            <w:r>
              <w:rPr>
                <w:b/>
                <w:rFonts w:ascii="方正书宋_GBK"/>
              </w:rPr>
              <w:t>职责活动</w:t>
            </w:r>
          </w:p>
        </w:tc>
        <w:tc>
          <w:tcPr>
            <w:vAlign w:val="center"/>
            <w:vMerge w:val="restart"/>
            <w:tcW w:w="0" w:type="nil"/>
          </w:tcPr>
          <w:p>
            <w:pPr>
              <w:pStyle w:val=""/>
              <w:jc w:val="center"/>
              <w:spacing w:line="300" w:lineRule="exact"/>
            </w:pPr>
            <w:r>
              <w:rPr>
                <w:b/>
                <w:rFonts w:ascii="方正书宋_GBK"/>
              </w:rPr>
              <w:t>年度预算数</w:t>
            </w:r>
          </w:p>
        </w:tc>
        <w:tc>
          <w:tcPr>
            <w:vAlign w:val="center"/>
            <w:vMerge w:val="restart"/>
            <w:tcW w:w="0" w:type="nil"/>
          </w:tcPr>
          <w:p>
            <w:pPr>
              <w:pStyle w:val=""/>
              <w:jc w:val="center"/>
              <w:spacing w:line="300" w:lineRule="exact"/>
            </w:pPr>
            <w:r>
              <w:rPr>
                <w:b/>
                <w:rFonts w:ascii="方正书宋_GBK"/>
              </w:rPr>
              <w:t>内容描述</w:t>
            </w:r>
          </w:p>
        </w:tc>
        <w:tc>
          <w:tcPr>
            <w:vAlign w:val="center"/>
            <w:vMerge w:val="restart"/>
            <w:tcW w:w="0" w:type="nil"/>
          </w:tcPr>
          <w:p>
            <w:pPr>
              <w:pStyle w:val=""/>
              <w:jc w:val="center"/>
              <w:spacing w:line="300" w:lineRule="exact"/>
            </w:pPr>
            <w:r>
              <w:rPr>
                <w:b/>
                <w:rFonts w:ascii="方正书宋_GBK"/>
              </w:rPr>
              <w:t>绩效目标</w:t>
            </w:r>
          </w:p>
        </w:tc>
        <w:tc>
          <w:tcPr>
            <w:vAlign w:val="center"/>
            <w:vMerge w:val="restart"/>
            <w:tcW w:w="0" w:type="nil"/>
          </w:tcPr>
          <w:p>
            <w:pPr>
              <w:pStyle w:val=""/>
              <w:jc w:val="center"/>
              <w:spacing w:line="300" w:lineRule="exact"/>
            </w:pPr>
            <w:r>
              <w:rPr>
                <w:b/>
                <w:rFonts w:ascii="方正书宋_GBK"/>
              </w:rPr>
              <w:t>绩效指标</w:t>
            </w:r>
          </w:p>
        </w:tc>
        <w:tc>
          <w:tcPr>
            <w:gridSpan w:val="4"/>
            <w:vAlign w:val="center"/>
            <w:tcW w:w="0" w:type="nil"/>
          </w:tcPr>
          <w:p>
            <w:pPr>
              <w:pStyle w:val=""/>
              <w:jc w:val="center"/>
              <w:spacing w:line="300" w:lineRule="exact"/>
            </w:pPr>
            <w:r>
              <w:rPr>
                <w:b/>
                <w:rFonts w:ascii="方正书宋_GBK"/>
              </w:rPr>
              <w:t>评价标准</w:t>
            </w:r>
          </w:p>
        </w:tc>
      </w:tr>
      <w:tr>
        <w:trPr>
          <w:trHeight w:val="227" w:hRule="atLeast"/>
        </w:trPr>
        <w:tc>
          <w:tcPr>
            <w:vMerge/>
          </w:tcPr>
          <w:p/>
        </w:tc>
        <w:tc>
          <w:tcPr>
            <w:vMerge/>
          </w:tcPr>
          <w:p/>
        </w:tc>
        <w:tc>
          <w:tcPr>
            <w:vMerge/>
          </w:tcPr>
          <w:p/>
        </w:tc>
        <w:tc>
          <w:tcPr>
            <w:vMerge/>
          </w:tcPr>
          <w:p/>
        </w:tc>
        <w:tc>
          <w:tcPr>
            <w:vMerge/>
          </w:tcPr>
          <w:p/>
        </w:tc>
        <w:tc>
          <w:tcPr>
            <w:vAlign w:val="center"/>
            <w:tcW w:w="0" w:type="nil"/>
          </w:tcPr>
          <w:p>
            <w:pPr>
              <w:pStyle w:val=""/>
              <w:jc w:val="center"/>
              <w:spacing w:line="300" w:lineRule="exact"/>
            </w:pPr>
            <w:r>
              <w:rPr>
                <w:b/>
                <w:rFonts w:ascii="方正书宋_GBK"/>
              </w:rPr>
              <w:t>优</w:t>
            </w:r>
          </w:p>
        </w:tc>
        <w:tc>
          <w:tcPr>
            <w:vAlign w:val="center"/>
            <w:tcW w:w="0" w:type="nil"/>
          </w:tcPr>
          <w:p>
            <w:pPr>
              <w:pStyle w:val=""/>
              <w:jc w:val="center"/>
              <w:spacing w:line="300" w:lineRule="exact"/>
            </w:pPr>
            <w:r>
              <w:rPr>
                <w:b/>
                <w:rFonts w:ascii="方正书宋_GBK"/>
              </w:rPr>
              <w:t>良</w:t>
            </w:r>
          </w:p>
        </w:tc>
        <w:tc>
          <w:tcPr>
            <w:vAlign w:val="center"/>
            <w:tcW w:w="0" w:type="nil"/>
          </w:tcPr>
          <w:p>
            <w:pPr>
              <w:pStyle w:val=""/>
              <w:jc w:val="center"/>
              <w:spacing w:line="300" w:lineRule="exact"/>
            </w:pPr>
            <w:r>
              <w:rPr>
                <w:b/>
                <w:rFonts w:ascii="方正书宋_GBK"/>
              </w:rPr>
              <w:t>中</w:t>
            </w:r>
          </w:p>
        </w:tc>
        <w:tc>
          <w:tcPr>
            <w:vAlign w:val="center"/>
            <w:tcW w:w="0" w:type="nil"/>
          </w:tcPr>
          <w:p>
            <w:pPr>
              <w:pStyle w:val=""/>
              <w:jc w:val="center"/>
              <w:spacing w:line="300" w:lineRule="exact"/>
            </w:pPr>
            <w:r>
              <w:rPr>
                <w:b/>
                <w:rFonts w:ascii="方正书宋_GBK"/>
              </w:rPr>
              <w:t>差</w:t>
            </w:r>
          </w:p>
        </w:tc>
      </w:tr>
      <w:tr>
        <w:trPr>
          <w:trHeight w:val="227" w:hRule="atLeast"/>
        </w:trPr>
        <w:tc>
          <w:tcPr>
            <w:vAlign w:val="center"/>
            <w:tcW w:w="0" w:type="nil"/>
          </w:tcPr>
          <w:p>
            <w:pPr>
              <w:pStyle w:val=""/>
              <w:jc w:val="left"/>
              <w:spacing w:line="300" w:lineRule="exact"/>
            </w:pPr>
            <w:r>
              <w:rPr>
                <w:b/>
                <w:rFonts w:ascii="方正书宋_GBK"/>
              </w:rPr>
              <w:t>交通运输基础设施建设</w:t>
            </w:r>
          </w:p>
        </w:tc>
        <w:tc>
          <w:tcPr>
            <w:vAlign w:val="center"/>
            <w:tcW w:w="0" w:type="nil"/>
          </w:tcPr>
          <w:p>
            <w:pPr>
              <w:pStyle w:val=""/>
              <w:jc w:val="left"/>
              <w:spacing w:line="300" w:lineRule="exact"/>
            </w:pPr>
          </w:p>
        </w:tc>
        <w:tc>
          <w:tcPr>
            <w:vAlign w:val="center"/>
            <w:tcW w:w="0" w:type="nil"/>
          </w:tcPr>
          <w:p>
            <w:pPr>
              <w:pStyle w:val=""/>
              <w:jc w:val="left"/>
              <w:spacing w:line="300" w:lineRule="exact"/>
            </w:pPr>
            <w:r>
              <w:rPr>
                <w:rFonts w:ascii="方正书宋_GBK"/>
              </w:rPr>
              <w:t>提出全县交通运输行业固定资产投资规模和方向</w:t>
            </w:r>
            <w:r>
              <w:rPr>
                <w:rFonts w:ascii="方正书宋_GBK"/>
              </w:rPr>
              <w:t>,</w:t>
            </w:r>
            <w:r>
              <w:rPr>
                <w:rFonts w:ascii="方正书宋_GBK"/>
              </w:rPr>
              <w:t>按县政府规定权限审批、核准县规划内和年度计划规模内的固定资产投资项目，完成交通基础设施投资；对重点工程建设、工程质量和安全生产进行监管，对招投标活动进行监督管理。</w:t>
            </w:r>
          </w:p>
        </w:tc>
        <w:tc>
          <w:tcPr>
            <w:vAlign w:val="center"/>
            <w:tcW w:w="0" w:type="nil"/>
          </w:tcPr>
          <w:p>
            <w:pPr>
              <w:pStyle w:val=""/>
              <w:jc w:val="left"/>
              <w:spacing w:line="300" w:lineRule="exact"/>
            </w:pPr>
          </w:p>
        </w:tc>
        <w:tc>
          <w:tcPr>
            <w:vAlign w:val="center"/>
            <w:tcW w:w="0" w:type="nil"/>
          </w:tcPr>
          <w:p>
            <w:pPr>
              <w:pStyle w:val=""/>
              <w:jc w:val="left"/>
              <w:spacing w:line="300" w:lineRule="exact"/>
            </w:pPr>
          </w:p>
        </w:tc>
        <w:tc>
          <w:tcPr>
            <w:vAlign w:val="center"/>
            <w:tcW w:w="0" w:type="nil"/>
          </w:tcPr>
          <w:p>
            <w:pPr>
              <w:pStyle w:val=""/>
              <w:jc w:val="center"/>
              <w:spacing w:line="300" w:lineRule="exact"/>
            </w:pPr>
          </w:p>
        </w:tc>
        <w:tc>
          <w:tcPr>
            <w:vAlign w:val="center"/>
            <w:tcW w:w="0" w:type="nil"/>
          </w:tcPr>
          <w:p>
            <w:pPr>
              <w:pStyle w:val=""/>
              <w:jc w:val="center"/>
              <w:spacing w:line="300" w:lineRule="exact"/>
            </w:pPr>
          </w:p>
        </w:tc>
        <w:tc>
          <w:tcPr>
            <w:vAlign w:val="center"/>
            <w:tcW w:w="0" w:type="nil"/>
          </w:tcPr>
          <w:p>
            <w:pPr>
              <w:pStyle w:val=""/>
              <w:jc w:val="center"/>
              <w:spacing w:line="300" w:lineRule="exact"/>
            </w:pPr>
          </w:p>
        </w:tc>
        <w:tc>
          <w:tcPr>
            <w:vAlign w:val="center"/>
            <w:tcW w:w="0" w:type="nil"/>
          </w:tcPr>
          <w:p>
            <w:pPr>
              <w:pStyle w:val=""/>
              <w:jc w:val="center"/>
              <w:spacing w:line="300" w:lineRule="exact"/>
            </w:pPr>
          </w:p>
        </w:tc>
      </w:tr>
      <w:tr>
        <w:trPr>
          <w:trHeight w:val="227" w:hRule="atLeast"/>
        </w:trPr>
        <w:tc>
          <w:tcPr>
            <w:vAlign w:val="center"/>
            <w:vMerge w:val="restart"/>
            <w:tcW w:w="0" w:type="nil"/>
          </w:tcPr>
          <w:p>
            <w:pPr>
              <w:pStyle w:val=""/>
              <w:jc w:val="left"/>
              <w:spacing w:line="300" w:lineRule="exact"/>
            </w:pPr>
            <w:r>
              <w:rPr>
                <w:b/>
                <w:rFonts w:ascii="方正书宋_GBK"/>
              </w:rPr>
              <w:t>　　普通国省干线公路建设</w:t>
            </w:r>
          </w:p>
        </w:tc>
        <w:tc>
          <w:tcPr>
            <w:vAlign w:val="center"/>
            <w:vMerge w:val="restart"/>
            <w:tcW w:w="0" w:type="nil"/>
          </w:tcPr>
          <w:p>
            <w:pPr>
              <w:pStyle w:val=""/>
              <w:jc w:val="left"/>
              <w:spacing w:line="300" w:lineRule="exact"/>
            </w:pPr>
          </w:p>
        </w:tc>
        <w:tc>
          <w:tcPr>
            <w:vAlign w:val="center"/>
            <w:vMerge w:val="restart"/>
            <w:tcW w:w="0" w:type="nil"/>
          </w:tcPr>
          <w:p>
            <w:pPr>
              <w:pStyle w:val=""/>
              <w:jc w:val="left"/>
              <w:spacing w:line="300" w:lineRule="exact"/>
            </w:pPr>
            <w:r>
              <w:rPr>
                <w:rFonts w:ascii="方正书宋_GBK"/>
              </w:rPr>
              <w:t>安排补助资金，组织实施各项普通国省干线公路建设，完成投资任务。</w:t>
            </w:r>
          </w:p>
        </w:tc>
        <w:tc>
          <w:tcPr>
            <w:vAlign w:val="center"/>
            <w:vMerge w:val="restart"/>
            <w:tcW w:w="0" w:type="nil"/>
          </w:tcPr>
          <w:p>
            <w:pPr>
              <w:pStyle w:val=""/>
              <w:jc w:val="left"/>
              <w:spacing w:line="300" w:lineRule="exact"/>
            </w:pPr>
          </w:p>
        </w:tc>
        <w:tc>
          <w:tcPr>
            <w:vAlign w:val="center"/>
            <w:tcW w:w="0" w:type="nil"/>
          </w:tcPr>
          <w:p>
            <w:pPr>
              <w:pStyle w:val=""/>
              <w:jc w:val="left"/>
              <w:spacing w:line="300" w:lineRule="exact"/>
            </w:pPr>
          </w:p>
        </w:tc>
        <w:tc>
          <w:tcPr>
            <w:vAlign w:val="center"/>
            <w:tcW w:w="0" w:type="nil"/>
          </w:tcPr>
          <w:p>
            <w:pPr>
              <w:pStyle w:val=""/>
              <w:jc w:val="center"/>
              <w:spacing w:line="300" w:lineRule="exact"/>
            </w:pPr>
          </w:p>
        </w:tc>
        <w:tc>
          <w:tcPr>
            <w:vAlign w:val="center"/>
            <w:tcW w:w="0" w:type="nil"/>
          </w:tcPr>
          <w:p>
            <w:pPr>
              <w:pStyle w:val=""/>
              <w:jc w:val="center"/>
              <w:spacing w:line="300" w:lineRule="exact"/>
            </w:pPr>
          </w:p>
        </w:tc>
        <w:tc>
          <w:tcPr>
            <w:vAlign w:val="center"/>
            <w:tcW w:w="0" w:type="nil"/>
          </w:tcPr>
          <w:p>
            <w:pPr>
              <w:pStyle w:val=""/>
              <w:jc w:val="center"/>
              <w:spacing w:line="300" w:lineRule="exact"/>
            </w:pPr>
          </w:p>
        </w:tc>
        <w:tc>
          <w:tcPr>
            <w:vAlign w:val="center"/>
            <w:tcW w:w="0" w:type="nil"/>
          </w:tcPr>
          <w:p>
            <w:pPr>
              <w:pStyle w:val=""/>
              <w:jc w:val="center"/>
              <w:spacing w:line="300" w:lineRule="exact"/>
            </w:pPr>
          </w:p>
        </w:tc>
      </w:tr>
      <w:tr>
        <w:trPr>
          <w:trHeight w:val="227" w:hRule="atLeast"/>
        </w:trPr>
        <w:tc>
          <w:tcPr>
            <w:vMerge/>
          </w:tcPr>
          <w:p/>
        </w:tc>
        <w:tc>
          <w:tcPr>
            <w:vMerge/>
          </w:tcPr>
          <w:p/>
        </w:tc>
        <w:tc>
          <w:tcPr>
            <w:vMerge/>
          </w:tcPr>
          <w:p/>
        </w:tc>
        <w:tc>
          <w:tcPr>
            <w:vMerge/>
          </w:tcPr>
          <w:p/>
        </w:tc>
        <w:tc>
          <w:tcPr>
            <w:vAlign w:val="center"/>
            <w:tcW w:w="0" w:type="nil"/>
          </w:tcPr>
          <w:p>
            <w:pPr>
              <w:pStyle w:val=""/>
              <w:jc w:val="left"/>
              <w:spacing w:line="300" w:lineRule="exact"/>
            </w:pPr>
          </w:p>
        </w:tc>
        <w:tc>
          <w:tcPr>
            <w:vAlign w:val="center"/>
            <w:tcW w:w="0" w:type="nil"/>
          </w:tcPr>
          <w:p>
            <w:pPr>
              <w:pStyle w:val=""/>
              <w:jc w:val="center"/>
              <w:spacing w:line="300" w:lineRule="exact"/>
            </w:pPr>
          </w:p>
        </w:tc>
        <w:tc>
          <w:tcPr>
            <w:vAlign w:val="center"/>
            <w:tcW w:w="0" w:type="nil"/>
          </w:tcPr>
          <w:p>
            <w:pPr>
              <w:pStyle w:val=""/>
              <w:jc w:val="center"/>
              <w:spacing w:line="300" w:lineRule="exact"/>
            </w:pPr>
          </w:p>
        </w:tc>
        <w:tc>
          <w:tcPr>
            <w:vAlign w:val="center"/>
            <w:tcW w:w="0" w:type="nil"/>
          </w:tcPr>
          <w:p>
            <w:pPr>
              <w:pStyle w:val=""/>
              <w:jc w:val="center"/>
              <w:spacing w:line="300" w:lineRule="exact"/>
            </w:pPr>
          </w:p>
        </w:tc>
        <w:tc>
          <w:tcPr>
            <w:vAlign w:val="center"/>
            <w:tcW w:w="0" w:type="nil"/>
          </w:tcPr>
          <w:p>
            <w:pPr>
              <w:pStyle w:val=""/>
              <w:jc w:val="center"/>
              <w:spacing w:line="300" w:lineRule="exact"/>
            </w:pPr>
          </w:p>
        </w:tc>
      </w:tr>
      <w:tr>
        <w:trPr>
          <w:trHeight w:val="227" w:hRule="atLeast"/>
        </w:trPr>
        <w:tc>
          <w:tcPr>
            <w:vMerge/>
          </w:tcPr>
          <w:p/>
        </w:tc>
        <w:tc>
          <w:tcPr>
            <w:vMerge/>
          </w:tcPr>
          <w:p/>
        </w:tc>
        <w:tc>
          <w:tcPr>
            <w:vMerge/>
          </w:tcPr>
          <w:p/>
        </w:tc>
        <w:tc>
          <w:tcPr>
            <w:vMerge/>
          </w:tcPr>
          <w:p/>
        </w:tc>
        <w:tc>
          <w:tcPr>
            <w:vAlign w:val="center"/>
            <w:tcW w:w="0" w:type="nil"/>
          </w:tcPr>
          <w:p>
            <w:pPr>
              <w:pStyle w:val=""/>
              <w:jc w:val="left"/>
              <w:spacing w:line="300" w:lineRule="exact"/>
            </w:pPr>
          </w:p>
        </w:tc>
        <w:tc>
          <w:tcPr>
            <w:vAlign w:val="center"/>
            <w:tcW w:w="0" w:type="nil"/>
          </w:tcPr>
          <w:p>
            <w:pPr>
              <w:pStyle w:val=""/>
              <w:jc w:val="center"/>
              <w:spacing w:line="300" w:lineRule="exact"/>
            </w:pPr>
          </w:p>
        </w:tc>
        <w:tc>
          <w:tcPr>
            <w:vAlign w:val="center"/>
            <w:tcW w:w="0" w:type="nil"/>
          </w:tcPr>
          <w:p>
            <w:pPr>
              <w:pStyle w:val=""/>
              <w:spacing w:line="300" w:lineRule="exact"/>
            </w:pPr>
          </w:p>
        </w:tc>
        <w:tc>
          <w:tcPr>
            <w:vAlign w:val="center"/>
            <w:tcW w:w="0" w:type="nil"/>
          </w:tcPr>
          <w:p>
            <w:pPr>
              <w:pStyle w:val=""/>
              <w:jc w:val="center"/>
              <w:spacing w:line="300" w:lineRule="exact"/>
            </w:pPr>
          </w:p>
        </w:tc>
        <w:tc>
          <w:tcPr>
            <w:vAlign w:val="center"/>
            <w:tcW w:w="0" w:type="nil"/>
          </w:tcPr>
          <w:p>
            <w:pPr>
              <w:pStyle w:val=""/>
              <w:jc w:val="center"/>
              <w:spacing w:line="300" w:lineRule="exact"/>
            </w:pPr>
          </w:p>
        </w:tc>
      </w:tr>
      <w:tr>
        <w:trPr>
          <w:trHeight w:val="227" w:hRule="atLeast"/>
        </w:trPr>
        <w:tc>
          <w:tcPr>
            <w:vAlign w:val="center"/>
            <w:vMerge w:val="restart"/>
            <w:tcW w:w="0" w:type="nil"/>
          </w:tcPr>
          <w:p>
            <w:pPr>
              <w:pStyle w:val=""/>
              <w:jc w:val="left"/>
              <w:spacing w:line="300" w:lineRule="exact"/>
            </w:pPr>
            <w:r>
              <w:rPr>
                <w:b/>
                <w:rFonts w:ascii="方正书宋_GBK"/>
              </w:rPr>
              <w:t>　　公路客货运站（场）及城乡客运基础设施建设</w:t>
            </w:r>
          </w:p>
        </w:tc>
        <w:tc>
          <w:tcPr>
            <w:vAlign w:val="center"/>
            <w:vMerge w:val="restart"/>
            <w:tcW w:w="0" w:type="nil"/>
          </w:tcPr>
          <w:p>
            <w:pPr>
              <w:pStyle w:val=""/>
              <w:jc w:val="left"/>
              <w:spacing w:line="300" w:lineRule="exact"/>
            </w:pPr>
          </w:p>
        </w:tc>
        <w:tc>
          <w:tcPr>
            <w:vAlign w:val="center"/>
            <w:vMerge w:val="restart"/>
            <w:tcW w:w="0" w:type="nil"/>
          </w:tcPr>
          <w:p>
            <w:pPr>
              <w:pStyle w:val=""/>
              <w:jc w:val="left"/>
              <w:spacing w:line="300" w:lineRule="exact"/>
            </w:pPr>
            <w:r>
              <w:rPr>
                <w:rFonts w:ascii="方正书宋_GBK"/>
              </w:rPr>
              <w:t>组织实施全县汽车客、货运站场新改（扩）建工程（含综合客货运枢纽、等级客运站、简易站、候车亭、招呼牌等）建设。</w:t>
            </w:r>
          </w:p>
        </w:tc>
        <w:tc>
          <w:tcPr>
            <w:vAlign w:val="center"/>
            <w:vMerge w:val="restart"/>
            <w:tcW w:w="0" w:type="nil"/>
          </w:tcPr>
          <w:p>
            <w:pPr>
              <w:pStyle w:val=""/>
              <w:jc w:val="left"/>
              <w:spacing w:line="300" w:lineRule="exact"/>
            </w:pPr>
            <w:r>
              <w:rPr>
                <w:rFonts w:ascii="方正书宋_GBK"/>
              </w:rPr>
              <w:t>全年完成农村客运站点总投资</w:t>
            </w:r>
            <w:r>
              <w:rPr>
                <w:rFonts w:ascii="方正书宋_GBK"/>
              </w:rPr>
              <w:t xml:space="preserve"> </w:t>
            </w:r>
            <w:r>
              <w:rPr>
                <w:rFonts w:ascii="方正书宋_GBK"/>
              </w:rPr>
              <w:t>亿元</w:t>
            </w:r>
            <w:r>
              <w:rPr>
                <w:rFonts w:ascii="方正书宋_GBK"/>
              </w:rPr>
              <w:t>,</w:t>
            </w:r>
            <w:r>
              <w:rPr>
                <w:rFonts w:ascii="方正书宋_GBK"/>
              </w:rPr>
              <w:t>建设四级站</w:t>
            </w:r>
            <w:r>
              <w:rPr>
                <w:rFonts w:ascii="方正书宋_GBK"/>
              </w:rPr>
              <w:t xml:space="preserve"> </w:t>
            </w:r>
            <w:r>
              <w:rPr>
                <w:rFonts w:ascii="方正书宋_GBK"/>
              </w:rPr>
              <w:t>个，五级站</w:t>
            </w:r>
            <w:r>
              <w:rPr>
                <w:rFonts w:ascii="方正书宋_GBK"/>
              </w:rPr>
              <w:t xml:space="preserve"> </w:t>
            </w:r>
            <w:r>
              <w:rPr>
                <w:rFonts w:ascii="方正书宋_GBK"/>
              </w:rPr>
              <w:t>个，简易站</w:t>
            </w:r>
            <w:r>
              <w:rPr>
                <w:rFonts w:ascii="方正书宋_GBK"/>
              </w:rPr>
              <w:t xml:space="preserve"> </w:t>
            </w:r>
            <w:r>
              <w:rPr>
                <w:rFonts w:ascii="方正书宋_GBK"/>
              </w:rPr>
              <w:t>个，候车亭</w:t>
            </w:r>
            <w:r>
              <w:rPr>
                <w:rFonts w:ascii="方正书宋_GBK"/>
              </w:rPr>
              <w:t xml:space="preserve"> </w:t>
            </w:r>
            <w:r>
              <w:rPr>
                <w:rFonts w:ascii="方正书宋_GBK"/>
              </w:rPr>
              <w:t>个，招呼站牌</w:t>
            </w:r>
            <w:r>
              <w:rPr>
                <w:rFonts w:ascii="方正书宋_GBK"/>
              </w:rPr>
              <w:t xml:space="preserve"> </w:t>
            </w:r>
            <w:r>
              <w:rPr>
                <w:rFonts w:ascii="方正书宋_GBK"/>
              </w:rPr>
              <w:t>个。</w:t>
            </w:r>
          </w:p>
        </w:tc>
        <w:tc>
          <w:tcPr>
            <w:vAlign w:val="center"/>
            <w:tcW w:w="0" w:type="nil"/>
          </w:tcPr>
          <w:p>
            <w:pPr>
              <w:pStyle w:val=""/>
              <w:jc w:val="left"/>
              <w:spacing w:line="300" w:lineRule="exact"/>
            </w:pPr>
            <w:r>
              <w:rPr>
                <w:rFonts w:ascii="方正书宋_GBK"/>
              </w:rPr>
              <w:t>年度客货运场站建设工程量完成率</w:t>
            </w:r>
            <w:r>
              <w:rPr>
                <w:rFonts w:ascii="方正书宋_GBK"/>
              </w:rPr>
              <w:t>95%</w:t>
            </w:r>
          </w:p>
        </w:tc>
        <w:tc>
          <w:tcPr>
            <w:vAlign w:val="center"/>
            <w:tcW w:w="0" w:type="nil"/>
          </w:tcPr>
          <w:p>
            <w:pPr>
              <w:pStyle w:val=""/>
              <w:jc w:val="center"/>
              <w:spacing w:line="300" w:lineRule="exact"/>
            </w:pPr>
            <w:r>
              <w:rPr>
                <w:rFonts w:ascii="方正书宋_GBK"/>
              </w:rPr>
              <w:t>90%</w:t>
            </w:r>
            <w:r>
              <w:rPr>
                <w:rFonts w:ascii="方正书宋_GBK"/>
              </w:rPr>
              <w:t>以上</w:t>
            </w:r>
          </w:p>
        </w:tc>
        <w:tc>
          <w:tcPr>
            <w:vAlign w:val="center"/>
            <w:tcW w:w="0" w:type="nil"/>
          </w:tcPr>
          <w:p>
            <w:pPr>
              <w:pStyle w:val=""/>
              <w:jc w:val="center"/>
              <w:spacing w:line="300" w:lineRule="exact"/>
            </w:pPr>
            <w:r>
              <w:rPr>
                <w:rFonts w:ascii="方正书宋_GBK"/>
              </w:rPr>
              <w:t>80%-90%</w:t>
            </w:r>
          </w:p>
        </w:tc>
        <w:tc>
          <w:tcPr>
            <w:vAlign w:val="center"/>
            <w:tcW w:w="0" w:type="nil"/>
          </w:tcPr>
          <w:p>
            <w:pPr>
              <w:pStyle w:val=""/>
              <w:jc w:val="center"/>
              <w:spacing w:line="300" w:lineRule="exact"/>
            </w:pPr>
            <w:r>
              <w:rPr>
                <w:rFonts w:ascii="方正书宋_GBK"/>
              </w:rPr>
              <w:t>65%-80%</w:t>
            </w:r>
          </w:p>
        </w:tc>
        <w:tc>
          <w:tcPr>
            <w:vAlign w:val="center"/>
            <w:tcW w:w="0" w:type="nil"/>
          </w:tcPr>
          <w:p>
            <w:pPr>
              <w:pStyle w:val=""/>
              <w:jc w:val="center"/>
              <w:spacing w:line="300" w:lineRule="exact"/>
            </w:pPr>
            <w:r>
              <w:rPr>
                <w:rFonts w:ascii="方正书宋_GBK"/>
              </w:rPr>
              <w:t>65%</w:t>
            </w:r>
            <w:r>
              <w:rPr>
                <w:rFonts w:ascii="方正书宋_GBK"/>
              </w:rPr>
              <w:t>以下</w:t>
            </w:r>
          </w:p>
        </w:tc>
      </w:tr>
      <w:tr>
        <w:trPr>
          <w:trHeight w:val="227" w:hRule="atLeast"/>
        </w:trPr>
        <w:tc>
          <w:tcPr>
            <w:vMerge/>
          </w:tcPr>
          <w:p/>
        </w:tc>
        <w:tc>
          <w:tcPr>
            <w:vMerge/>
          </w:tcPr>
          <w:p/>
        </w:tc>
        <w:tc>
          <w:tcPr>
            <w:vMerge/>
          </w:tcPr>
          <w:p/>
        </w:tc>
        <w:tc>
          <w:tcPr>
            <w:vMerge/>
          </w:tcPr>
          <w:p/>
        </w:tc>
        <w:tc>
          <w:tcPr>
            <w:vAlign w:val="center"/>
            <w:tcW w:w="0" w:type="nil"/>
          </w:tcPr>
          <w:p>
            <w:pPr>
              <w:pStyle w:val=""/>
              <w:jc w:val="left"/>
              <w:spacing w:line="300" w:lineRule="exact"/>
            </w:pPr>
            <w:r>
              <w:rPr>
                <w:rFonts w:ascii="方正书宋_GBK"/>
              </w:rPr>
              <w:t>年度客货运场站建设投资完成率</w:t>
            </w:r>
            <w:r>
              <w:rPr>
                <w:rFonts w:ascii="方正书宋_GBK"/>
              </w:rPr>
              <w:t>95%</w:t>
            </w:r>
          </w:p>
        </w:tc>
        <w:tc>
          <w:tcPr>
            <w:vAlign w:val="center"/>
            <w:tcW w:w="0" w:type="nil"/>
          </w:tcPr>
          <w:p>
            <w:pPr>
              <w:pStyle w:val=""/>
              <w:jc w:val="center"/>
              <w:spacing w:line="300" w:lineRule="exact"/>
            </w:pPr>
            <w:r>
              <w:rPr>
                <w:rFonts w:ascii="方正书宋_GBK"/>
              </w:rPr>
              <w:t>90%</w:t>
            </w:r>
            <w:r>
              <w:rPr>
                <w:rFonts w:ascii="方正书宋_GBK"/>
              </w:rPr>
              <w:t>以上</w:t>
            </w:r>
          </w:p>
        </w:tc>
        <w:tc>
          <w:tcPr>
            <w:vAlign w:val="center"/>
            <w:tcW w:w="0" w:type="nil"/>
          </w:tcPr>
          <w:p>
            <w:pPr>
              <w:pStyle w:val=""/>
              <w:jc w:val="center"/>
              <w:spacing w:line="300" w:lineRule="exact"/>
            </w:pPr>
            <w:r>
              <w:rPr>
                <w:rFonts w:ascii="方正书宋_GBK"/>
              </w:rPr>
              <w:t>80%-90%</w:t>
            </w:r>
          </w:p>
        </w:tc>
        <w:tc>
          <w:tcPr>
            <w:vAlign w:val="center"/>
            <w:tcW w:w="0" w:type="nil"/>
          </w:tcPr>
          <w:p>
            <w:pPr>
              <w:pStyle w:val=""/>
              <w:jc w:val="center"/>
              <w:spacing w:line="300" w:lineRule="exact"/>
            </w:pPr>
            <w:r>
              <w:rPr>
                <w:rFonts w:ascii="方正书宋_GBK"/>
              </w:rPr>
              <w:t>65%-80%</w:t>
            </w:r>
          </w:p>
        </w:tc>
        <w:tc>
          <w:tcPr>
            <w:vAlign w:val="center"/>
            <w:tcW w:w="0" w:type="nil"/>
          </w:tcPr>
          <w:p>
            <w:pPr>
              <w:pStyle w:val=""/>
              <w:jc w:val="center"/>
              <w:spacing w:line="300" w:lineRule="exact"/>
            </w:pPr>
            <w:r>
              <w:rPr>
                <w:rFonts w:ascii="方正书宋_GBK"/>
              </w:rPr>
              <w:t>65%</w:t>
            </w:r>
            <w:r>
              <w:rPr>
                <w:rFonts w:ascii="方正书宋_GBK"/>
              </w:rPr>
              <w:t>以下</w:t>
            </w:r>
          </w:p>
        </w:tc>
      </w:tr>
      <w:tr>
        <w:trPr>
          <w:trHeight w:val="227" w:hRule="atLeast"/>
        </w:trPr>
        <w:tc>
          <w:tcPr>
            <w:vMerge/>
          </w:tcPr>
          <w:p/>
        </w:tc>
        <w:tc>
          <w:tcPr>
            <w:vMerge/>
          </w:tcPr>
          <w:p/>
        </w:tc>
        <w:tc>
          <w:tcPr>
            <w:vMerge/>
          </w:tcPr>
          <w:p/>
        </w:tc>
        <w:tc>
          <w:tcPr>
            <w:vMerge/>
          </w:tcPr>
          <w:p/>
        </w:tc>
        <w:tc>
          <w:tcPr>
            <w:vAlign w:val="center"/>
            <w:tcW w:w="0" w:type="nil"/>
          </w:tcPr>
          <w:p>
            <w:pPr>
              <w:pStyle w:val=""/>
              <w:jc w:val="left"/>
              <w:spacing w:line="300" w:lineRule="exact"/>
            </w:pPr>
            <w:r>
              <w:rPr>
                <w:rFonts w:ascii="方正书宋_GBK"/>
              </w:rPr>
              <w:t>年度客货运场站建设项目工程质量合格率</w:t>
            </w:r>
            <w:r>
              <w:rPr>
                <w:rFonts w:ascii="方正书宋_GBK"/>
              </w:rPr>
              <w:t>95%</w:t>
            </w:r>
          </w:p>
        </w:tc>
        <w:tc>
          <w:tcPr>
            <w:vAlign w:val="center"/>
            <w:tcW w:w="0" w:type="nil"/>
          </w:tcPr>
          <w:p>
            <w:pPr>
              <w:pStyle w:val=""/>
              <w:jc w:val="center"/>
              <w:spacing w:line="300" w:lineRule="exact"/>
            </w:pPr>
            <w:r>
              <w:rPr>
                <w:rFonts w:ascii="方正书宋_GBK"/>
              </w:rPr>
              <w:t>100%</w:t>
            </w:r>
          </w:p>
        </w:tc>
        <w:tc>
          <w:tcPr>
            <w:vAlign w:val="center"/>
            <w:tcW w:w="0" w:type="nil"/>
          </w:tcPr>
          <w:p>
            <w:pPr>
              <w:pStyle w:val=""/>
              <w:jc w:val="center"/>
              <w:spacing w:line="300" w:lineRule="exact"/>
            </w:pPr>
            <w:r>
              <w:rPr>
                <w:rFonts w:ascii="方正书宋_GBK"/>
              </w:rPr>
              <w:t>85%-99%</w:t>
            </w:r>
          </w:p>
        </w:tc>
        <w:tc>
          <w:tcPr>
            <w:vAlign w:val="center"/>
            <w:tcW w:w="0" w:type="nil"/>
          </w:tcPr>
          <w:p>
            <w:pPr>
              <w:pStyle w:val=""/>
              <w:jc w:val="center"/>
              <w:spacing w:line="300" w:lineRule="exact"/>
            </w:pPr>
            <w:r>
              <w:rPr>
                <w:rFonts w:ascii="方正书宋_GBK"/>
              </w:rPr>
              <w:t>70%-85%</w:t>
            </w:r>
          </w:p>
        </w:tc>
        <w:tc>
          <w:tcPr>
            <w:vAlign w:val="center"/>
            <w:tcW w:w="0" w:type="nil"/>
          </w:tcPr>
          <w:p>
            <w:pPr>
              <w:pStyle w:val=""/>
              <w:jc w:val="center"/>
              <w:spacing w:line="300" w:lineRule="exact"/>
            </w:pPr>
            <w:r>
              <w:rPr>
                <w:rFonts w:ascii="方正书宋_GBK"/>
              </w:rPr>
              <w:t>70%</w:t>
            </w:r>
            <w:r>
              <w:rPr>
                <w:rFonts w:ascii="方正书宋_GBK"/>
              </w:rPr>
              <w:t>以下</w:t>
            </w:r>
          </w:p>
        </w:tc>
      </w:tr>
      <w:tr>
        <w:trPr>
          <w:trHeight w:val="227" w:hRule="atLeast"/>
        </w:trPr>
        <w:tc>
          <w:tcPr>
            <w:vAlign w:val="center"/>
            <w:tcW w:w="0" w:type="nil"/>
          </w:tcPr>
          <w:p>
            <w:pPr>
              <w:pStyle w:val=""/>
              <w:jc w:val="left"/>
              <w:spacing w:line="300" w:lineRule="exact"/>
            </w:pPr>
            <w:r>
              <w:rPr>
                <w:b/>
                <w:rFonts w:ascii="方正书宋_GBK"/>
              </w:rPr>
              <w:t>　　交通基础设施建设的协调、监督和管理</w:t>
            </w:r>
          </w:p>
        </w:tc>
        <w:tc>
          <w:tcPr>
            <w:vAlign w:val="center"/>
            <w:tcW w:w="0" w:type="nil"/>
          </w:tcPr>
          <w:p>
            <w:pPr>
              <w:pStyle w:val=""/>
              <w:jc w:val="left"/>
              <w:spacing w:line="300" w:lineRule="exact"/>
            </w:pPr>
          </w:p>
        </w:tc>
        <w:tc>
          <w:tcPr>
            <w:vAlign w:val="center"/>
            <w:tcW w:w="0" w:type="nil"/>
          </w:tcPr>
          <w:p>
            <w:pPr>
              <w:pStyle w:val=""/>
              <w:jc w:val="left"/>
              <w:spacing w:line="300" w:lineRule="exact"/>
            </w:pPr>
            <w:r>
              <w:rPr>
                <w:rFonts w:ascii="方正书宋_GBK"/>
              </w:rPr>
              <w:t>监管全县公路、水路市场，对公路、水路重点工程建设、工程质量和安全生产及行业招投标活动进行监督和管理，做好建设过程中的协调管理工作。</w:t>
            </w:r>
          </w:p>
        </w:tc>
        <w:tc>
          <w:tcPr>
            <w:vAlign w:val="center"/>
            <w:tcW w:w="0" w:type="nil"/>
          </w:tcPr>
          <w:p>
            <w:pPr>
              <w:pStyle w:val=""/>
              <w:jc w:val="left"/>
              <w:spacing w:line="300" w:lineRule="exact"/>
            </w:pPr>
            <w:r>
              <w:rPr>
                <w:rFonts w:ascii="方正书宋_GBK"/>
              </w:rPr>
              <w:t>公路、水路建设市场运转有序，各项业务顺利开展，工作按时完成。</w:t>
            </w:r>
          </w:p>
        </w:tc>
        <w:tc>
          <w:tcPr>
            <w:vAlign w:val="center"/>
            <w:tcW w:w="0" w:type="nil"/>
          </w:tcPr>
          <w:p>
            <w:pPr>
              <w:pStyle w:val=""/>
              <w:jc w:val="left"/>
              <w:spacing w:line="300" w:lineRule="exact"/>
            </w:pPr>
            <w:r>
              <w:rPr>
                <w:rFonts w:ascii="方正书宋_GBK"/>
              </w:rPr>
              <w:t>交通基础设施建设重点项目监督检查率</w:t>
            </w:r>
            <w:r>
              <w:rPr>
                <w:rFonts w:ascii="方正书宋_GBK"/>
              </w:rPr>
              <w:t>95%</w:t>
            </w:r>
          </w:p>
        </w:tc>
        <w:tc>
          <w:tcPr>
            <w:vAlign w:val="center"/>
            <w:tcW w:w="0" w:type="nil"/>
          </w:tcPr>
          <w:p>
            <w:pPr>
              <w:pStyle w:val=""/>
              <w:jc w:val="center"/>
              <w:spacing w:line="300" w:lineRule="exact"/>
            </w:pPr>
            <w:r>
              <w:rPr>
                <w:rFonts w:ascii="方正书宋_GBK"/>
              </w:rPr>
              <w:t>90%-100%</w:t>
            </w:r>
          </w:p>
        </w:tc>
        <w:tc>
          <w:tcPr>
            <w:vAlign w:val="center"/>
            <w:tcW w:w="0" w:type="nil"/>
          </w:tcPr>
          <w:p>
            <w:pPr>
              <w:pStyle w:val=""/>
              <w:jc w:val="center"/>
              <w:spacing w:line="300" w:lineRule="exact"/>
            </w:pPr>
            <w:r>
              <w:rPr>
                <w:rFonts w:ascii="方正书宋_GBK"/>
              </w:rPr>
              <w:t>80%-89%</w:t>
            </w:r>
          </w:p>
        </w:tc>
        <w:tc>
          <w:tcPr>
            <w:vAlign w:val="center"/>
            <w:tcW w:w="0" w:type="nil"/>
          </w:tcPr>
          <w:p>
            <w:pPr>
              <w:pStyle w:val=""/>
              <w:jc w:val="center"/>
              <w:spacing w:line="300" w:lineRule="exact"/>
            </w:pPr>
            <w:r>
              <w:rPr>
                <w:rFonts w:ascii="方正书宋_GBK"/>
              </w:rPr>
              <w:t>65%-79%</w:t>
            </w:r>
          </w:p>
        </w:tc>
        <w:tc>
          <w:tcPr>
            <w:vAlign w:val="center"/>
            <w:tcW w:w="0" w:type="nil"/>
          </w:tcPr>
          <w:p>
            <w:pPr>
              <w:pStyle w:val=""/>
              <w:jc w:val="center"/>
              <w:spacing w:line="300" w:lineRule="exact"/>
            </w:pPr>
            <w:r>
              <w:rPr>
                <w:rFonts w:ascii="方正书宋_GBK"/>
              </w:rPr>
              <w:t>65%</w:t>
            </w:r>
            <w:r>
              <w:rPr>
                <w:rFonts w:ascii="方正书宋_GBK"/>
              </w:rPr>
              <w:t>以下</w:t>
            </w:r>
          </w:p>
        </w:tc>
      </w:tr>
      <w:tr>
        <w:trPr>
          <w:trHeight w:val="227" w:hRule="atLeast"/>
        </w:trPr>
        <w:tc>
          <w:tcPr>
            <w:vAlign w:val="center"/>
            <w:vMerge w:val="restart"/>
            <w:tcW w:w="0" w:type="nil"/>
          </w:tcPr>
          <w:p>
            <w:pPr>
              <w:pStyle w:val=""/>
              <w:jc w:val="left"/>
              <w:spacing w:line="300" w:lineRule="exact"/>
            </w:pPr>
            <w:r>
              <w:rPr>
                <w:b/>
                <w:rFonts w:ascii="方正书宋_GBK"/>
              </w:rPr>
              <w:t>　　交通配套设施建设</w:t>
            </w:r>
          </w:p>
        </w:tc>
        <w:tc>
          <w:tcPr>
            <w:vAlign w:val="center"/>
            <w:vMerge w:val="restart"/>
            <w:tcW w:w="0" w:type="nil"/>
          </w:tcPr>
          <w:p>
            <w:pPr>
              <w:pStyle w:val=""/>
              <w:jc w:val="left"/>
              <w:spacing w:line="300" w:lineRule="exact"/>
            </w:pPr>
          </w:p>
        </w:tc>
        <w:tc>
          <w:tcPr>
            <w:vAlign w:val="center"/>
            <w:vMerge w:val="restart"/>
            <w:tcW w:w="0" w:type="nil"/>
          </w:tcPr>
          <w:p>
            <w:pPr>
              <w:pStyle w:val=""/>
              <w:jc w:val="left"/>
              <w:spacing w:line="300" w:lineRule="exact"/>
            </w:pPr>
            <w:r>
              <w:rPr>
                <w:rFonts w:ascii="方正书宋_GBK"/>
              </w:rPr>
              <w:t>其他与县级建设任务紧密相关的交通基础设施建设。</w:t>
            </w:r>
          </w:p>
        </w:tc>
        <w:tc>
          <w:tcPr>
            <w:vAlign w:val="center"/>
            <w:vMerge w:val="restart"/>
            <w:tcW w:w="0" w:type="nil"/>
          </w:tcPr>
          <w:p>
            <w:pPr>
              <w:pStyle w:val=""/>
              <w:jc w:val="left"/>
              <w:spacing w:line="300" w:lineRule="exact"/>
            </w:pPr>
            <w:r>
              <w:rPr>
                <w:rFonts w:ascii="方正书宋_GBK"/>
              </w:rPr>
              <w:t>新建出租车汽车综合服务区</w:t>
            </w:r>
            <w:r>
              <w:rPr>
                <w:rFonts w:ascii="方正书宋_GBK"/>
              </w:rPr>
              <w:t xml:space="preserve"> </w:t>
            </w:r>
            <w:r>
              <w:rPr>
                <w:rFonts w:ascii="方正书宋_GBK"/>
              </w:rPr>
              <w:t>个</w:t>
            </w:r>
          </w:p>
        </w:tc>
        <w:tc>
          <w:tcPr>
            <w:vAlign w:val="center"/>
            <w:tcW w:w="0" w:type="nil"/>
          </w:tcPr>
          <w:p>
            <w:pPr>
              <w:pStyle w:val=""/>
              <w:jc w:val="left"/>
              <w:spacing w:line="300" w:lineRule="exact"/>
            </w:pPr>
            <w:r>
              <w:rPr>
                <w:rFonts w:ascii="方正书宋_GBK"/>
              </w:rPr>
              <w:t>交通配套设施工程量完成率</w:t>
            </w:r>
            <w:r>
              <w:rPr>
                <w:rFonts w:ascii="方正书宋_GBK"/>
              </w:rPr>
              <w:t>95%</w:t>
            </w:r>
          </w:p>
        </w:tc>
        <w:tc>
          <w:tcPr>
            <w:vAlign w:val="center"/>
            <w:tcW w:w="0" w:type="nil"/>
          </w:tcPr>
          <w:p>
            <w:pPr>
              <w:pStyle w:val=""/>
              <w:jc w:val="center"/>
              <w:spacing w:line="300" w:lineRule="exact"/>
            </w:pPr>
            <w:r>
              <w:rPr>
                <w:rFonts w:ascii="方正书宋_GBK"/>
              </w:rPr>
              <w:t>95%</w:t>
            </w:r>
            <w:r>
              <w:rPr>
                <w:rFonts w:ascii="方正书宋_GBK"/>
              </w:rPr>
              <w:t>以上</w:t>
            </w:r>
          </w:p>
        </w:tc>
        <w:tc>
          <w:tcPr>
            <w:vAlign w:val="center"/>
            <w:tcW w:w="0" w:type="nil"/>
          </w:tcPr>
          <w:p>
            <w:pPr>
              <w:pStyle w:val=""/>
              <w:jc w:val="center"/>
              <w:spacing w:line="300" w:lineRule="exact"/>
            </w:pPr>
            <w:r>
              <w:rPr>
                <w:rFonts w:ascii="方正书宋_GBK"/>
              </w:rPr>
              <w:t>85%-95%</w:t>
            </w:r>
          </w:p>
        </w:tc>
        <w:tc>
          <w:tcPr>
            <w:vAlign w:val="center"/>
            <w:tcW w:w="0" w:type="nil"/>
          </w:tcPr>
          <w:p>
            <w:pPr>
              <w:pStyle w:val=""/>
              <w:jc w:val="center"/>
              <w:spacing w:line="300" w:lineRule="exact"/>
            </w:pPr>
            <w:r>
              <w:rPr>
                <w:rFonts w:ascii="方正书宋_GBK"/>
              </w:rPr>
              <w:t>70%-85%</w:t>
            </w:r>
          </w:p>
        </w:tc>
        <w:tc>
          <w:tcPr>
            <w:vAlign w:val="center"/>
            <w:tcW w:w="0" w:type="nil"/>
          </w:tcPr>
          <w:p>
            <w:pPr>
              <w:pStyle w:val=""/>
              <w:jc w:val="center"/>
              <w:spacing w:line="300" w:lineRule="exact"/>
            </w:pPr>
            <w:r>
              <w:rPr>
                <w:rFonts w:ascii="方正书宋_GBK"/>
              </w:rPr>
              <w:t>70%</w:t>
            </w:r>
            <w:r>
              <w:rPr>
                <w:rFonts w:ascii="方正书宋_GBK"/>
              </w:rPr>
              <w:t>以下</w:t>
            </w:r>
          </w:p>
        </w:tc>
      </w:tr>
      <w:tr>
        <w:trPr>
          <w:trHeight w:val="227" w:hRule="atLeast"/>
        </w:trPr>
        <w:tc>
          <w:tcPr>
            <w:vMerge/>
          </w:tcPr>
          <w:p/>
        </w:tc>
        <w:tc>
          <w:tcPr>
            <w:vMerge/>
          </w:tcPr>
          <w:p/>
        </w:tc>
        <w:tc>
          <w:tcPr>
            <w:vMerge/>
          </w:tcPr>
          <w:p/>
        </w:tc>
        <w:tc>
          <w:tcPr>
            <w:vMerge/>
          </w:tcPr>
          <w:p/>
        </w:tc>
        <w:tc>
          <w:tcPr>
            <w:vAlign w:val="center"/>
            <w:tcW w:w="0" w:type="nil"/>
          </w:tcPr>
          <w:p>
            <w:pPr>
              <w:pStyle w:val=""/>
              <w:jc w:val="left"/>
              <w:spacing w:line="300" w:lineRule="exact"/>
            </w:pPr>
            <w:r>
              <w:rPr>
                <w:rFonts w:ascii="方正书宋_GBK"/>
              </w:rPr>
              <w:t>交通配套设施建设投资完成率</w:t>
            </w:r>
            <w:r>
              <w:rPr>
                <w:rFonts w:ascii="方正书宋_GBK"/>
              </w:rPr>
              <w:t>95%</w:t>
            </w:r>
          </w:p>
        </w:tc>
        <w:tc>
          <w:tcPr>
            <w:vAlign w:val="center"/>
            <w:tcW w:w="0" w:type="nil"/>
          </w:tcPr>
          <w:p>
            <w:pPr>
              <w:pStyle w:val=""/>
              <w:jc w:val="center"/>
              <w:spacing w:line="300" w:lineRule="exact"/>
            </w:pPr>
            <w:r>
              <w:rPr>
                <w:rFonts w:ascii="方正书宋_GBK"/>
              </w:rPr>
              <w:t>95%</w:t>
            </w:r>
            <w:r>
              <w:rPr>
                <w:rFonts w:ascii="方正书宋_GBK"/>
              </w:rPr>
              <w:t>以上</w:t>
            </w:r>
          </w:p>
        </w:tc>
        <w:tc>
          <w:tcPr>
            <w:vAlign w:val="center"/>
            <w:tcW w:w="0" w:type="nil"/>
          </w:tcPr>
          <w:p>
            <w:pPr>
              <w:pStyle w:val=""/>
              <w:jc w:val="center"/>
              <w:spacing w:line="300" w:lineRule="exact"/>
            </w:pPr>
            <w:r>
              <w:rPr>
                <w:rFonts w:ascii="方正书宋_GBK"/>
              </w:rPr>
              <w:t>85%-95%</w:t>
            </w:r>
          </w:p>
        </w:tc>
        <w:tc>
          <w:tcPr>
            <w:vAlign w:val="center"/>
            <w:tcW w:w="0" w:type="nil"/>
          </w:tcPr>
          <w:p>
            <w:pPr>
              <w:pStyle w:val=""/>
              <w:jc w:val="center"/>
              <w:spacing w:line="300" w:lineRule="exact"/>
            </w:pPr>
            <w:r>
              <w:rPr>
                <w:rFonts w:ascii="方正书宋_GBK"/>
              </w:rPr>
              <w:t>70%-85%</w:t>
            </w:r>
          </w:p>
        </w:tc>
        <w:tc>
          <w:tcPr>
            <w:vAlign w:val="center"/>
            <w:tcW w:w="0" w:type="nil"/>
          </w:tcPr>
          <w:p>
            <w:pPr>
              <w:pStyle w:val=""/>
              <w:jc w:val="center"/>
              <w:spacing w:line="300" w:lineRule="exact"/>
            </w:pPr>
            <w:r>
              <w:rPr>
                <w:rFonts w:ascii="方正书宋_GBK"/>
              </w:rPr>
              <w:t>70%</w:t>
            </w:r>
            <w:r>
              <w:rPr>
                <w:rFonts w:ascii="方正书宋_GBK"/>
              </w:rPr>
              <w:t>以下</w:t>
            </w:r>
          </w:p>
        </w:tc>
      </w:tr>
      <w:tr>
        <w:trPr>
          <w:trHeight w:val="227" w:hRule="atLeast"/>
        </w:trPr>
        <w:tc>
          <w:tcPr>
            <w:vMerge/>
          </w:tcPr>
          <w:p/>
        </w:tc>
        <w:tc>
          <w:tcPr>
            <w:vMerge/>
          </w:tcPr>
          <w:p/>
        </w:tc>
        <w:tc>
          <w:tcPr>
            <w:vMerge/>
          </w:tcPr>
          <w:p/>
        </w:tc>
        <w:tc>
          <w:tcPr>
            <w:vMerge/>
          </w:tcPr>
          <w:p/>
        </w:tc>
        <w:tc>
          <w:tcPr>
            <w:vAlign w:val="center"/>
            <w:tcW w:w="0" w:type="nil"/>
          </w:tcPr>
          <w:p>
            <w:pPr>
              <w:pStyle w:val=""/>
              <w:jc w:val="left"/>
              <w:spacing w:line="300" w:lineRule="exact"/>
            </w:pPr>
            <w:r>
              <w:rPr>
                <w:rFonts w:ascii="方正书宋_GBK"/>
              </w:rPr>
              <w:t>年度交通配套设施项目工程质量合格率</w:t>
            </w:r>
            <w:r>
              <w:rPr>
                <w:rFonts w:ascii="方正书宋_GBK"/>
              </w:rPr>
              <w:t>95%</w:t>
            </w:r>
          </w:p>
        </w:tc>
        <w:tc>
          <w:tcPr>
            <w:vAlign w:val="center"/>
            <w:tcW w:w="0" w:type="nil"/>
          </w:tcPr>
          <w:p>
            <w:pPr>
              <w:pStyle w:val=""/>
              <w:jc w:val="center"/>
              <w:spacing w:line="300" w:lineRule="exact"/>
            </w:pPr>
            <w:r>
              <w:rPr>
                <w:rFonts w:ascii="方正书宋_GBK"/>
              </w:rPr>
              <w:t>合格</w:t>
            </w:r>
          </w:p>
        </w:tc>
        <w:tc>
          <w:tcPr>
            <w:vAlign w:val="center"/>
            <w:tcW w:w="0" w:type="nil"/>
          </w:tcPr>
          <w:p>
            <w:pPr>
              <w:pStyle w:val=""/>
              <w:jc w:val="center"/>
              <w:spacing w:line="300" w:lineRule="exact"/>
            </w:pPr>
          </w:p>
        </w:tc>
        <w:tc>
          <w:tcPr>
            <w:vAlign w:val="center"/>
            <w:tcW w:w="0" w:type="nil"/>
          </w:tcPr>
          <w:p>
            <w:pPr>
              <w:pStyle w:val=""/>
              <w:jc w:val="center"/>
              <w:spacing w:line="300" w:lineRule="exact"/>
            </w:pPr>
          </w:p>
        </w:tc>
        <w:tc>
          <w:tcPr>
            <w:vAlign w:val="center"/>
            <w:tcW w:w="0" w:type="nil"/>
          </w:tcPr>
          <w:p>
            <w:pPr>
              <w:pStyle w:val=""/>
              <w:jc w:val="center"/>
              <w:spacing w:line="300" w:lineRule="exact"/>
            </w:pPr>
            <w:r>
              <w:rPr>
                <w:rFonts w:ascii="方正书宋_GBK"/>
              </w:rPr>
              <w:t>不合格</w:t>
            </w:r>
          </w:p>
        </w:tc>
      </w:tr>
      <w:tr>
        <w:trPr>
          <w:trHeight w:val="227" w:hRule="atLeast"/>
        </w:trPr>
        <w:tc>
          <w:tcPr>
            <w:vAlign w:val="center"/>
            <w:tcW w:w="0" w:type="nil"/>
          </w:tcPr>
          <w:p>
            <w:pPr>
              <w:pStyle w:val=""/>
              <w:jc w:val="left"/>
              <w:spacing w:line="300" w:lineRule="exact"/>
            </w:pPr>
            <w:r>
              <w:rPr>
                <w:b/>
                <w:rFonts w:ascii="方正书宋_GBK"/>
              </w:rPr>
              <w:t>交通运输基础设施养护、维护</w:t>
            </w:r>
          </w:p>
        </w:tc>
        <w:tc>
          <w:tcPr>
            <w:vAlign w:val="center"/>
            <w:tcW w:w="0" w:type="nil"/>
          </w:tcPr>
          <w:p>
            <w:pPr>
              <w:pStyle w:val=""/>
              <w:jc w:val="left"/>
              <w:spacing w:line="300" w:lineRule="exact"/>
            </w:pPr>
          </w:p>
        </w:tc>
        <w:tc>
          <w:tcPr>
            <w:vAlign w:val="center"/>
            <w:tcW w:w="0" w:type="nil"/>
          </w:tcPr>
          <w:p>
            <w:pPr>
              <w:pStyle w:val=""/>
              <w:jc w:val="left"/>
              <w:spacing w:line="300" w:lineRule="exact"/>
            </w:pPr>
            <w:r>
              <w:rPr>
                <w:rFonts w:ascii="方正书宋_GBK"/>
              </w:rPr>
              <w:t>组织交通运输基础设施养护、维护，对招投标活动进行监督管理。</w:t>
            </w:r>
          </w:p>
        </w:tc>
        <w:tc>
          <w:tcPr>
            <w:vAlign w:val="center"/>
            <w:tcW w:w="0" w:type="nil"/>
          </w:tcPr>
          <w:p>
            <w:pPr>
              <w:pStyle w:val=""/>
              <w:jc w:val="left"/>
              <w:spacing w:line="300" w:lineRule="exact"/>
            </w:pPr>
            <w:r>
              <w:rPr>
                <w:rFonts w:ascii="方正书宋_GBK"/>
              </w:rPr>
              <w:t>对农村公路养护实施</w:t>
            </w:r>
            <w:r>
              <w:rPr>
                <w:rFonts w:ascii="方正书宋_GBK"/>
              </w:rPr>
              <w:t>“</w:t>
            </w:r>
            <w:r>
              <w:rPr>
                <w:rFonts w:ascii="方正书宋_GBK"/>
              </w:rPr>
              <w:t>以奖代补</w:t>
            </w:r>
            <w:r>
              <w:rPr>
                <w:rFonts w:ascii="方正书宋_GBK"/>
              </w:rPr>
              <w:t>”</w:t>
            </w:r>
            <w:r>
              <w:rPr>
                <w:rFonts w:ascii="方正书宋_GBK"/>
              </w:rPr>
              <w:t>；完善更新公路建设管理养护基础数据。</w:t>
            </w:r>
          </w:p>
        </w:tc>
        <w:tc>
          <w:tcPr>
            <w:vAlign w:val="center"/>
            <w:tcW w:w="0" w:type="nil"/>
          </w:tcPr>
          <w:p>
            <w:pPr>
              <w:pStyle w:val=""/>
              <w:jc w:val="left"/>
              <w:spacing w:line="300" w:lineRule="exact"/>
            </w:pPr>
          </w:p>
        </w:tc>
        <w:tc>
          <w:tcPr>
            <w:vAlign w:val="center"/>
            <w:tcW w:w="0" w:type="nil"/>
          </w:tcPr>
          <w:p>
            <w:pPr>
              <w:pStyle w:val=""/>
              <w:jc w:val="center"/>
              <w:spacing w:line="300" w:lineRule="exact"/>
            </w:pPr>
          </w:p>
        </w:tc>
        <w:tc>
          <w:tcPr>
            <w:vAlign w:val="center"/>
            <w:tcW w:w="0" w:type="nil"/>
          </w:tcPr>
          <w:p>
            <w:pPr>
              <w:pStyle w:val=""/>
              <w:jc w:val="center"/>
              <w:spacing w:line="300" w:lineRule="exact"/>
            </w:pPr>
          </w:p>
        </w:tc>
        <w:tc>
          <w:tcPr>
            <w:vAlign w:val="center"/>
            <w:tcW w:w="0" w:type="nil"/>
          </w:tcPr>
          <w:p>
            <w:pPr>
              <w:pStyle w:val=""/>
              <w:jc w:val="center"/>
              <w:spacing w:line="300" w:lineRule="exact"/>
            </w:pPr>
          </w:p>
        </w:tc>
        <w:tc>
          <w:tcPr>
            <w:vAlign w:val="center"/>
            <w:tcW w:w="0" w:type="nil"/>
          </w:tcPr>
          <w:p>
            <w:pPr>
              <w:pStyle w:val=""/>
              <w:jc w:val="center"/>
              <w:spacing w:line="300" w:lineRule="exact"/>
            </w:pPr>
          </w:p>
        </w:tc>
      </w:tr>
      <w:tr>
        <w:trPr>
          <w:trHeight w:val="227" w:hRule="atLeast"/>
        </w:trPr>
        <w:tc>
          <w:tcPr>
            <w:vAlign w:val="center"/>
            <w:vMerge w:val="restart"/>
            <w:tcW w:w="0" w:type="nil"/>
          </w:tcPr>
          <w:p>
            <w:pPr>
              <w:pStyle w:val=""/>
              <w:jc w:val="left"/>
              <w:spacing w:line="300" w:lineRule="exact"/>
            </w:pPr>
            <w:r>
              <w:rPr>
                <w:b/>
                <w:rFonts w:ascii="方正书宋_GBK"/>
              </w:rPr>
              <w:t>　　县乡公路的日常养护及小修</w:t>
            </w:r>
          </w:p>
        </w:tc>
        <w:tc>
          <w:tcPr>
            <w:vAlign w:val="center"/>
            <w:vMerge w:val="restart"/>
            <w:tcW w:w="0" w:type="nil"/>
          </w:tcPr>
          <w:p>
            <w:pPr>
              <w:pStyle w:val=""/>
              <w:jc w:val="left"/>
              <w:spacing w:line="300" w:lineRule="exact"/>
            </w:pPr>
          </w:p>
        </w:tc>
        <w:tc>
          <w:tcPr>
            <w:vAlign w:val="center"/>
            <w:vMerge w:val="restart"/>
            <w:tcW w:w="0" w:type="nil"/>
          </w:tcPr>
          <w:p>
            <w:pPr>
              <w:pStyle w:val=""/>
              <w:jc w:val="left"/>
              <w:spacing w:line="300" w:lineRule="exact"/>
            </w:pPr>
            <w:r>
              <w:rPr>
                <w:rFonts w:ascii="方正书宋_GBK"/>
              </w:rPr>
              <w:t>整理路肩、边坡；疏通边沟；清除路面泥土杂物；处理路面病害、桥涵隧道的日常巡查和养护；标志、标牌的埋置和维护；行道树的修剪刷白；清理零星塌方、填补路基缺口、轻微沉陷翻浆的处理、局部加固路肩；小段开挖边沟、截水沟或分期铺砌边沟；截水沟或分期铺砌边沟；局部处理路面翻浆、变形和路面修补坑槽、沉降、桥头涵洞路车处理；涵洞进出口的铺砌的加固处理；清除隧道口碎落岩石；标志标牌的修理、添置、更换和路面标线的局部补画。</w:t>
            </w:r>
          </w:p>
        </w:tc>
        <w:tc>
          <w:tcPr>
            <w:vAlign w:val="center"/>
            <w:vMerge w:val="restart"/>
            <w:tcW w:w="0" w:type="nil"/>
          </w:tcPr>
          <w:p>
            <w:pPr>
              <w:pStyle w:val=""/>
              <w:jc w:val="left"/>
              <w:spacing w:line="300" w:lineRule="exact"/>
            </w:pPr>
            <w:r>
              <w:rPr>
                <w:rFonts w:ascii="方正书宋_GBK"/>
              </w:rPr>
              <w:t>完成全年普通干线公路大中修里程</w:t>
            </w:r>
            <w:r>
              <w:rPr>
                <w:rFonts w:ascii="方正书宋_GBK"/>
              </w:rPr>
              <w:t xml:space="preserve"> </w:t>
            </w:r>
            <w:r>
              <w:rPr>
                <w:rFonts w:ascii="方正书宋_GBK"/>
              </w:rPr>
              <w:t>公里</w:t>
            </w:r>
            <w:r>
              <w:rPr>
                <w:rFonts w:ascii="方正书宋_GBK"/>
              </w:rPr>
              <w:t>,</w:t>
            </w:r>
            <w:r>
              <w:rPr>
                <w:rFonts w:ascii="方正书宋_GBK"/>
              </w:rPr>
              <w:t>加固桥梁</w:t>
            </w:r>
            <w:r>
              <w:rPr>
                <w:rFonts w:ascii="方正书宋_GBK"/>
              </w:rPr>
              <w:t xml:space="preserve"> </w:t>
            </w:r>
            <w:r>
              <w:rPr>
                <w:rFonts w:ascii="方正书宋_GBK"/>
              </w:rPr>
              <w:t>延米</w:t>
            </w:r>
            <w:r>
              <w:rPr>
                <w:rFonts w:ascii="方正书宋_GBK"/>
              </w:rPr>
              <w:t>,</w:t>
            </w:r>
            <w:r>
              <w:rPr>
                <w:rFonts w:ascii="方正书宋_GBK"/>
              </w:rPr>
              <w:t>治理隐患里程</w:t>
            </w:r>
            <w:r>
              <w:rPr>
                <w:rFonts w:ascii="方正书宋_GBK"/>
              </w:rPr>
              <w:t xml:space="preserve"> </w:t>
            </w:r>
            <w:r>
              <w:rPr>
                <w:rFonts w:ascii="方正书宋_GBK"/>
              </w:rPr>
              <w:t>公里</w:t>
            </w:r>
            <w:r>
              <w:rPr>
                <w:rFonts w:ascii="方正书宋_GBK"/>
              </w:rPr>
              <w:t>,</w:t>
            </w:r>
            <w:r>
              <w:rPr>
                <w:rFonts w:ascii="方正书宋_GBK"/>
              </w:rPr>
              <w:t>绿化里程</w:t>
            </w:r>
            <w:r>
              <w:rPr>
                <w:rFonts w:ascii="方正书宋_GBK"/>
              </w:rPr>
              <w:t xml:space="preserve"> </w:t>
            </w:r>
            <w:r>
              <w:rPr>
                <w:rFonts w:ascii="方正书宋_GBK"/>
              </w:rPr>
              <w:t>公里，节点面积</w:t>
            </w:r>
            <w:r>
              <w:rPr>
                <w:rFonts w:ascii="方正书宋_GBK"/>
              </w:rPr>
              <w:t xml:space="preserve"> </w:t>
            </w:r>
            <w:r>
              <w:rPr>
                <w:rFonts w:ascii="方正书宋_GBK"/>
              </w:rPr>
              <w:t>万平方米。</w:t>
            </w:r>
          </w:p>
        </w:tc>
        <w:tc>
          <w:tcPr>
            <w:vAlign w:val="center"/>
            <w:tcW w:w="0" w:type="nil"/>
          </w:tcPr>
          <w:p>
            <w:pPr>
              <w:pStyle w:val=""/>
              <w:jc w:val="left"/>
              <w:spacing w:line="300" w:lineRule="exact"/>
            </w:pPr>
            <w:r>
              <w:rPr>
                <w:rFonts w:ascii="方正书宋_GBK"/>
              </w:rPr>
              <w:t>公路技术状况指数</w:t>
            </w:r>
            <w:r>
              <w:rPr>
                <w:rFonts w:ascii="方正书宋_GBK"/>
              </w:rPr>
              <w:t>95%</w:t>
            </w:r>
          </w:p>
        </w:tc>
        <w:tc>
          <w:tcPr>
            <w:vAlign w:val="center"/>
            <w:tcW w:w="0" w:type="nil"/>
          </w:tcPr>
          <w:p>
            <w:pPr>
              <w:pStyle w:val=""/>
              <w:jc w:val="center"/>
              <w:spacing w:line="300" w:lineRule="exact"/>
            </w:pPr>
            <w:r>
              <w:rPr>
                <w:rFonts w:ascii="方正书宋_GBK"/>
              </w:rPr>
              <w:t>80-100</w:t>
            </w:r>
          </w:p>
        </w:tc>
        <w:tc>
          <w:tcPr>
            <w:vAlign w:val="center"/>
            <w:tcW w:w="0" w:type="nil"/>
          </w:tcPr>
          <w:p>
            <w:pPr>
              <w:pStyle w:val=""/>
              <w:jc w:val="center"/>
              <w:spacing w:line="300" w:lineRule="exact"/>
            </w:pPr>
            <w:r>
              <w:rPr>
                <w:rFonts w:ascii="方正书宋_GBK"/>
              </w:rPr>
              <w:t>70-80</w:t>
            </w:r>
          </w:p>
        </w:tc>
        <w:tc>
          <w:tcPr>
            <w:vAlign w:val="center"/>
            <w:tcW w:w="0" w:type="nil"/>
          </w:tcPr>
          <w:p>
            <w:pPr>
              <w:pStyle w:val=""/>
              <w:jc w:val="center"/>
              <w:spacing w:line="300" w:lineRule="exact"/>
            </w:pPr>
            <w:r>
              <w:rPr>
                <w:rFonts w:ascii="方正书宋_GBK"/>
              </w:rPr>
              <w:t>60-70</w:t>
            </w:r>
          </w:p>
        </w:tc>
        <w:tc>
          <w:tcPr>
            <w:vAlign w:val="center"/>
            <w:tcW w:w="0" w:type="nil"/>
          </w:tcPr>
          <w:p>
            <w:pPr>
              <w:pStyle w:val=""/>
              <w:jc w:val="center"/>
              <w:spacing w:line="300" w:lineRule="exact"/>
            </w:pPr>
            <w:r>
              <w:rPr>
                <w:rFonts w:ascii="方正书宋_GBK"/>
              </w:rPr>
              <w:t>60</w:t>
            </w:r>
            <w:r>
              <w:rPr>
                <w:rFonts w:ascii="方正书宋_GBK"/>
              </w:rPr>
              <w:t>以下</w:t>
            </w:r>
          </w:p>
        </w:tc>
      </w:tr>
      <w:tr>
        <w:trPr>
          <w:trHeight w:val="227" w:hRule="atLeast"/>
        </w:trPr>
        <w:tc>
          <w:tcPr>
            <w:vMerge/>
          </w:tcPr>
          <w:p/>
        </w:tc>
        <w:tc>
          <w:tcPr>
            <w:vMerge/>
          </w:tcPr>
          <w:p/>
        </w:tc>
        <w:tc>
          <w:tcPr>
            <w:vMerge/>
          </w:tcPr>
          <w:p/>
        </w:tc>
        <w:tc>
          <w:tcPr>
            <w:vMerge/>
          </w:tcPr>
          <w:p/>
        </w:tc>
        <w:tc>
          <w:tcPr>
            <w:vAlign w:val="center"/>
            <w:tcW w:w="0" w:type="nil"/>
          </w:tcPr>
          <w:p>
            <w:pPr>
              <w:pStyle w:val=""/>
              <w:jc w:val="left"/>
              <w:spacing w:line="300" w:lineRule="exact"/>
            </w:pPr>
            <w:r>
              <w:rPr>
                <w:rFonts w:ascii="方正书宋_GBK"/>
              </w:rPr>
              <w:t>年度县乡公路养护工程量完成率</w:t>
            </w:r>
            <w:r>
              <w:rPr>
                <w:rFonts w:ascii="方正书宋_GBK"/>
              </w:rPr>
              <w:t>95%</w:t>
            </w:r>
          </w:p>
        </w:tc>
        <w:tc>
          <w:tcPr>
            <w:vAlign w:val="center"/>
            <w:tcW w:w="0" w:type="nil"/>
          </w:tcPr>
          <w:p>
            <w:pPr>
              <w:pStyle w:val=""/>
              <w:jc w:val="center"/>
              <w:spacing w:line="300" w:lineRule="exact"/>
            </w:pPr>
            <w:r>
              <w:rPr>
                <w:rFonts w:ascii="方正书宋_GBK"/>
              </w:rPr>
              <w:t>95%</w:t>
            </w:r>
            <w:r>
              <w:rPr>
                <w:rFonts w:ascii="方正书宋_GBK"/>
              </w:rPr>
              <w:t>以上</w:t>
            </w:r>
          </w:p>
        </w:tc>
        <w:tc>
          <w:tcPr>
            <w:vAlign w:val="center"/>
            <w:tcW w:w="0" w:type="nil"/>
          </w:tcPr>
          <w:p>
            <w:pPr>
              <w:pStyle w:val=""/>
              <w:jc w:val="center"/>
              <w:spacing w:line="300" w:lineRule="exact"/>
            </w:pPr>
            <w:r>
              <w:rPr>
                <w:rFonts w:ascii="方正书宋_GBK"/>
              </w:rPr>
              <w:t>85%-95%</w:t>
            </w:r>
          </w:p>
        </w:tc>
        <w:tc>
          <w:tcPr>
            <w:vAlign w:val="center"/>
            <w:tcW w:w="0" w:type="nil"/>
          </w:tcPr>
          <w:p>
            <w:pPr>
              <w:pStyle w:val=""/>
              <w:jc w:val="center"/>
              <w:spacing w:line="300" w:lineRule="exact"/>
            </w:pPr>
            <w:r>
              <w:rPr>
                <w:rFonts w:ascii="方正书宋_GBK"/>
              </w:rPr>
              <w:t>70%-85%</w:t>
            </w:r>
          </w:p>
        </w:tc>
        <w:tc>
          <w:tcPr>
            <w:vAlign w:val="center"/>
            <w:tcW w:w="0" w:type="nil"/>
          </w:tcPr>
          <w:p>
            <w:pPr>
              <w:pStyle w:val=""/>
              <w:jc w:val="center"/>
              <w:spacing w:line="300" w:lineRule="exact"/>
            </w:pPr>
            <w:r>
              <w:rPr>
                <w:rFonts w:ascii="方正书宋_GBK"/>
              </w:rPr>
              <w:t>70%</w:t>
            </w:r>
            <w:r>
              <w:rPr>
                <w:rFonts w:ascii="方正书宋_GBK"/>
              </w:rPr>
              <w:t>以下</w:t>
            </w:r>
          </w:p>
        </w:tc>
      </w:tr>
      <w:tr>
        <w:trPr>
          <w:trHeight w:val="227" w:hRule="atLeast"/>
        </w:trPr>
        <w:tc>
          <w:tcPr>
            <w:vMerge/>
          </w:tcPr>
          <w:p/>
        </w:tc>
        <w:tc>
          <w:tcPr>
            <w:vMerge/>
          </w:tcPr>
          <w:p/>
        </w:tc>
        <w:tc>
          <w:tcPr>
            <w:vMerge/>
          </w:tcPr>
          <w:p/>
        </w:tc>
        <w:tc>
          <w:tcPr>
            <w:vMerge/>
          </w:tcPr>
          <w:p/>
        </w:tc>
        <w:tc>
          <w:tcPr>
            <w:vAlign w:val="center"/>
            <w:tcW w:w="0" w:type="nil"/>
          </w:tcPr>
          <w:p>
            <w:pPr>
              <w:pStyle w:val=""/>
              <w:jc w:val="left"/>
              <w:spacing w:line="300" w:lineRule="exact"/>
            </w:pPr>
            <w:r>
              <w:rPr>
                <w:rFonts w:ascii="方正书宋_GBK"/>
              </w:rPr>
              <w:t>县乡公路养护投资完成率</w:t>
            </w:r>
            <w:r>
              <w:rPr>
                <w:rFonts w:ascii="方正书宋_GBK"/>
              </w:rPr>
              <w:t>95%</w:t>
            </w:r>
          </w:p>
        </w:tc>
        <w:tc>
          <w:tcPr>
            <w:vAlign w:val="center"/>
            <w:tcW w:w="0" w:type="nil"/>
          </w:tcPr>
          <w:p>
            <w:pPr>
              <w:pStyle w:val=""/>
              <w:jc w:val="center"/>
              <w:spacing w:line="300" w:lineRule="exact"/>
            </w:pPr>
            <w:r>
              <w:rPr>
                <w:rFonts w:ascii="方正书宋_GBK"/>
              </w:rPr>
              <w:t>95%</w:t>
            </w:r>
            <w:r>
              <w:rPr>
                <w:rFonts w:ascii="方正书宋_GBK"/>
              </w:rPr>
              <w:t>以上</w:t>
            </w:r>
          </w:p>
        </w:tc>
        <w:tc>
          <w:tcPr>
            <w:vAlign w:val="center"/>
            <w:tcW w:w="0" w:type="nil"/>
          </w:tcPr>
          <w:p>
            <w:pPr>
              <w:pStyle w:val=""/>
              <w:jc w:val="center"/>
              <w:spacing w:line="300" w:lineRule="exact"/>
            </w:pPr>
            <w:r>
              <w:rPr>
                <w:rFonts w:ascii="方正书宋_GBK"/>
              </w:rPr>
              <w:t>85%-95%</w:t>
            </w:r>
          </w:p>
        </w:tc>
        <w:tc>
          <w:tcPr>
            <w:vAlign w:val="center"/>
            <w:tcW w:w="0" w:type="nil"/>
          </w:tcPr>
          <w:p>
            <w:pPr>
              <w:pStyle w:val=""/>
              <w:jc w:val="center"/>
              <w:spacing w:line="300" w:lineRule="exact"/>
            </w:pPr>
            <w:r>
              <w:rPr>
                <w:rFonts w:ascii="方正书宋_GBK"/>
              </w:rPr>
              <w:t>70%-85%</w:t>
            </w:r>
          </w:p>
        </w:tc>
        <w:tc>
          <w:tcPr>
            <w:vAlign w:val="center"/>
            <w:tcW w:w="0" w:type="nil"/>
          </w:tcPr>
          <w:p>
            <w:pPr>
              <w:pStyle w:val=""/>
              <w:jc w:val="center"/>
              <w:spacing w:line="300" w:lineRule="exact"/>
            </w:pPr>
            <w:r>
              <w:rPr>
                <w:rFonts w:ascii="方正书宋_GBK"/>
              </w:rPr>
              <w:t>70%</w:t>
            </w:r>
            <w:r>
              <w:rPr>
                <w:rFonts w:ascii="方正书宋_GBK"/>
              </w:rPr>
              <w:t>以下</w:t>
            </w:r>
          </w:p>
        </w:tc>
      </w:tr>
      <w:tr>
        <w:trPr>
          <w:trHeight w:val="227" w:hRule="atLeast"/>
        </w:trPr>
        <w:tc>
          <w:tcPr>
            <w:vMerge/>
          </w:tcPr>
          <w:p/>
        </w:tc>
        <w:tc>
          <w:tcPr>
            <w:vMerge/>
          </w:tcPr>
          <w:p/>
        </w:tc>
        <w:tc>
          <w:tcPr>
            <w:vMerge/>
          </w:tcPr>
          <w:p/>
        </w:tc>
        <w:tc>
          <w:tcPr>
            <w:vMerge/>
          </w:tcPr>
          <w:p/>
        </w:tc>
        <w:tc>
          <w:tcPr>
            <w:vAlign w:val="center"/>
            <w:tcW w:w="0" w:type="nil"/>
          </w:tcPr>
          <w:p>
            <w:pPr>
              <w:pStyle w:val=""/>
              <w:jc w:val="left"/>
              <w:spacing w:line="300" w:lineRule="exact"/>
            </w:pPr>
          </w:p>
        </w:tc>
        <w:tc>
          <w:tcPr>
            <w:vAlign w:val="center"/>
            <w:tcW w:w="0" w:type="nil"/>
          </w:tcPr>
          <w:p>
            <w:pPr>
              <w:pStyle w:val=""/>
              <w:jc w:val="center"/>
              <w:spacing w:line="300" w:lineRule="exact"/>
            </w:pPr>
          </w:p>
        </w:tc>
        <w:tc>
          <w:tcPr>
            <w:vAlign w:val="center"/>
            <w:tcW w:w="0" w:type="nil"/>
          </w:tcPr>
          <w:p>
            <w:pPr>
              <w:pStyle w:val=""/>
              <w:jc w:val="center"/>
              <w:spacing w:line="300" w:lineRule="exact"/>
            </w:pPr>
            <w:r>
              <w:rPr>
                <w:rFonts w:ascii="方正书宋_GBK"/>
              </w:rPr>
              <w:t>85%-95%</w:t>
            </w:r>
          </w:p>
        </w:tc>
        <w:tc>
          <w:tcPr>
            <w:vAlign w:val="center"/>
            <w:tcW w:w="0" w:type="nil"/>
          </w:tcPr>
          <w:p>
            <w:pPr>
              <w:pStyle w:val=""/>
              <w:jc w:val="center"/>
              <w:spacing w:line="300" w:lineRule="exact"/>
            </w:pPr>
            <w:r>
              <w:rPr>
                <w:rFonts w:ascii="方正书宋_GBK"/>
              </w:rPr>
              <w:t>70%-85%</w:t>
            </w:r>
          </w:p>
        </w:tc>
        <w:tc>
          <w:tcPr>
            <w:vAlign w:val="center"/>
            <w:tcW w:w="0" w:type="nil"/>
          </w:tcPr>
          <w:p>
            <w:pPr>
              <w:pStyle w:val=""/>
              <w:jc w:val="center"/>
              <w:spacing w:line="300" w:lineRule="exact"/>
            </w:pPr>
            <w:r>
              <w:rPr>
                <w:rFonts w:ascii="方正书宋_GBK"/>
              </w:rPr>
              <w:t>70%</w:t>
            </w:r>
            <w:r>
              <w:rPr>
                <w:rFonts w:ascii="方正书宋_GBK"/>
              </w:rPr>
              <w:t>以下</w:t>
            </w:r>
          </w:p>
        </w:tc>
      </w:tr>
      <w:tr>
        <w:trPr>
          <w:trHeight w:val="227" w:hRule="atLeast"/>
        </w:trPr>
        <w:tc>
          <w:tcPr>
            <w:vAlign w:val="center"/>
            <w:vMerge w:val="restart"/>
            <w:tcW w:w="0" w:type="nil"/>
          </w:tcPr>
          <w:p>
            <w:pPr>
              <w:pStyle w:val=""/>
              <w:jc w:val="left"/>
              <w:spacing w:line="300" w:lineRule="exact"/>
            </w:pPr>
            <w:r>
              <w:rPr>
                <w:b/>
                <w:rFonts w:ascii="方正书宋_GBK"/>
              </w:rPr>
              <w:t>　　农村公路养护以奖代补</w:t>
            </w:r>
          </w:p>
        </w:tc>
        <w:tc>
          <w:tcPr>
            <w:vAlign w:val="center"/>
            <w:vMerge w:val="restart"/>
            <w:tcW w:w="0" w:type="nil"/>
          </w:tcPr>
          <w:p>
            <w:pPr>
              <w:pStyle w:val=""/>
              <w:jc w:val="left"/>
              <w:spacing w:line="300" w:lineRule="exact"/>
            </w:pPr>
          </w:p>
        </w:tc>
        <w:tc>
          <w:tcPr>
            <w:vAlign w:val="center"/>
            <w:vMerge w:val="restart"/>
            <w:tcW w:w="0" w:type="nil"/>
          </w:tcPr>
          <w:p>
            <w:pPr>
              <w:pStyle w:val=""/>
              <w:jc w:val="left"/>
              <w:spacing w:line="300" w:lineRule="exact"/>
            </w:pPr>
            <w:r>
              <w:rPr>
                <w:rFonts w:ascii="方正书宋_GBK"/>
              </w:rPr>
              <w:t>通过以奖代补等形式对农村公路保养与维护进行资金补助，引导带动各地加强农村公路养护。</w:t>
            </w:r>
          </w:p>
        </w:tc>
        <w:tc>
          <w:tcPr>
            <w:vAlign w:val="center"/>
            <w:vMerge w:val="restart"/>
            <w:tcW w:w="0" w:type="nil"/>
          </w:tcPr>
          <w:p>
            <w:pPr>
              <w:pStyle w:val=""/>
              <w:jc w:val="left"/>
              <w:spacing w:line="300" w:lineRule="exact"/>
            </w:pPr>
            <w:r>
              <w:rPr>
                <w:rFonts w:ascii="方正书宋_GBK"/>
              </w:rPr>
              <w:t>恢复、提升农村公路原有技术指标，维护、完善交通工程、安全设施、服务管理等附属设施，保持良好的技术状况</w:t>
            </w:r>
            <w:r>
              <w:rPr>
                <w:rFonts w:ascii="方正书宋_GBK"/>
              </w:rPr>
              <w:t xml:space="preserve">. </w:t>
            </w:r>
          </w:p>
        </w:tc>
        <w:tc>
          <w:tcPr>
            <w:vAlign w:val="center"/>
            <w:tcW w:w="0" w:type="nil"/>
          </w:tcPr>
          <w:p>
            <w:pPr>
              <w:pStyle w:val=""/>
              <w:jc w:val="left"/>
              <w:spacing w:line="300" w:lineRule="exact"/>
            </w:pPr>
            <w:r>
              <w:rPr>
                <w:rFonts w:ascii="方正书宋_GBK"/>
              </w:rPr>
              <w:t>年度农村公路养护工程量完成率</w:t>
            </w:r>
            <w:r>
              <w:rPr>
                <w:rFonts w:ascii="方正书宋_GBK"/>
              </w:rPr>
              <w:t>95%</w:t>
            </w:r>
          </w:p>
        </w:tc>
        <w:tc>
          <w:tcPr>
            <w:vAlign w:val="center"/>
            <w:tcW w:w="0" w:type="nil"/>
          </w:tcPr>
          <w:p>
            <w:pPr>
              <w:pStyle w:val=""/>
              <w:jc w:val="center"/>
              <w:spacing w:line="300" w:lineRule="exact"/>
            </w:pPr>
            <w:r>
              <w:rPr>
                <w:rFonts w:ascii="方正书宋_GBK"/>
              </w:rPr>
              <w:t>95%</w:t>
            </w:r>
            <w:r>
              <w:rPr>
                <w:rFonts w:ascii="方正书宋_GBK"/>
              </w:rPr>
              <w:t>以上</w:t>
            </w:r>
          </w:p>
        </w:tc>
        <w:tc>
          <w:tcPr>
            <w:vAlign w:val="center"/>
            <w:tcW w:w="0" w:type="nil"/>
          </w:tcPr>
          <w:p>
            <w:pPr>
              <w:pStyle w:val=""/>
              <w:jc w:val="center"/>
              <w:spacing w:line="300" w:lineRule="exact"/>
            </w:pPr>
            <w:r>
              <w:rPr>
                <w:rFonts w:ascii="方正书宋_GBK"/>
              </w:rPr>
              <w:t>85%-95%</w:t>
            </w:r>
          </w:p>
        </w:tc>
        <w:tc>
          <w:tcPr>
            <w:vAlign w:val="center"/>
            <w:tcW w:w="0" w:type="nil"/>
          </w:tcPr>
          <w:p>
            <w:pPr>
              <w:pStyle w:val=""/>
              <w:jc w:val="center"/>
              <w:spacing w:line="300" w:lineRule="exact"/>
            </w:pPr>
            <w:r>
              <w:rPr>
                <w:rFonts w:ascii="方正书宋_GBK"/>
              </w:rPr>
              <w:t>70%-85%</w:t>
            </w:r>
          </w:p>
        </w:tc>
        <w:tc>
          <w:tcPr>
            <w:vAlign w:val="center"/>
            <w:tcW w:w="0" w:type="nil"/>
          </w:tcPr>
          <w:p>
            <w:pPr>
              <w:pStyle w:val=""/>
              <w:jc w:val="center"/>
              <w:spacing w:line="300" w:lineRule="exact"/>
            </w:pPr>
            <w:r>
              <w:rPr>
                <w:rFonts w:ascii="方正书宋_GBK"/>
              </w:rPr>
              <w:t>70%</w:t>
            </w:r>
            <w:r>
              <w:rPr>
                <w:rFonts w:ascii="方正书宋_GBK"/>
              </w:rPr>
              <w:t>以下</w:t>
            </w:r>
          </w:p>
        </w:tc>
      </w:tr>
      <w:tr>
        <w:trPr>
          <w:trHeight w:val="227" w:hRule="atLeast"/>
        </w:trPr>
        <w:tc>
          <w:tcPr>
            <w:vMerge/>
          </w:tcPr>
          <w:p/>
        </w:tc>
        <w:tc>
          <w:tcPr>
            <w:vMerge/>
          </w:tcPr>
          <w:p/>
        </w:tc>
        <w:tc>
          <w:tcPr>
            <w:vMerge/>
          </w:tcPr>
          <w:p/>
        </w:tc>
        <w:tc>
          <w:tcPr>
            <w:vMerge/>
          </w:tcPr>
          <w:p/>
        </w:tc>
        <w:tc>
          <w:tcPr>
            <w:vAlign w:val="center"/>
            <w:tcW w:w="0" w:type="nil"/>
          </w:tcPr>
          <w:p>
            <w:pPr>
              <w:pStyle w:val=""/>
              <w:jc w:val="left"/>
              <w:spacing w:line="300" w:lineRule="exact"/>
            </w:pPr>
            <w:r>
              <w:rPr>
                <w:rFonts w:ascii="方正书宋_GBK"/>
              </w:rPr>
              <w:t>年度农村公路养护投资完成率</w:t>
            </w:r>
            <w:r>
              <w:rPr>
                <w:rFonts w:ascii="方正书宋_GBK"/>
              </w:rPr>
              <w:t>95%</w:t>
            </w:r>
          </w:p>
        </w:tc>
        <w:tc>
          <w:tcPr>
            <w:vAlign w:val="center"/>
            <w:tcW w:w="0" w:type="nil"/>
          </w:tcPr>
          <w:p>
            <w:pPr>
              <w:pStyle w:val=""/>
              <w:jc w:val="center"/>
              <w:spacing w:line="300" w:lineRule="exact"/>
            </w:pPr>
            <w:r>
              <w:rPr>
                <w:rFonts w:ascii="方正书宋_GBK"/>
              </w:rPr>
              <w:t>95%</w:t>
            </w:r>
            <w:r>
              <w:rPr>
                <w:rFonts w:ascii="方正书宋_GBK"/>
              </w:rPr>
              <w:t>以上</w:t>
            </w:r>
          </w:p>
        </w:tc>
        <w:tc>
          <w:tcPr>
            <w:vAlign w:val="center"/>
            <w:tcW w:w="0" w:type="nil"/>
          </w:tcPr>
          <w:p>
            <w:pPr>
              <w:pStyle w:val=""/>
              <w:jc w:val="center"/>
              <w:spacing w:line="300" w:lineRule="exact"/>
            </w:pPr>
            <w:r>
              <w:rPr>
                <w:rFonts w:ascii="方正书宋_GBK"/>
              </w:rPr>
              <w:t>85%-95%</w:t>
            </w:r>
          </w:p>
        </w:tc>
        <w:tc>
          <w:tcPr>
            <w:vAlign w:val="center"/>
            <w:tcW w:w="0" w:type="nil"/>
          </w:tcPr>
          <w:p>
            <w:pPr>
              <w:pStyle w:val=""/>
              <w:jc w:val="center"/>
              <w:spacing w:line="300" w:lineRule="exact"/>
            </w:pPr>
            <w:r>
              <w:rPr>
                <w:rFonts w:ascii="方正书宋_GBK"/>
              </w:rPr>
              <w:t>70%-85%</w:t>
            </w:r>
          </w:p>
        </w:tc>
        <w:tc>
          <w:tcPr>
            <w:vAlign w:val="center"/>
            <w:tcW w:w="0" w:type="nil"/>
          </w:tcPr>
          <w:p>
            <w:pPr>
              <w:pStyle w:val=""/>
              <w:jc w:val="center"/>
              <w:spacing w:line="300" w:lineRule="exact"/>
            </w:pPr>
            <w:r>
              <w:rPr>
                <w:rFonts w:ascii="方正书宋_GBK"/>
              </w:rPr>
              <w:t>70%</w:t>
            </w:r>
            <w:r>
              <w:rPr>
                <w:rFonts w:ascii="方正书宋_GBK"/>
              </w:rPr>
              <w:t>以下</w:t>
            </w:r>
          </w:p>
        </w:tc>
      </w:tr>
      <w:tr>
        <w:trPr>
          <w:trHeight w:val="227" w:hRule="atLeast"/>
        </w:trPr>
        <w:tc>
          <w:tcPr>
            <w:vAlign w:val="center"/>
            <w:vMerge w:val="restart"/>
            <w:tcW w:w="0" w:type="nil"/>
          </w:tcPr>
          <w:p>
            <w:pPr>
              <w:pStyle w:val=""/>
              <w:jc w:val="left"/>
              <w:spacing w:line="300" w:lineRule="exact"/>
            </w:pPr>
            <w:r>
              <w:rPr>
                <w:b/>
                <w:rFonts w:ascii="方正书宋_GBK"/>
              </w:rPr>
              <w:t>　　公路建设管理养护基础数据采集</w:t>
            </w:r>
          </w:p>
        </w:tc>
        <w:tc>
          <w:tcPr>
            <w:vAlign w:val="center"/>
            <w:vMerge w:val="restart"/>
            <w:tcW w:w="0" w:type="nil"/>
          </w:tcPr>
          <w:p>
            <w:pPr>
              <w:pStyle w:val=""/>
              <w:jc w:val="left"/>
              <w:spacing w:line="300" w:lineRule="exact"/>
            </w:pPr>
          </w:p>
        </w:tc>
        <w:tc>
          <w:tcPr>
            <w:vAlign w:val="center"/>
            <w:vMerge w:val="restart"/>
            <w:tcW w:w="0" w:type="nil"/>
          </w:tcPr>
          <w:p>
            <w:pPr>
              <w:pStyle w:val=""/>
              <w:jc w:val="left"/>
              <w:spacing w:line="300" w:lineRule="exact"/>
            </w:pPr>
            <w:r>
              <w:rPr>
                <w:rFonts w:ascii="方正书宋_GBK"/>
              </w:rPr>
              <w:t>通过公路各项指标地理信息、数据采集及桥梁隧道检测、交通量调查等方式，适时采集相关数据并及时更新；管理维护设备及数据采集信息系统。</w:t>
            </w:r>
          </w:p>
        </w:tc>
        <w:tc>
          <w:tcPr>
            <w:vAlign w:val="center"/>
            <w:vMerge w:val="restart"/>
            <w:tcW w:w="0" w:type="nil"/>
          </w:tcPr>
          <w:p>
            <w:pPr>
              <w:pStyle w:val=""/>
              <w:jc w:val="left"/>
              <w:spacing w:line="300" w:lineRule="exact"/>
            </w:pPr>
            <w:r>
              <w:rPr>
                <w:rFonts w:ascii="方正书宋_GBK"/>
              </w:rPr>
              <w:t>按时、保质、保量完成数据采集分析，为公路管理提供依据和支持。</w:t>
            </w:r>
          </w:p>
        </w:tc>
        <w:tc>
          <w:tcPr>
            <w:vAlign w:val="center"/>
            <w:tcW w:w="0" w:type="nil"/>
          </w:tcPr>
          <w:p>
            <w:pPr>
              <w:pStyle w:val=""/>
              <w:jc w:val="left"/>
              <w:spacing w:line="300" w:lineRule="exact"/>
            </w:pPr>
            <w:r>
              <w:rPr>
                <w:rFonts w:ascii="方正书宋_GBK"/>
              </w:rPr>
              <w:t>公路基础信息数据使用率</w:t>
            </w:r>
            <w:r>
              <w:rPr>
                <w:rFonts w:ascii="方正书宋_GBK"/>
              </w:rPr>
              <w:t>95%</w:t>
            </w:r>
          </w:p>
        </w:tc>
        <w:tc>
          <w:tcPr>
            <w:vAlign w:val="center"/>
            <w:tcW w:w="0" w:type="nil"/>
          </w:tcPr>
          <w:p>
            <w:pPr>
              <w:pStyle w:val=""/>
              <w:jc w:val="center"/>
              <w:spacing w:line="300" w:lineRule="exact"/>
            </w:pPr>
            <w:r>
              <w:rPr>
                <w:rFonts w:ascii="方正书宋_GBK"/>
              </w:rPr>
              <w:t>95%</w:t>
            </w:r>
            <w:r>
              <w:rPr>
                <w:rFonts w:ascii="方正书宋_GBK"/>
              </w:rPr>
              <w:t>以上</w:t>
            </w:r>
          </w:p>
        </w:tc>
        <w:tc>
          <w:tcPr>
            <w:vAlign w:val="center"/>
            <w:tcW w:w="0" w:type="nil"/>
          </w:tcPr>
          <w:p>
            <w:pPr>
              <w:pStyle w:val=""/>
              <w:jc w:val="center"/>
              <w:spacing w:line="300" w:lineRule="exact"/>
            </w:pPr>
            <w:r>
              <w:rPr>
                <w:rFonts w:ascii="方正书宋_GBK"/>
              </w:rPr>
              <w:t>85%-95%</w:t>
            </w:r>
          </w:p>
        </w:tc>
        <w:tc>
          <w:tcPr>
            <w:vAlign w:val="center"/>
            <w:tcW w:w="0" w:type="nil"/>
          </w:tcPr>
          <w:p>
            <w:pPr>
              <w:pStyle w:val=""/>
              <w:jc w:val="center"/>
              <w:spacing w:line="300" w:lineRule="exact"/>
            </w:pPr>
            <w:r>
              <w:rPr>
                <w:rFonts w:ascii="方正书宋_GBK"/>
              </w:rPr>
              <w:t>70%-85%</w:t>
            </w:r>
          </w:p>
        </w:tc>
        <w:tc>
          <w:tcPr>
            <w:vAlign w:val="center"/>
            <w:tcW w:w="0" w:type="nil"/>
          </w:tcPr>
          <w:p>
            <w:pPr>
              <w:pStyle w:val=""/>
              <w:jc w:val="center"/>
              <w:spacing w:line="300" w:lineRule="exact"/>
            </w:pPr>
            <w:r>
              <w:rPr>
                <w:rFonts w:ascii="方正书宋_GBK"/>
              </w:rPr>
              <w:t>70%</w:t>
            </w:r>
            <w:r>
              <w:rPr>
                <w:rFonts w:ascii="方正书宋_GBK"/>
              </w:rPr>
              <w:t>以下</w:t>
            </w:r>
          </w:p>
        </w:tc>
      </w:tr>
      <w:tr>
        <w:trPr>
          <w:trHeight w:val="227" w:hRule="atLeast"/>
        </w:trPr>
        <w:tc>
          <w:tcPr>
            <w:vMerge/>
          </w:tcPr>
          <w:p/>
        </w:tc>
        <w:tc>
          <w:tcPr>
            <w:vMerge/>
          </w:tcPr>
          <w:p/>
        </w:tc>
        <w:tc>
          <w:tcPr>
            <w:vMerge/>
          </w:tcPr>
          <w:p/>
        </w:tc>
        <w:tc>
          <w:tcPr>
            <w:vMerge/>
          </w:tcPr>
          <w:p/>
        </w:tc>
        <w:tc>
          <w:tcPr>
            <w:vAlign w:val="center"/>
            <w:tcW w:w="0" w:type="nil"/>
          </w:tcPr>
          <w:p>
            <w:pPr>
              <w:pStyle w:val=""/>
              <w:jc w:val="left"/>
              <w:spacing w:line="300" w:lineRule="exact"/>
            </w:pPr>
            <w:r>
              <w:rPr>
                <w:rFonts w:ascii="方正书宋_GBK"/>
              </w:rPr>
              <w:t>公路基础信息数据更新率</w:t>
            </w:r>
            <w:r>
              <w:rPr>
                <w:rFonts w:ascii="方正书宋_GBK"/>
              </w:rPr>
              <w:t>95%</w:t>
            </w:r>
          </w:p>
        </w:tc>
        <w:tc>
          <w:tcPr>
            <w:vAlign w:val="center"/>
            <w:tcW w:w="0" w:type="nil"/>
          </w:tcPr>
          <w:p>
            <w:pPr>
              <w:pStyle w:val=""/>
              <w:jc w:val="center"/>
              <w:spacing w:line="300" w:lineRule="exact"/>
            </w:pPr>
            <w:r>
              <w:rPr>
                <w:rFonts w:ascii="方正书宋_GBK"/>
              </w:rPr>
              <w:t>95%</w:t>
            </w:r>
            <w:r>
              <w:rPr>
                <w:rFonts w:ascii="方正书宋_GBK"/>
              </w:rPr>
              <w:t>以上</w:t>
            </w:r>
          </w:p>
        </w:tc>
        <w:tc>
          <w:tcPr>
            <w:vAlign w:val="center"/>
            <w:tcW w:w="0" w:type="nil"/>
          </w:tcPr>
          <w:p>
            <w:pPr>
              <w:pStyle w:val=""/>
              <w:jc w:val="center"/>
              <w:spacing w:line="300" w:lineRule="exact"/>
            </w:pPr>
            <w:r>
              <w:rPr>
                <w:rFonts w:ascii="方正书宋_GBK"/>
              </w:rPr>
              <w:t>85%-95%</w:t>
            </w:r>
          </w:p>
        </w:tc>
        <w:tc>
          <w:tcPr>
            <w:vAlign w:val="center"/>
            <w:tcW w:w="0" w:type="nil"/>
          </w:tcPr>
          <w:p>
            <w:pPr>
              <w:pStyle w:val=""/>
              <w:jc w:val="center"/>
              <w:spacing w:line="300" w:lineRule="exact"/>
            </w:pPr>
            <w:r>
              <w:rPr>
                <w:rFonts w:ascii="方正书宋_GBK"/>
              </w:rPr>
              <w:t>70%-85%</w:t>
            </w:r>
          </w:p>
        </w:tc>
        <w:tc>
          <w:tcPr>
            <w:vAlign w:val="center"/>
            <w:tcW w:w="0" w:type="nil"/>
          </w:tcPr>
          <w:p>
            <w:pPr>
              <w:pStyle w:val=""/>
              <w:jc w:val="center"/>
              <w:spacing w:line="300" w:lineRule="exact"/>
            </w:pPr>
            <w:r>
              <w:rPr>
                <w:rFonts w:ascii="方正书宋_GBK"/>
              </w:rPr>
              <w:t>70%</w:t>
            </w:r>
            <w:r>
              <w:rPr>
                <w:rFonts w:ascii="方正书宋_GBK"/>
              </w:rPr>
              <w:t>以下</w:t>
            </w:r>
          </w:p>
        </w:tc>
      </w:tr>
      <w:tr>
        <w:trPr>
          <w:trHeight w:val="227" w:hRule="atLeast"/>
        </w:trPr>
        <w:tc>
          <w:tcPr>
            <w:vAlign w:val="center"/>
            <w:tcW w:w="0" w:type="nil"/>
          </w:tcPr>
          <w:p>
            <w:pPr>
              <w:pStyle w:val=""/>
              <w:jc w:val="left"/>
              <w:spacing w:line="300" w:lineRule="exact"/>
            </w:pPr>
            <w:r>
              <w:rPr>
                <w:b/>
                <w:rFonts w:ascii="方正书宋_GBK"/>
              </w:rPr>
              <w:t>交通运输管理</w:t>
            </w:r>
          </w:p>
        </w:tc>
        <w:tc>
          <w:tcPr>
            <w:vAlign w:val="center"/>
            <w:tcW w:w="0" w:type="nil"/>
          </w:tcPr>
          <w:p>
            <w:pPr>
              <w:pStyle w:val=""/>
              <w:jc w:val="left"/>
              <w:spacing w:line="300" w:lineRule="exact"/>
            </w:pPr>
          </w:p>
        </w:tc>
        <w:tc>
          <w:tcPr>
            <w:vAlign w:val="center"/>
            <w:tcW w:w="0" w:type="nil"/>
          </w:tcPr>
          <w:p>
            <w:pPr>
              <w:pStyle w:val=""/>
              <w:jc w:val="left"/>
              <w:spacing w:line="300" w:lineRule="exact"/>
            </w:pPr>
            <w:r>
              <w:rPr>
                <w:rFonts w:ascii="方正书宋_GBK"/>
              </w:rPr>
              <w:t>承担全县综合运输体系的规划协调，会同有关部门组织编制全县综合运输体系规划，参与交通运输枢纽规划和管理。指导城乡客运及有关设施规划和管理，对全县公路及其设施的建设和养护进行管理，指导出租汽车行业管理工作。</w:t>
            </w:r>
          </w:p>
        </w:tc>
        <w:tc>
          <w:tcPr>
            <w:vAlign w:val="center"/>
            <w:tcW w:w="0" w:type="nil"/>
          </w:tcPr>
          <w:p>
            <w:pPr>
              <w:pStyle w:val=""/>
              <w:jc w:val="left"/>
              <w:spacing w:line="300" w:lineRule="exact"/>
            </w:pPr>
            <w:r>
              <w:rPr>
                <w:rFonts w:ascii="方正书宋_GBK"/>
              </w:rPr>
              <w:t xml:space="preserve">保障道路通畅，完成运输生产任务，确保安全生产，提高服务保障水平。交通运输统计、调查业务顺利开展， </w:t>
            </w:r>
          </w:p>
        </w:tc>
        <w:tc>
          <w:tcPr>
            <w:vAlign w:val="center"/>
            <w:tcW w:w="0" w:type="nil"/>
          </w:tcPr>
          <w:p>
            <w:pPr>
              <w:pStyle w:val=""/>
              <w:jc w:val="left"/>
              <w:spacing w:line="300" w:lineRule="exact"/>
            </w:pPr>
          </w:p>
        </w:tc>
        <w:tc>
          <w:tcPr>
            <w:vAlign w:val="center"/>
            <w:tcW w:w="0" w:type="nil"/>
          </w:tcPr>
          <w:p>
            <w:pPr>
              <w:pStyle w:val=""/>
              <w:jc w:val="center"/>
              <w:spacing w:line="300" w:lineRule="exact"/>
            </w:pPr>
          </w:p>
        </w:tc>
        <w:tc>
          <w:tcPr>
            <w:vAlign w:val="center"/>
            <w:tcW w:w="0" w:type="nil"/>
          </w:tcPr>
          <w:p>
            <w:pPr>
              <w:pStyle w:val=""/>
              <w:jc w:val="center"/>
              <w:spacing w:line="300" w:lineRule="exact"/>
            </w:pPr>
          </w:p>
        </w:tc>
        <w:tc>
          <w:tcPr>
            <w:vAlign w:val="center"/>
            <w:tcW w:w="0" w:type="nil"/>
          </w:tcPr>
          <w:p>
            <w:pPr>
              <w:pStyle w:val=""/>
              <w:jc w:val="center"/>
              <w:spacing w:line="300" w:lineRule="exact"/>
            </w:pPr>
          </w:p>
        </w:tc>
        <w:tc>
          <w:tcPr>
            <w:vAlign w:val="center"/>
            <w:tcW w:w="0" w:type="nil"/>
          </w:tcPr>
          <w:p>
            <w:pPr>
              <w:pStyle w:val=""/>
              <w:jc w:val="center"/>
              <w:spacing w:line="300" w:lineRule="exact"/>
            </w:pPr>
          </w:p>
        </w:tc>
      </w:tr>
      <w:tr>
        <w:trPr>
          <w:trHeight w:val="227" w:hRule="atLeast"/>
        </w:trPr>
        <w:tc>
          <w:tcPr>
            <w:vAlign w:val="center"/>
            <w:vMerge w:val="restart"/>
            <w:tcW w:w="0" w:type="nil"/>
          </w:tcPr>
          <w:p>
            <w:pPr>
              <w:pStyle w:val=""/>
              <w:jc w:val="left"/>
              <w:spacing w:line="300" w:lineRule="exact"/>
            </w:pPr>
            <w:r>
              <w:rPr>
                <w:b/>
                <w:rFonts w:ascii="方正书宋_GBK"/>
              </w:rPr>
              <w:t>　　公路管理</w:t>
            </w:r>
          </w:p>
        </w:tc>
        <w:tc>
          <w:tcPr>
            <w:vAlign w:val="center"/>
            <w:vMerge w:val="restart"/>
            <w:tcW w:w="0" w:type="nil"/>
          </w:tcPr>
          <w:p>
            <w:pPr>
              <w:pStyle w:val=""/>
              <w:jc w:val="left"/>
              <w:spacing w:line="300" w:lineRule="exact"/>
            </w:pPr>
          </w:p>
        </w:tc>
        <w:tc>
          <w:tcPr>
            <w:vAlign w:val="center"/>
            <w:vMerge w:val="restart"/>
            <w:tcW w:w="0" w:type="nil"/>
          </w:tcPr>
          <w:p>
            <w:pPr>
              <w:pStyle w:val=""/>
              <w:jc w:val="left"/>
              <w:spacing w:line="300" w:lineRule="exact"/>
            </w:pPr>
            <w:r>
              <w:rPr>
                <w:rFonts w:ascii="方正书宋_GBK"/>
              </w:rPr>
              <w:t>对公路建设、养护、运营及路政、治理超限超载进行管理。审批公路建设项目施工图并进行现场管理，审查国省一般干线公路建设的立项、可研，大中修，一般干线公路大中修项目。依法行使公路方面行政处罚权，对全县公路超限治理进行监督管理。</w:t>
            </w:r>
          </w:p>
        </w:tc>
        <w:tc>
          <w:tcPr>
            <w:vAlign w:val="center"/>
            <w:vMerge w:val="restart"/>
            <w:tcW w:w="0" w:type="nil"/>
          </w:tcPr>
          <w:p>
            <w:pPr>
              <w:pStyle w:val=""/>
              <w:jc w:val="left"/>
              <w:spacing w:line="300" w:lineRule="exact"/>
            </w:pPr>
            <w:r>
              <w:rPr>
                <w:rFonts w:ascii="方正书宋_GBK"/>
              </w:rPr>
              <w:t>提高公路等级水平，缓解繁忙路段交通压力；维护路产路权，治理超限运输，保障通行能力，提高服务水平</w:t>
            </w:r>
          </w:p>
        </w:tc>
        <w:tc>
          <w:tcPr>
            <w:vAlign w:val="center"/>
            <w:tcW w:w="0" w:type="nil"/>
          </w:tcPr>
          <w:p>
            <w:pPr>
              <w:pStyle w:val=""/>
              <w:jc w:val="left"/>
              <w:spacing w:line="300" w:lineRule="exact"/>
            </w:pPr>
            <w:r>
              <w:rPr>
                <w:rFonts w:ascii="方正书宋_GBK"/>
              </w:rPr>
              <w:t>超限超载率</w:t>
            </w:r>
            <w:r>
              <w:rPr>
                <w:rFonts w:ascii="方正书宋_GBK"/>
              </w:rPr>
              <w:t>95%</w:t>
            </w:r>
          </w:p>
        </w:tc>
        <w:tc>
          <w:tcPr>
            <w:vAlign w:val="center"/>
            <w:tcW w:w="0" w:type="nil"/>
          </w:tcPr>
          <w:p>
            <w:pPr>
              <w:pStyle w:val=""/>
              <w:jc w:val="center"/>
              <w:spacing w:line="300" w:lineRule="exact"/>
            </w:pPr>
            <w:r>
              <w:rPr>
                <w:rFonts w:ascii="方正书宋_GBK"/>
              </w:rPr>
              <w:t>2.5%</w:t>
            </w:r>
            <w:r>
              <w:rPr>
                <w:rFonts w:ascii="方正书宋_GBK"/>
              </w:rPr>
              <w:t>以下</w:t>
            </w:r>
          </w:p>
        </w:tc>
        <w:tc>
          <w:tcPr>
            <w:vAlign w:val="center"/>
            <w:tcW w:w="0" w:type="nil"/>
          </w:tcPr>
          <w:p>
            <w:pPr>
              <w:pStyle w:val=""/>
              <w:jc w:val="center"/>
              <w:spacing w:line="300" w:lineRule="exact"/>
            </w:pPr>
            <w:r>
              <w:rPr>
                <w:rFonts w:ascii="方正书宋_GBK"/>
              </w:rPr>
              <w:t>2.5%-3%</w:t>
            </w:r>
          </w:p>
        </w:tc>
        <w:tc>
          <w:tcPr>
            <w:vAlign w:val="center"/>
            <w:tcW w:w="0" w:type="nil"/>
          </w:tcPr>
          <w:p>
            <w:pPr>
              <w:pStyle w:val=""/>
              <w:jc w:val="center"/>
              <w:spacing w:line="300" w:lineRule="exact"/>
            </w:pPr>
            <w:r>
              <w:rPr>
                <w:rFonts w:ascii="方正书宋_GBK"/>
              </w:rPr>
              <w:t>3%-3.5%</w:t>
            </w:r>
          </w:p>
        </w:tc>
        <w:tc>
          <w:tcPr>
            <w:vAlign w:val="center"/>
            <w:tcW w:w="0" w:type="nil"/>
          </w:tcPr>
          <w:p>
            <w:pPr>
              <w:pStyle w:val=""/>
              <w:jc w:val="center"/>
              <w:spacing w:line="300" w:lineRule="exact"/>
            </w:pPr>
            <w:r>
              <w:rPr>
                <w:rFonts w:ascii="方正书宋_GBK"/>
              </w:rPr>
              <w:t>3.5%</w:t>
            </w:r>
            <w:r>
              <w:rPr>
                <w:rFonts w:ascii="方正书宋_GBK"/>
              </w:rPr>
              <w:t>以上</w:t>
            </w:r>
          </w:p>
        </w:tc>
      </w:tr>
      <w:tr>
        <w:trPr>
          <w:trHeight w:val="227" w:hRule="atLeast"/>
        </w:trPr>
        <w:tc>
          <w:tcPr>
            <w:vMerge/>
          </w:tcPr>
          <w:p/>
        </w:tc>
        <w:tc>
          <w:tcPr>
            <w:vMerge/>
          </w:tcPr>
          <w:p/>
        </w:tc>
        <w:tc>
          <w:tcPr>
            <w:vMerge/>
          </w:tcPr>
          <w:p/>
        </w:tc>
        <w:tc>
          <w:tcPr>
            <w:vMerge/>
          </w:tcPr>
          <w:p/>
        </w:tc>
        <w:tc>
          <w:tcPr>
            <w:vAlign w:val="center"/>
            <w:tcW w:w="0" w:type="nil"/>
          </w:tcPr>
          <w:p>
            <w:pPr>
              <w:pStyle w:val=""/>
              <w:jc w:val="left"/>
              <w:spacing w:line="300" w:lineRule="exact"/>
            </w:pPr>
            <w:r>
              <w:rPr>
                <w:rFonts w:ascii="方正书宋_GBK"/>
              </w:rPr>
              <w:t>审批完成率</w:t>
            </w:r>
            <w:r>
              <w:rPr>
                <w:rFonts w:ascii="方正书宋_GBK"/>
              </w:rPr>
              <w:t>95%</w:t>
            </w:r>
          </w:p>
        </w:tc>
        <w:tc>
          <w:tcPr>
            <w:vAlign w:val="center"/>
            <w:tcW w:w="0" w:type="nil"/>
          </w:tcPr>
          <w:p>
            <w:pPr>
              <w:pStyle w:val=""/>
              <w:jc w:val="center"/>
              <w:spacing w:line="300" w:lineRule="exact"/>
            </w:pPr>
            <w:r>
              <w:rPr>
                <w:rFonts w:ascii="方正书宋_GBK"/>
              </w:rPr>
              <w:t>95%-100%</w:t>
            </w:r>
          </w:p>
        </w:tc>
        <w:tc>
          <w:tcPr>
            <w:vAlign w:val="center"/>
            <w:tcW w:w="0" w:type="nil"/>
          </w:tcPr>
          <w:p>
            <w:pPr>
              <w:pStyle w:val=""/>
              <w:jc w:val="center"/>
              <w:spacing w:line="300" w:lineRule="exact"/>
            </w:pPr>
            <w:r>
              <w:rPr>
                <w:rFonts w:ascii="方正书宋_GBK"/>
              </w:rPr>
              <w:t>80%-95%</w:t>
            </w:r>
          </w:p>
        </w:tc>
        <w:tc>
          <w:tcPr>
            <w:vAlign w:val="center"/>
            <w:tcW w:w="0" w:type="nil"/>
          </w:tcPr>
          <w:p>
            <w:pPr>
              <w:pStyle w:val=""/>
              <w:jc w:val="center"/>
              <w:spacing w:line="300" w:lineRule="exact"/>
            </w:pPr>
            <w:r>
              <w:rPr>
                <w:rFonts w:ascii="方正书宋_GBK"/>
              </w:rPr>
              <w:t>65%-80%</w:t>
            </w:r>
          </w:p>
        </w:tc>
        <w:tc>
          <w:tcPr>
            <w:vAlign w:val="center"/>
            <w:tcW w:w="0" w:type="nil"/>
          </w:tcPr>
          <w:p>
            <w:pPr>
              <w:pStyle w:val=""/>
              <w:jc w:val="center"/>
              <w:spacing w:line="300" w:lineRule="exact"/>
            </w:pPr>
            <w:r>
              <w:rPr>
                <w:rFonts w:ascii="方正书宋_GBK"/>
              </w:rPr>
              <w:t>65%</w:t>
            </w:r>
            <w:r>
              <w:rPr>
                <w:rFonts w:ascii="方正书宋_GBK"/>
              </w:rPr>
              <w:t>以下</w:t>
            </w:r>
          </w:p>
        </w:tc>
      </w:tr>
      <w:tr>
        <w:trPr>
          <w:trHeight w:val="227" w:hRule="atLeast"/>
        </w:trPr>
        <w:tc>
          <w:tcPr>
            <w:vMerge/>
          </w:tcPr>
          <w:p/>
        </w:tc>
        <w:tc>
          <w:tcPr>
            <w:vMerge/>
          </w:tcPr>
          <w:p/>
        </w:tc>
        <w:tc>
          <w:tcPr>
            <w:vMerge/>
          </w:tcPr>
          <w:p/>
        </w:tc>
        <w:tc>
          <w:tcPr>
            <w:vMerge/>
          </w:tcPr>
          <w:p/>
        </w:tc>
        <w:tc>
          <w:tcPr>
            <w:vAlign w:val="center"/>
            <w:tcW w:w="0" w:type="nil"/>
          </w:tcPr>
          <w:p>
            <w:pPr>
              <w:pStyle w:val=""/>
              <w:jc w:val="left"/>
              <w:spacing w:line="300" w:lineRule="exact"/>
            </w:pPr>
            <w:r>
              <w:rPr>
                <w:rFonts w:ascii="方正书宋_GBK"/>
              </w:rPr>
              <w:t>安全生产维稳控制目标</w:t>
            </w:r>
            <w:r>
              <w:rPr>
                <w:rFonts w:ascii="方正书宋_GBK"/>
              </w:rPr>
              <w:t>95%</w:t>
            </w:r>
          </w:p>
        </w:tc>
        <w:tc>
          <w:tcPr>
            <w:vAlign w:val="center"/>
            <w:tcW w:w="0" w:type="nil"/>
          </w:tcPr>
          <w:p>
            <w:pPr>
              <w:pStyle w:val=""/>
              <w:jc w:val="center"/>
              <w:spacing w:line="300" w:lineRule="exact"/>
            </w:pPr>
            <w:r>
              <w:rPr>
                <w:rFonts w:ascii="方正书宋_GBK"/>
              </w:rPr>
              <w:t>实现</w:t>
            </w:r>
          </w:p>
        </w:tc>
        <w:tc>
          <w:tcPr>
            <w:vAlign w:val="center"/>
            <w:tcW w:w="0" w:type="nil"/>
          </w:tcPr>
          <w:p>
            <w:pPr>
              <w:pStyle w:val=""/>
              <w:jc w:val="center"/>
              <w:spacing w:line="300" w:lineRule="exact"/>
            </w:pPr>
          </w:p>
        </w:tc>
        <w:tc>
          <w:tcPr>
            <w:vAlign w:val="center"/>
            <w:tcW w:w="0" w:type="nil"/>
          </w:tcPr>
          <w:p>
            <w:pPr>
              <w:pStyle w:val=""/>
              <w:jc w:val="center"/>
              <w:spacing w:line="300" w:lineRule="exact"/>
            </w:pPr>
          </w:p>
        </w:tc>
        <w:tc>
          <w:tcPr>
            <w:vAlign w:val="center"/>
            <w:tcW w:w="0" w:type="nil"/>
          </w:tcPr>
          <w:p>
            <w:pPr>
              <w:pStyle w:val=""/>
              <w:jc w:val="center"/>
              <w:spacing w:line="300" w:lineRule="exact"/>
            </w:pPr>
            <w:r>
              <w:rPr>
                <w:rFonts w:ascii="方正书宋_GBK"/>
              </w:rPr>
              <w:t>未实现</w:t>
            </w:r>
          </w:p>
        </w:tc>
      </w:tr>
      <w:tr>
        <w:trPr>
          <w:trHeight w:val="227" w:hRule="atLeast"/>
        </w:trPr>
        <w:tc>
          <w:tcPr>
            <w:vAlign w:val="center"/>
            <w:vMerge w:val="restart"/>
            <w:tcW w:w="0" w:type="nil"/>
          </w:tcPr>
          <w:p>
            <w:pPr>
              <w:pStyle w:val=""/>
              <w:jc w:val="left"/>
              <w:spacing w:line="300" w:lineRule="exact"/>
            </w:pPr>
            <w:r>
              <w:rPr>
                <w:b/>
                <w:rFonts w:ascii="方正书宋_GBK"/>
              </w:rPr>
              <w:t>　　道路运输管理</w:t>
            </w:r>
          </w:p>
        </w:tc>
        <w:tc>
          <w:tcPr>
            <w:vAlign w:val="center"/>
            <w:vMerge w:val="restart"/>
            <w:tcW w:w="0" w:type="nil"/>
          </w:tcPr>
          <w:p>
            <w:pPr>
              <w:pStyle w:val=""/>
              <w:jc w:val="left"/>
              <w:spacing w:line="300" w:lineRule="exact"/>
            </w:pPr>
          </w:p>
        </w:tc>
        <w:tc>
          <w:tcPr>
            <w:vAlign w:val="center"/>
            <w:vMerge w:val="restart"/>
            <w:tcW w:w="0" w:type="nil"/>
          </w:tcPr>
          <w:p>
            <w:pPr>
              <w:pStyle w:val=""/>
              <w:jc w:val="left"/>
              <w:spacing w:line="300" w:lineRule="exact"/>
            </w:pPr>
            <w:r>
              <w:rPr>
                <w:rFonts w:ascii="方正书宋_GBK"/>
              </w:rPr>
              <w:t>对全县道路旅客运输、货物运输、从业人员、道路运输相关业务进行行业管理、市场监管及安全检查，依法行使道路运输行政许可、行政处罚强制权，监督检查有关道路运输法律法规的执行情况，对全县货运源头治超工作进行监督检查。</w:t>
            </w:r>
          </w:p>
        </w:tc>
        <w:tc>
          <w:tcPr>
            <w:vAlign w:val="center"/>
            <w:vMerge w:val="restart"/>
            <w:tcW w:w="0" w:type="nil"/>
          </w:tcPr>
          <w:p>
            <w:pPr>
              <w:pStyle w:val=""/>
              <w:jc w:val="left"/>
              <w:spacing w:line="300" w:lineRule="exact"/>
            </w:pPr>
            <w:r>
              <w:rPr>
                <w:rFonts w:ascii="方正书宋_GBK"/>
              </w:rPr>
              <w:t>旅客周转量</w:t>
            </w:r>
            <w:r>
              <w:rPr>
                <w:rFonts w:ascii="方正书宋_GBK"/>
              </w:rPr>
              <w:t xml:space="preserve"> </w:t>
            </w:r>
            <w:r>
              <w:rPr>
                <w:rFonts w:ascii="方正书宋_GBK"/>
              </w:rPr>
              <w:t>亿人公里，公路货物周转量</w:t>
            </w:r>
            <w:r>
              <w:rPr>
                <w:rFonts w:ascii="方正书宋_GBK"/>
              </w:rPr>
              <w:t xml:space="preserve"> </w:t>
            </w:r>
            <w:r>
              <w:rPr>
                <w:rFonts w:ascii="方正书宋_GBK"/>
              </w:rPr>
              <w:t>亿吨公里。</w:t>
            </w:r>
          </w:p>
        </w:tc>
        <w:tc>
          <w:tcPr>
            <w:vAlign w:val="center"/>
            <w:tcW w:w="0" w:type="nil"/>
          </w:tcPr>
          <w:p>
            <w:pPr>
              <w:pStyle w:val=""/>
              <w:jc w:val="left"/>
              <w:spacing w:line="300" w:lineRule="exact"/>
            </w:pPr>
            <w:r>
              <w:rPr>
                <w:rFonts w:ascii="方正书宋_GBK"/>
              </w:rPr>
              <w:t>安全生产控制目标</w:t>
            </w:r>
            <w:r>
              <w:rPr>
                <w:rFonts w:ascii="方正书宋_GBK"/>
              </w:rPr>
              <w:t>95%</w:t>
            </w:r>
          </w:p>
        </w:tc>
        <w:tc>
          <w:tcPr>
            <w:vAlign w:val="center"/>
            <w:tcW w:w="0" w:type="nil"/>
          </w:tcPr>
          <w:p>
            <w:pPr>
              <w:pStyle w:val=""/>
              <w:jc w:val="center"/>
              <w:spacing w:line="300" w:lineRule="exact"/>
            </w:pPr>
            <w:r>
              <w:rPr>
                <w:rFonts w:ascii="方正书宋_GBK"/>
              </w:rPr>
              <w:t>实现</w:t>
            </w:r>
          </w:p>
        </w:tc>
        <w:tc>
          <w:tcPr>
            <w:vAlign w:val="center"/>
            <w:tcW w:w="0" w:type="nil"/>
          </w:tcPr>
          <w:p>
            <w:pPr>
              <w:pStyle w:val=""/>
              <w:jc w:val="center"/>
              <w:spacing w:line="300" w:lineRule="exact"/>
            </w:pPr>
          </w:p>
        </w:tc>
        <w:tc>
          <w:tcPr>
            <w:vAlign w:val="center"/>
            <w:tcW w:w="0" w:type="nil"/>
          </w:tcPr>
          <w:p>
            <w:pPr>
              <w:pStyle w:val=""/>
              <w:jc w:val="center"/>
              <w:spacing w:line="300" w:lineRule="exact"/>
            </w:pPr>
          </w:p>
        </w:tc>
        <w:tc>
          <w:tcPr>
            <w:vAlign w:val="center"/>
            <w:tcW w:w="0" w:type="nil"/>
          </w:tcPr>
          <w:p>
            <w:pPr>
              <w:pStyle w:val=""/>
              <w:jc w:val="center"/>
              <w:spacing w:line="300" w:lineRule="exact"/>
            </w:pPr>
            <w:r>
              <w:rPr>
                <w:rFonts w:ascii="方正书宋_GBK"/>
              </w:rPr>
              <w:t>未实现</w:t>
            </w:r>
          </w:p>
        </w:tc>
      </w:tr>
      <w:tr>
        <w:trPr>
          <w:trHeight w:val="227" w:hRule="atLeast"/>
        </w:trPr>
        <w:tc>
          <w:tcPr>
            <w:vMerge/>
          </w:tcPr>
          <w:p/>
        </w:tc>
        <w:tc>
          <w:tcPr>
            <w:vMerge/>
          </w:tcPr>
          <w:p/>
        </w:tc>
        <w:tc>
          <w:tcPr>
            <w:vMerge/>
          </w:tcPr>
          <w:p/>
        </w:tc>
        <w:tc>
          <w:tcPr>
            <w:vMerge/>
          </w:tcPr>
          <w:p/>
        </w:tc>
        <w:tc>
          <w:tcPr>
            <w:vAlign w:val="center"/>
            <w:tcW w:w="0" w:type="nil"/>
          </w:tcPr>
          <w:p>
            <w:pPr>
              <w:pStyle w:val=""/>
              <w:jc w:val="left"/>
              <w:spacing w:line="300" w:lineRule="exact"/>
            </w:pPr>
            <w:r>
              <w:rPr>
                <w:rFonts w:ascii="方正书宋_GBK"/>
              </w:rPr>
              <w:t>超限超载率</w:t>
            </w:r>
            <w:r>
              <w:rPr>
                <w:rFonts w:ascii="方正书宋_GBK"/>
              </w:rPr>
              <w:t>95%</w:t>
            </w:r>
          </w:p>
        </w:tc>
        <w:tc>
          <w:tcPr>
            <w:vAlign w:val="center"/>
            <w:tcW w:w="0" w:type="nil"/>
          </w:tcPr>
          <w:p>
            <w:pPr>
              <w:pStyle w:val=""/>
              <w:jc w:val="center"/>
              <w:spacing w:line="300" w:lineRule="exact"/>
            </w:pPr>
            <w:r>
              <w:rPr>
                <w:rFonts w:ascii="方正书宋_GBK"/>
              </w:rPr>
              <w:t>2.5%</w:t>
            </w:r>
            <w:r>
              <w:rPr>
                <w:rFonts w:ascii="方正书宋_GBK"/>
              </w:rPr>
              <w:t>以下</w:t>
            </w:r>
          </w:p>
        </w:tc>
        <w:tc>
          <w:tcPr>
            <w:vAlign w:val="center"/>
            <w:tcW w:w="0" w:type="nil"/>
          </w:tcPr>
          <w:p>
            <w:pPr>
              <w:pStyle w:val=""/>
              <w:jc w:val="center"/>
              <w:spacing w:line="300" w:lineRule="exact"/>
            </w:pPr>
            <w:r>
              <w:rPr>
                <w:rFonts w:ascii="方正书宋_GBK"/>
              </w:rPr>
              <w:t>2.5%-3%</w:t>
            </w:r>
          </w:p>
        </w:tc>
        <w:tc>
          <w:tcPr>
            <w:vAlign w:val="center"/>
            <w:tcW w:w="0" w:type="nil"/>
          </w:tcPr>
          <w:p>
            <w:pPr>
              <w:pStyle w:val=""/>
              <w:jc w:val="center"/>
              <w:spacing w:line="300" w:lineRule="exact"/>
            </w:pPr>
            <w:r>
              <w:rPr>
                <w:rFonts w:ascii="方正书宋_GBK"/>
              </w:rPr>
              <w:t>3%-3.5%</w:t>
            </w:r>
          </w:p>
        </w:tc>
        <w:tc>
          <w:tcPr>
            <w:vAlign w:val="center"/>
            <w:tcW w:w="0" w:type="nil"/>
          </w:tcPr>
          <w:p>
            <w:pPr>
              <w:pStyle w:val=""/>
              <w:jc w:val="center"/>
              <w:spacing w:line="300" w:lineRule="exact"/>
            </w:pPr>
            <w:r>
              <w:rPr>
                <w:rFonts w:ascii="方正书宋_GBK"/>
              </w:rPr>
              <w:t>3.5%</w:t>
            </w:r>
            <w:r>
              <w:rPr>
                <w:rFonts w:ascii="方正书宋_GBK"/>
              </w:rPr>
              <w:t>以上</w:t>
            </w:r>
          </w:p>
        </w:tc>
      </w:tr>
      <w:tr>
        <w:trPr>
          <w:trHeight w:val="227" w:hRule="atLeast"/>
        </w:trPr>
        <w:tc>
          <w:tcPr>
            <w:vMerge/>
          </w:tcPr>
          <w:p/>
        </w:tc>
        <w:tc>
          <w:tcPr>
            <w:vMerge/>
          </w:tcPr>
          <w:p/>
        </w:tc>
        <w:tc>
          <w:tcPr>
            <w:vMerge/>
          </w:tcPr>
          <w:p/>
        </w:tc>
        <w:tc>
          <w:tcPr>
            <w:vMerge/>
          </w:tcPr>
          <w:p/>
        </w:tc>
        <w:tc>
          <w:tcPr>
            <w:vAlign w:val="center"/>
            <w:tcW w:w="0" w:type="nil"/>
          </w:tcPr>
          <w:p>
            <w:pPr>
              <w:pStyle w:val=""/>
              <w:jc w:val="left"/>
              <w:spacing w:line="300" w:lineRule="exact"/>
            </w:pPr>
            <w:r>
              <w:rPr>
                <w:rFonts w:ascii="方正书宋_GBK"/>
              </w:rPr>
              <w:t>年营业性客货运周转量目标完成率</w:t>
            </w:r>
            <w:r>
              <w:rPr>
                <w:rFonts w:ascii="方正书宋_GBK"/>
              </w:rPr>
              <w:t>95%</w:t>
            </w:r>
          </w:p>
        </w:tc>
        <w:tc>
          <w:tcPr>
            <w:vAlign w:val="center"/>
            <w:tcW w:w="0" w:type="nil"/>
          </w:tcPr>
          <w:p>
            <w:pPr>
              <w:pStyle w:val=""/>
              <w:jc w:val="center"/>
              <w:spacing w:line="300" w:lineRule="exact"/>
            </w:pPr>
            <w:r>
              <w:rPr>
                <w:rFonts w:ascii="方正书宋_GBK"/>
              </w:rPr>
              <w:t>95%</w:t>
            </w:r>
            <w:r>
              <w:rPr>
                <w:rFonts w:ascii="方正书宋_GBK"/>
              </w:rPr>
              <w:t>以上</w:t>
            </w:r>
          </w:p>
        </w:tc>
        <w:tc>
          <w:tcPr>
            <w:vAlign w:val="center"/>
            <w:tcW w:w="0" w:type="nil"/>
          </w:tcPr>
          <w:p>
            <w:pPr>
              <w:pStyle w:val=""/>
              <w:jc w:val="center"/>
              <w:spacing w:line="300" w:lineRule="exact"/>
            </w:pPr>
            <w:r>
              <w:rPr>
                <w:rFonts w:ascii="方正书宋_GBK"/>
              </w:rPr>
              <w:t>80%-95%</w:t>
            </w:r>
          </w:p>
        </w:tc>
        <w:tc>
          <w:tcPr>
            <w:vAlign w:val="center"/>
            <w:tcW w:w="0" w:type="nil"/>
          </w:tcPr>
          <w:p>
            <w:pPr>
              <w:pStyle w:val=""/>
              <w:jc w:val="center"/>
              <w:spacing w:line="300" w:lineRule="exact"/>
            </w:pPr>
            <w:r>
              <w:rPr>
                <w:rFonts w:ascii="方正书宋_GBK"/>
              </w:rPr>
              <w:t>65%-80%</w:t>
            </w:r>
          </w:p>
        </w:tc>
        <w:tc>
          <w:tcPr>
            <w:vAlign w:val="center"/>
            <w:tcW w:w="0" w:type="nil"/>
          </w:tcPr>
          <w:p>
            <w:pPr>
              <w:pStyle w:val=""/>
              <w:jc w:val="center"/>
              <w:spacing w:line="300" w:lineRule="exact"/>
            </w:pPr>
            <w:r>
              <w:rPr>
                <w:rFonts w:ascii="方正书宋_GBK"/>
              </w:rPr>
              <w:t>65%</w:t>
            </w:r>
            <w:r>
              <w:rPr>
                <w:rFonts w:ascii="方正书宋_GBK"/>
              </w:rPr>
              <w:t>以下</w:t>
            </w:r>
          </w:p>
        </w:tc>
      </w:tr>
      <w:tr>
        <w:trPr>
          <w:trHeight w:val="227" w:hRule="atLeast"/>
        </w:trPr>
        <w:tc>
          <w:tcPr>
            <w:vAlign w:val="center"/>
            <w:vMerge w:val="restart"/>
            <w:tcW w:w="0" w:type="nil"/>
          </w:tcPr>
          <w:p>
            <w:pPr>
              <w:pStyle w:val=""/>
              <w:jc w:val="left"/>
              <w:spacing w:line="300" w:lineRule="exact"/>
            </w:pPr>
            <w:r>
              <w:rPr>
                <w:b/>
                <w:rFonts w:ascii="方正书宋_GBK"/>
              </w:rPr>
              <w:t>　　城市客运管理</w:t>
            </w:r>
          </w:p>
        </w:tc>
        <w:tc>
          <w:tcPr>
            <w:vAlign w:val="center"/>
            <w:vMerge w:val="restart"/>
            <w:tcW w:w="0" w:type="nil"/>
          </w:tcPr>
          <w:p>
            <w:pPr>
              <w:pStyle w:val=""/>
              <w:jc w:val="left"/>
              <w:spacing w:line="300" w:lineRule="exact"/>
            </w:pPr>
          </w:p>
        </w:tc>
        <w:tc>
          <w:tcPr>
            <w:vAlign w:val="center"/>
            <w:vMerge w:val="restart"/>
            <w:tcW w:w="0" w:type="nil"/>
          </w:tcPr>
          <w:p>
            <w:pPr>
              <w:pStyle w:val=""/>
              <w:jc w:val="left"/>
              <w:spacing w:line="300" w:lineRule="exact"/>
            </w:pPr>
            <w:r>
              <w:rPr>
                <w:rFonts w:ascii="方正书宋_GBK"/>
              </w:rPr>
              <w:t>对全县客运（含公共汽电车、出租汽车、汽车租赁）进行行业管理。</w:t>
            </w:r>
          </w:p>
        </w:tc>
        <w:tc>
          <w:tcPr>
            <w:vAlign w:val="center"/>
            <w:vMerge w:val="restart"/>
            <w:tcW w:w="0" w:type="nil"/>
          </w:tcPr>
          <w:p>
            <w:pPr>
              <w:pStyle w:val=""/>
              <w:jc w:val="left"/>
              <w:spacing w:line="300" w:lineRule="exact"/>
            </w:pPr>
            <w:r>
              <w:rPr>
                <w:rFonts w:ascii="方正书宋_GBK"/>
              </w:rPr>
              <w:t>客运管理业务顺利开展，按时完成工作。并保障行业安全稳与稳定。</w:t>
            </w:r>
          </w:p>
        </w:tc>
        <w:tc>
          <w:tcPr>
            <w:vAlign w:val="center"/>
            <w:tcW w:w="0" w:type="nil"/>
          </w:tcPr>
          <w:p>
            <w:pPr>
              <w:pStyle w:val=""/>
              <w:jc w:val="left"/>
              <w:spacing w:line="300" w:lineRule="exact"/>
            </w:pPr>
            <w:r>
              <w:rPr>
                <w:rFonts w:ascii="方正书宋_GBK"/>
              </w:rPr>
              <w:t>乘客满意率</w:t>
            </w:r>
            <w:r>
              <w:rPr>
                <w:rFonts w:ascii="方正书宋_GBK"/>
              </w:rPr>
              <w:t>95%</w:t>
            </w:r>
          </w:p>
        </w:tc>
        <w:tc>
          <w:tcPr>
            <w:vAlign w:val="center"/>
            <w:tcW w:w="0" w:type="nil"/>
          </w:tcPr>
          <w:p>
            <w:pPr>
              <w:pStyle w:val=""/>
              <w:jc w:val="center"/>
              <w:spacing w:line="300" w:lineRule="exact"/>
            </w:pPr>
            <w:r>
              <w:rPr>
                <w:rFonts w:ascii="方正书宋_GBK"/>
              </w:rPr>
              <w:t>90%-100%</w:t>
            </w:r>
          </w:p>
        </w:tc>
        <w:tc>
          <w:tcPr>
            <w:vAlign w:val="center"/>
            <w:tcW w:w="0" w:type="nil"/>
          </w:tcPr>
          <w:p>
            <w:pPr>
              <w:pStyle w:val=""/>
              <w:jc w:val="center"/>
              <w:spacing w:line="300" w:lineRule="exact"/>
            </w:pPr>
            <w:r>
              <w:rPr>
                <w:rFonts w:ascii="方正书宋_GBK"/>
              </w:rPr>
              <w:t>75%-90%</w:t>
            </w:r>
          </w:p>
        </w:tc>
        <w:tc>
          <w:tcPr>
            <w:vAlign w:val="center"/>
            <w:tcW w:w="0" w:type="nil"/>
          </w:tcPr>
          <w:p>
            <w:pPr>
              <w:pStyle w:val=""/>
              <w:jc w:val="center"/>
              <w:spacing w:line="300" w:lineRule="exact"/>
            </w:pPr>
            <w:r>
              <w:rPr>
                <w:rFonts w:ascii="方正书宋_GBK"/>
              </w:rPr>
              <w:t>60%-75%</w:t>
            </w:r>
          </w:p>
        </w:tc>
        <w:tc>
          <w:tcPr>
            <w:vAlign w:val="center"/>
            <w:tcW w:w="0" w:type="nil"/>
          </w:tcPr>
          <w:p>
            <w:pPr>
              <w:pStyle w:val=""/>
              <w:jc w:val="center"/>
              <w:spacing w:line="300" w:lineRule="exact"/>
            </w:pPr>
            <w:r>
              <w:rPr>
                <w:rFonts w:ascii="方正书宋_GBK"/>
              </w:rPr>
              <w:t>60%</w:t>
            </w:r>
            <w:r>
              <w:rPr>
                <w:rFonts w:ascii="方正书宋_GBK"/>
              </w:rPr>
              <w:t>以下</w:t>
            </w:r>
          </w:p>
        </w:tc>
      </w:tr>
      <w:tr>
        <w:trPr>
          <w:trHeight w:val="227" w:hRule="atLeast"/>
        </w:trPr>
        <w:tc>
          <w:tcPr>
            <w:vMerge/>
          </w:tcPr>
          <w:p/>
        </w:tc>
        <w:tc>
          <w:tcPr>
            <w:vMerge/>
          </w:tcPr>
          <w:p/>
        </w:tc>
        <w:tc>
          <w:tcPr>
            <w:vMerge/>
          </w:tcPr>
          <w:p/>
        </w:tc>
        <w:tc>
          <w:tcPr>
            <w:vMerge/>
          </w:tcPr>
          <w:p/>
        </w:tc>
        <w:tc>
          <w:tcPr>
            <w:vAlign w:val="center"/>
            <w:tcW w:w="0" w:type="nil"/>
          </w:tcPr>
          <w:p>
            <w:pPr>
              <w:pStyle w:val=""/>
              <w:jc w:val="left"/>
              <w:spacing w:line="300" w:lineRule="exact"/>
            </w:pPr>
            <w:r>
              <w:rPr>
                <w:rFonts w:ascii="方正书宋_GBK"/>
              </w:rPr>
              <w:t>安全生产维稳控制目标</w:t>
            </w:r>
            <w:r>
              <w:rPr>
                <w:rFonts w:ascii="方正书宋_GBK"/>
              </w:rPr>
              <w:t>95%</w:t>
            </w:r>
          </w:p>
        </w:tc>
        <w:tc>
          <w:tcPr>
            <w:vAlign w:val="center"/>
            <w:tcW w:w="0" w:type="nil"/>
          </w:tcPr>
          <w:p>
            <w:pPr>
              <w:pStyle w:val=""/>
              <w:jc w:val="center"/>
              <w:spacing w:line="300" w:lineRule="exact"/>
            </w:pPr>
            <w:r>
              <w:rPr>
                <w:rFonts w:ascii="方正书宋_GBK"/>
              </w:rPr>
              <w:t>实现</w:t>
            </w:r>
          </w:p>
        </w:tc>
        <w:tc>
          <w:tcPr>
            <w:vAlign w:val="center"/>
            <w:tcW w:w="0" w:type="nil"/>
          </w:tcPr>
          <w:p>
            <w:pPr>
              <w:pStyle w:val=""/>
              <w:jc w:val="center"/>
              <w:spacing w:line="300" w:lineRule="exact"/>
            </w:pPr>
          </w:p>
        </w:tc>
        <w:tc>
          <w:tcPr>
            <w:vAlign w:val="center"/>
            <w:tcW w:w="0" w:type="nil"/>
          </w:tcPr>
          <w:p>
            <w:pPr>
              <w:pStyle w:val=""/>
              <w:jc w:val="center"/>
              <w:spacing w:line="300" w:lineRule="exact"/>
            </w:pPr>
          </w:p>
        </w:tc>
        <w:tc>
          <w:tcPr>
            <w:vAlign w:val="center"/>
            <w:tcW w:w="0" w:type="nil"/>
          </w:tcPr>
          <w:p>
            <w:pPr>
              <w:pStyle w:val=""/>
              <w:jc w:val="center"/>
              <w:spacing w:line="300" w:lineRule="exact"/>
            </w:pPr>
            <w:r>
              <w:rPr>
                <w:rFonts w:ascii="方正书宋_GBK"/>
              </w:rPr>
              <w:t>未实现</w:t>
            </w:r>
          </w:p>
        </w:tc>
      </w:tr>
      <w:tr>
        <w:trPr>
          <w:trHeight w:val="227" w:hRule="atLeast"/>
        </w:trPr>
        <w:tc>
          <w:tcPr>
            <w:vAlign w:val="center"/>
            <w:vMerge w:val="restart"/>
            <w:tcW w:w="0" w:type="nil"/>
          </w:tcPr>
          <w:p>
            <w:pPr>
              <w:pStyle w:val=""/>
              <w:jc w:val="left"/>
              <w:spacing w:line="300" w:lineRule="exact"/>
            </w:pPr>
            <w:r>
              <w:rPr>
                <w:b/>
                <w:rFonts w:ascii="方正书宋_GBK"/>
              </w:rPr>
              <w:t>　　水路运输管理</w:t>
            </w:r>
          </w:p>
        </w:tc>
        <w:tc>
          <w:tcPr>
            <w:vAlign w:val="center"/>
            <w:vMerge w:val="restart"/>
            <w:tcW w:w="0" w:type="nil"/>
          </w:tcPr>
          <w:p>
            <w:pPr>
              <w:pStyle w:val=""/>
              <w:jc w:val="left"/>
              <w:spacing w:line="300" w:lineRule="exact"/>
            </w:pPr>
          </w:p>
        </w:tc>
        <w:tc>
          <w:tcPr>
            <w:vAlign w:val="center"/>
            <w:vMerge w:val="restart"/>
            <w:tcW w:w="0" w:type="nil"/>
          </w:tcPr>
          <w:p>
            <w:pPr>
              <w:pStyle w:val=""/>
              <w:jc w:val="left"/>
              <w:spacing w:line="300" w:lineRule="exact"/>
            </w:pPr>
            <w:r>
              <w:rPr>
                <w:rFonts w:ascii="方正书宋_GBK"/>
              </w:rPr>
              <w:t>管辖水域水上安全进行监管；对相关水上设施检验、船舶设施保安等进行监督管理。</w:t>
            </w:r>
          </w:p>
        </w:tc>
        <w:tc>
          <w:tcPr>
            <w:vAlign w:val="center"/>
            <w:vMerge w:val="restart"/>
            <w:tcW w:w="0" w:type="nil"/>
          </w:tcPr>
          <w:p>
            <w:pPr>
              <w:pStyle w:val=""/>
              <w:jc w:val="left"/>
              <w:spacing w:line="300" w:lineRule="exact"/>
            </w:pPr>
            <w:r>
              <w:rPr>
                <w:rFonts w:ascii="方正书宋_GBK"/>
              </w:rPr>
              <w:t>水运客运周转量完成</w:t>
            </w:r>
            <w:r>
              <w:rPr>
                <w:rFonts w:ascii="方正书宋_GBK"/>
              </w:rPr>
              <w:t xml:space="preserve"> </w:t>
            </w:r>
            <w:r>
              <w:rPr>
                <w:rFonts w:ascii="方正书宋_GBK"/>
              </w:rPr>
              <w:t>万人公里，货物周转量完成</w:t>
            </w:r>
            <w:r>
              <w:rPr>
                <w:rFonts w:ascii="方正书宋_GBK"/>
              </w:rPr>
              <w:t xml:space="preserve"> </w:t>
            </w:r>
            <w:r>
              <w:rPr>
                <w:rFonts w:ascii="方正书宋_GBK"/>
              </w:rPr>
              <w:t>亿吨公里，港口吞吐量完成</w:t>
            </w:r>
            <w:r>
              <w:rPr>
                <w:rFonts w:ascii="方正书宋_GBK"/>
              </w:rPr>
              <w:t xml:space="preserve"> </w:t>
            </w:r>
            <w:r>
              <w:rPr>
                <w:rFonts w:ascii="方正书宋_GBK"/>
              </w:rPr>
              <w:t>亿吨。</w:t>
            </w:r>
          </w:p>
        </w:tc>
        <w:tc>
          <w:tcPr>
            <w:vAlign w:val="center"/>
            <w:tcW w:w="0" w:type="nil"/>
          </w:tcPr>
          <w:p>
            <w:pPr>
              <w:pStyle w:val=""/>
              <w:jc w:val="left"/>
              <w:spacing w:line="300" w:lineRule="exact"/>
            </w:pPr>
            <w:r>
              <w:rPr>
                <w:rFonts w:ascii="方正书宋_GBK"/>
              </w:rPr>
              <w:t>安全生产控制目标</w:t>
            </w:r>
          </w:p>
        </w:tc>
        <w:tc>
          <w:tcPr>
            <w:vAlign w:val="center"/>
            <w:tcW w:w="0" w:type="nil"/>
          </w:tcPr>
          <w:p>
            <w:pPr>
              <w:pStyle w:val=""/>
              <w:jc w:val="center"/>
              <w:spacing w:line="300" w:lineRule="exact"/>
            </w:pPr>
            <w:r>
              <w:rPr>
                <w:rFonts w:ascii="方正书宋_GBK"/>
              </w:rPr>
              <w:t>实现</w:t>
            </w:r>
          </w:p>
        </w:tc>
        <w:tc>
          <w:tcPr>
            <w:vAlign w:val="center"/>
            <w:tcW w:w="0" w:type="nil"/>
          </w:tcPr>
          <w:p>
            <w:pPr>
              <w:pStyle w:val=""/>
              <w:jc w:val="center"/>
              <w:spacing w:line="300" w:lineRule="exact"/>
            </w:pPr>
          </w:p>
        </w:tc>
        <w:tc>
          <w:tcPr>
            <w:vAlign w:val="center"/>
            <w:tcW w:w="0" w:type="nil"/>
          </w:tcPr>
          <w:p>
            <w:pPr>
              <w:pStyle w:val=""/>
              <w:jc w:val="center"/>
              <w:spacing w:line="300" w:lineRule="exact"/>
            </w:pPr>
          </w:p>
        </w:tc>
        <w:tc>
          <w:tcPr>
            <w:vAlign w:val="center"/>
            <w:tcW w:w="0" w:type="nil"/>
          </w:tcPr>
          <w:p>
            <w:pPr>
              <w:pStyle w:val=""/>
              <w:jc w:val="center"/>
              <w:spacing w:line="300" w:lineRule="exact"/>
            </w:pPr>
            <w:r>
              <w:rPr>
                <w:rFonts w:ascii="方正书宋_GBK"/>
              </w:rPr>
              <w:t>未实现</w:t>
            </w:r>
          </w:p>
        </w:tc>
      </w:tr>
      <w:tr>
        <w:trPr>
          <w:trHeight w:val="227" w:hRule="atLeast"/>
        </w:trPr>
        <w:tc>
          <w:tcPr>
            <w:vMerge/>
          </w:tcPr>
          <w:p/>
        </w:tc>
        <w:tc>
          <w:tcPr>
            <w:vMerge/>
          </w:tcPr>
          <w:p/>
        </w:tc>
        <w:tc>
          <w:tcPr>
            <w:vMerge/>
          </w:tcPr>
          <w:p/>
        </w:tc>
        <w:tc>
          <w:tcPr>
            <w:vMerge/>
          </w:tcPr>
          <w:p/>
        </w:tc>
        <w:tc>
          <w:tcPr>
            <w:vAlign w:val="center"/>
            <w:tcW w:w="0" w:type="nil"/>
          </w:tcPr>
          <w:p>
            <w:pPr>
              <w:pStyle w:val=""/>
              <w:jc w:val="left"/>
              <w:spacing w:line="300" w:lineRule="exact"/>
            </w:pPr>
            <w:r>
              <w:rPr>
                <w:rFonts w:ascii="方正书宋_GBK"/>
              </w:rPr>
              <w:t>船舶受理申请检验办理率</w:t>
            </w:r>
          </w:p>
        </w:tc>
        <w:tc>
          <w:tcPr>
            <w:vAlign w:val="center"/>
            <w:tcW w:w="0" w:type="nil"/>
          </w:tcPr>
          <w:p>
            <w:pPr>
              <w:pStyle w:val=""/>
              <w:jc w:val="center"/>
              <w:spacing w:line="300" w:lineRule="exact"/>
            </w:pPr>
            <w:r>
              <w:rPr>
                <w:rFonts w:ascii="方正书宋_GBK"/>
              </w:rPr>
              <w:t>90%-100%</w:t>
            </w:r>
          </w:p>
        </w:tc>
        <w:tc>
          <w:tcPr>
            <w:vAlign w:val="center"/>
            <w:tcW w:w="0" w:type="nil"/>
          </w:tcPr>
          <w:p>
            <w:pPr>
              <w:pStyle w:val=""/>
              <w:jc w:val="center"/>
              <w:spacing w:line="300" w:lineRule="exact"/>
            </w:pPr>
            <w:r>
              <w:rPr>
                <w:rFonts w:ascii="方正书宋_GBK"/>
              </w:rPr>
              <w:t>80%-90%</w:t>
            </w:r>
          </w:p>
        </w:tc>
        <w:tc>
          <w:tcPr>
            <w:vAlign w:val="center"/>
            <w:tcW w:w="0" w:type="nil"/>
          </w:tcPr>
          <w:p>
            <w:pPr>
              <w:pStyle w:val=""/>
              <w:jc w:val="center"/>
              <w:spacing w:line="300" w:lineRule="exact"/>
            </w:pPr>
            <w:r>
              <w:rPr>
                <w:rFonts w:ascii="方正书宋_GBK"/>
              </w:rPr>
              <w:t>60%-80%</w:t>
            </w:r>
          </w:p>
        </w:tc>
        <w:tc>
          <w:tcPr>
            <w:vAlign w:val="center"/>
            <w:tcW w:w="0" w:type="nil"/>
          </w:tcPr>
          <w:p>
            <w:pPr>
              <w:pStyle w:val=""/>
              <w:jc w:val="center"/>
              <w:spacing w:line="300" w:lineRule="exact"/>
            </w:pPr>
            <w:r>
              <w:rPr>
                <w:rFonts w:ascii="方正书宋_GBK"/>
              </w:rPr>
              <w:t>60%</w:t>
            </w:r>
            <w:r>
              <w:rPr>
                <w:rFonts w:ascii="方正书宋_GBK"/>
              </w:rPr>
              <w:t>以下</w:t>
            </w:r>
          </w:p>
        </w:tc>
      </w:tr>
      <w:tr>
        <w:trPr>
          <w:trHeight w:val="227" w:hRule="atLeast"/>
        </w:trPr>
        <w:tc>
          <w:tcPr>
            <w:vMerge/>
          </w:tcPr>
          <w:p/>
        </w:tc>
        <w:tc>
          <w:tcPr>
            <w:vMerge/>
          </w:tcPr>
          <w:p/>
        </w:tc>
        <w:tc>
          <w:tcPr>
            <w:vMerge/>
          </w:tcPr>
          <w:p/>
        </w:tc>
        <w:tc>
          <w:tcPr>
            <w:vMerge/>
          </w:tcPr>
          <w:p/>
        </w:tc>
        <w:tc>
          <w:tcPr>
            <w:vAlign w:val="center"/>
            <w:tcW w:w="0" w:type="nil"/>
          </w:tcPr>
          <w:p>
            <w:pPr>
              <w:pStyle w:val=""/>
              <w:jc w:val="left"/>
              <w:spacing w:line="300" w:lineRule="exact"/>
            </w:pPr>
            <w:r>
              <w:rPr>
                <w:rFonts w:ascii="方正书宋_GBK"/>
              </w:rPr>
              <w:t>基层海事机构督查覆盖面</w:t>
            </w:r>
          </w:p>
        </w:tc>
        <w:tc>
          <w:tcPr>
            <w:vAlign w:val="center"/>
            <w:tcW w:w="0" w:type="nil"/>
          </w:tcPr>
          <w:p>
            <w:pPr>
              <w:pStyle w:val=""/>
              <w:jc w:val="center"/>
              <w:spacing w:line="300" w:lineRule="exact"/>
            </w:pPr>
            <w:r>
              <w:rPr>
                <w:rFonts w:ascii="方正书宋_GBK"/>
              </w:rPr>
              <w:t>80%-100%</w:t>
            </w:r>
          </w:p>
        </w:tc>
        <w:tc>
          <w:tcPr>
            <w:vAlign w:val="center"/>
            <w:tcW w:w="0" w:type="nil"/>
          </w:tcPr>
          <w:p>
            <w:pPr>
              <w:pStyle w:val=""/>
              <w:jc w:val="center"/>
              <w:spacing w:line="300" w:lineRule="exact"/>
            </w:pPr>
            <w:r>
              <w:rPr>
                <w:rFonts w:ascii="方正书宋_GBK"/>
              </w:rPr>
              <w:t>60-80%</w:t>
            </w:r>
          </w:p>
        </w:tc>
        <w:tc>
          <w:tcPr>
            <w:vAlign w:val="center"/>
            <w:tcW w:w="0" w:type="nil"/>
          </w:tcPr>
          <w:p>
            <w:pPr>
              <w:pStyle w:val=""/>
              <w:jc w:val="center"/>
              <w:spacing w:line="300" w:lineRule="exact"/>
            </w:pPr>
            <w:r>
              <w:rPr>
                <w:rFonts w:ascii="方正书宋_GBK"/>
              </w:rPr>
              <w:t>40%-60%</w:t>
            </w:r>
          </w:p>
        </w:tc>
        <w:tc>
          <w:tcPr>
            <w:vAlign w:val="center"/>
            <w:tcW w:w="0" w:type="nil"/>
          </w:tcPr>
          <w:p>
            <w:pPr>
              <w:pStyle w:val=""/>
              <w:jc w:val="center"/>
              <w:spacing w:line="300" w:lineRule="exact"/>
            </w:pPr>
            <w:r>
              <w:rPr>
                <w:rFonts w:ascii="方正书宋_GBK"/>
              </w:rPr>
              <w:t>40%</w:t>
            </w:r>
            <w:r>
              <w:rPr>
                <w:rFonts w:ascii="方正书宋_GBK"/>
              </w:rPr>
              <w:t>以下</w:t>
            </w:r>
          </w:p>
        </w:tc>
      </w:tr>
      <w:tr>
        <w:trPr>
          <w:trHeight w:val="227" w:hRule="atLeast"/>
        </w:trPr>
        <w:tc>
          <w:tcPr>
            <w:vAlign w:val="center"/>
            <w:tcW w:w="0" w:type="nil"/>
          </w:tcPr>
          <w:p>
            <w:pPr>
              <w:pStyle w:val=""/>
              <w:jc w:val="left"/>
              <w:spacing w:line="300" w:lineRule="exact"/>
            </w:pPr>
            <w:r>
              <w:rPr>
                <w:b/>
                <w:rFonts w:ascii="方正书宋_GBK"/>
              </w:rPr>
              <w:t>　　交通运输统计及调查</w:t>
            </w:r>
          </w:p>
        </w:tc>
        <w:tc>
          <w:tcPr>
            <w:vAlign w:val="center"/>
            <w:tcW w:w="0" w:type="nil"/>
          </w:tcPr>
          <w:p>
            <w:pPr>
              <w:pStyle w:val=""/>
              <w:jc w:val="left"/>
              <w:spacing w:line="300" w:lineRule="exact"/>
            </w:pPr>
          </w:p>
        </w:tc>
        <w:tc>
          <w:tcPr>
            <w:vAlign w:val="center"/>
            <w:tcW w:w="0" w:type="nil"/>
          </w:tcPr>
          <w:p>
            <w:pPr>
              <w:pStyle w:val=""/>
              <w:jc w:val="left"/>
              <w:spacing w:line="300" w:lineRule="exact"/>
            </w:pPr>
            <w:r>
              <w:rPr>
                <w:rFonts w:ascii="方正书宋_GBK"/>
              </w:rPr>
              <w:t>开展全县综合交通运输统计专项调查和研究，组织业务培训，统计、分析、评估、检测交通运输有关数据，发布相关信息。</w:t>
            </w:r>
          </w:p>
        </w:tc>
        <w:tc>
          <w:tcPr>
            <w:vAlign w:val="center"/>
            <w:tcW w:w="0" w:type="nil"/>
          </w:tcPr>
          <w:p>
            <w:pPr>
              <w:pStyle w:val=""/>
              <w:jc w:val="left"/>
              <w:spacing w:line="300" w:lineRule="exact"/>
            </w:pPr>
            <w:r>
              <w:rPr>
                <w:rFonts w:ascii="方正书宋_GBK"/>
              </w:rPr>
              <w:t>交通运输统计、调查业务顺利开展，按时完成工作，数据科学准确。</w:t>
            </w:r>
          </w:p>
        </w:tc>
        <w:tc>
          <w:tcPr>
            <w:vAlign w:val="center"/>
            <w:tcW w:w="0" w:type="nil"/>
          </w:tcPr>
          <w:p>
            <w:pPr>
              <w:pStyle w:val=""/>
              <w:jc w:val="left"/>
              <w:spacing w:line="300" w:lineRule="exact"/>
            </w:pPr>
            <w:r>
              <w:rPr>
                <w:rFonts w:ascii="方正书宋_GBK"/>
              </w:rPr>
              <w:t>工作完成率</w:t>
            </w:r>
            <w:r>
              <w:rPr>
                <w:rFonts w:ascii="方正书宋_GBK"/>
              </w:rPr>
              <w:t>95%</w:t>
            </w:r>
          </w:p>
        </w:tc>
        <w:tc>
          <w:tcPr>
            <w:vAlign w:val="center"/>
            <w:tcW w:w="0" w:type="nil"/>
          </w:tcPr>
          <w:p>
            <w:pPr>
              <w:pStyle w:val=""/>
              <w:jc w:val="center"/>
              <w:spacing w:line="300" w:lineRule="exact"/>
            </w:pPr>
            <w:r>
              <w:rPr>
                <w:rFonts w:ascii="方正书宋_GBK"/>
              </w:rPr>
              <w:t>100%</w:t>
            </w:r>
          </w:p>
        </w:tc>
        <w:tc>
          <w:tcPr>
            <w:vAlign w:val="center"/>
            <w:tcW w:w="0" w:type="nil"/>
          </w:tcPr>
          <w:p>
            <w:pPr>
              <w:pStyle w:val=""/>
              <w:jc w:val="center"/>
              <w:spacing w:line="300" w:lineRule="exact"/>
            </w:pPr>
          </w:p>
        </w:tc>
        <w:tc>
          <w:tcPr>
            <w:vAlign w:val="center"/>
            <w:tcW w:w="0" w:type="nil"/>
          </w:tcPr>
          <w:p>
            <w:pPr>
              <w:pStyle w:val=""/>
              <w:jc w:val="center"/>
              <w:spacing w:line="300" w:lineRule="exact"/>
            </w:pPr>
          </w:p>
        </w:tc>
        <w:tc>
          <w:tcPr>
            <w:vAlign w:val="center"/>
            <w:tcW w:w="0" w:type="nil"/>
          </w:tcPr>
          <w:p>
            <w:pPr>
              <w:pStyle w:val=""/>
              <w:jc w:val="center"/>
              <w:spacing w:line="300" w:lineRule="exact"/>
            </w:pPr>
            <w:r>
              <w:rPr>
                <w:rFonts w:ascii="方正书宋_GBK"/>
              </w:rPr>
              <w:t>低于</w:t>
            </w:r>
            <w:r>
              <w:rPr>
                <w:rFonts w:ascii="方正书宋_GBK"/>
              </w:rPr>
              <w:t>100%</w:t>
            </w:r>
          </w:p>
        </w:tc>
      </w:tr>
      <w:tr>
        <w:trPr>
          <w:trHeight w:val="227" w:hRule="atLeast"/>
        </w:trPr>
        <w:tc>
          <w:tcPr>
            <w:vAlign w:val="center"/>
            <w:tcW w:w="0" w:type="nil"/>
          </w:tcPr>
          <w:p>
            <w:pPr>
              <w:pStyle w:val=""/>
              <w:jc w:val="left"/>
              <w:spacing w:line="300" w:lineRule="exact"/>
            </w:pPr>
            <w:r>
              <w:rPr>
                <w:b/>
                <w:rFonts w:ascii="方正书宋_GBK"/>
              </w:rPr>
              <w:t>交通政务管理</w:t>
            </w:r>
          </w:p>
        </w:tc>
        <w:tc>
          <w:tcPr>
            <w:vAlign w:val="center"/>
            <w:tcW w:w="0" w:type="nil"/>
          </w:tcPr>
          <w:p>
            <w:pPr>
              <w:pStyle w:val=""/>
              <w:jc w:val="left"/>
              <w:spacing w:line="300" w:lineRule="exact"/>
            </w:pPr>
          </w:p>
        </w:tc>
        <w:tc>
          <w:tcPr>
            <w:vAlign w:val="center"/>
            <w:tcW w:w="0" w:type="nil"/>
          </w:tcPr>
          <w:p>
            <w:pPr>
              <w:pStyle w:val=""/>
              <w:jc w:val="left"/>
              <w:spacing w:line="300" w:lineRule="exact"/>
            </w:pPr>
            <w:r>
              <w:rPr>
                <w:rFonts w:ascii="方正书宋_GBK"/>
              </w:rPr>
              <w:t>负责交通运输综合交通运输体系建设，综合业务管理和综合事物管理。</w:t>
            </w:r>
          </w:p>
        </w:tc>
        <w:tc>
          <w:tcPr>
            <w:vAlign w:val="center"/>
            <w:tcW w:w="0" w:type="nil"/>
          </w:tcPr>
          <w:p>
            <w:pPr>
              <w:pStyle w:val=""/>
              <w:jc w:val="left"/>
              <w:spacing w:line="300" w:lineRule="exact"/>
            </w:pPr>
            <w:r>
              <w:rPr>
                <w:rFonts w:ascii="方正书宋_GBK"/>
              </w:rPr>
              <w:t>信息管理系统正常运行，修订公路定额，应急事项处理及时，各项事务运行正常。</w:t>
            </w:r>
          </w:p>
        </w:tc>
        <w:tc>
          <w:tcPr>
            <w:vAlign w:val="center"/>
            <w:tcW w:w="0" w:type="nil"/>
          </w:tcPr>
          <w:p>
            <w:pPr>
              <w:pStyle w:val=""/>
              <w:jc w:val="left"/>
              <w:spacing w:line="300" w:lineRule="exact"/>
            </w:pPr>
          </w:p>
        </w:tc>
        <w:tc>
          <w:tcPr>
            <w:vAlign w:val="center"/>
            <w:tcW w:w="0" w:type="nil"/>
          </w:tcPr>
          <w:p>
            <w:pPr>
              <w:pStyle w:val=""/>
              <w:jc w:val="center"/>
              <w:spacing w:line="300" w:lineRule="exact"/>
            </w:pPr>
          </w:p>
        </w:tc>
        <w:tc>
          <w:tcPr>
            <w:vAlign w:val="center"/>
            <w:tcW w:w="0" w:type="nil"/>
          </w:tcPr>
          <w:p>
            <w:pPr>
              <w:pStyle w:val=""/>
              <w:jc w:val="center"/>
              <w:spacing w:line="300" w:lineRule="exact"/>
            </w:pPr>
          </w:p>
        </w:tc>
        <w:tc>
          <w:tcPr>
            <w:vAlign w:val="center"/>
            <w:tcW w:w="0" w:type="nil"/>
          </w:tcPr>
          <w:p>
            <w:pPr>
              <w:pStyle w:val=""/>
              <w:jc w:val="center"/>
              <w:spacing w:line="300" w:lineRule="exact"/>
            </w:pPr>
          </w:p>
        </w:tc>
        <w:tc>
          <w:tcPr>
            <w:vAlign w:val="center"/>
            <w:tcW w:w="0" w:type="nil"/>
          </w:tcPr>
          <w:p>
            <w:pPr>
              <w:pStyle w:val=""/>
              <w:jc w:val="center"/>
              <w:spacing w:line="300" w:lineRule="exact"/>
            </w:pPr>
          </w:p>
        </w:tc>
      </w:tr>
      <w:tr>
        <w:trPr>
          <w:trHeight w:val="227" w:hRule="atLeast"/>
        </w:trPr>
        <w:tc>
          <w:tcPr>
            <w:vAlign w:val="center"/>
            <w:tcW w:w="0" w:type="nil"/>
          </w:tcPr>
          <w:p>
            <w:pPr>
              <w:pStyle w:val=""/>
              <w:jc w:val="left"/>
              <w:spacing w:line="300" w:lineRule="exact"/>
            </w:pPr>
            <w:r>
              <w:rPr>
                <w:b/>
                <w:rFonts w:ascii="方正书宋_GBK"/>
              </w:rPr>
              <w:t>　　综合业务管理</w:t>
            </w:r>
          </w:p>
        </w:tc>
        <w:tc>
          <w:tcPr>
            <w:vAlign w:val="center"/>
            <w:tcW w:w="0" w:type="nil"/>
          </w:tcPr>
          <w:p>
            <w:pPr>
              <w:pStyle w:val=""/>
              <w:jc w:val="left"/>
              <w:spacing w:line="300" w:lineRule="exact"/>
            </w:pPr>
          </w:p>
        </w:tc>
        <w:tc>
          <w:tcPr>
            <w:vAlign w:val="center"/>
            <w:tcW w:w="0" w:type="nil"/>
          </w:tcPr>
          <w:p>
            <w:pPr>
              <w:pStyle w:val=""/>
              <w:jc w:val="left"/>
              <w:spacing w:line="300" w:lineRule="exact"/>
            </w:pPr>
            <w:r>
              <w:rPr>
                <w:rFonts w:ascii="方正书宋_GBK"/>
              </w:rPr>
              <w:t>组织拟订全县综合交通运输发展战略和政策；组织起草地方性法规和规章草案，开展行业政策研究，拟定行业标准，指导交通信息化建设，制订全县交通运输行业科技政策、组织科技开发。指导交通运输行业继续教育和中等专业技术教育，开展行业干部教育培训。指导行业体制改革、安全生产和应急管理等</w:t>
            </w:r>
          </w:p>
        </w:tc>
        <w:tc>
          <w:tcPr>
            <w:vAlign w:val="center"/>
            <w:tcW w:w="0" w:type="nil"/>
          </w:tcPr>
          <w:p>
            <w:pPr>
              <w:pStyle w:val=""/>
              <w:jc w:val="left"/>
              <w:spacing w:line="300" w:lineRule="exact"/>
            </w:pPr>
            <w:r>
              <w:rPr>
                <w:rFonts w:ascii="方正书宋_GBK"/>
              </w:rPr>
              <w:t>保障各项业务工作畅通</w:t>
            </w:r>
          </w:p>
        </w:tc>
        <w:tc>
          <w:tcPr>
            <w:vAlign w:val="center"/>
            <w:tcW w:w="0" w:type="nil"/>
          </w:tcPr>
          <w:p>
            <w:pPr>
              <w:pStyle w:val=""/>
              <w:jc w:val="left"/>
              <w:spacing w:line="300" w:lineRule="exact"/>
            </w:pPr>
            <w:r>
              <w:rPr>
                <w:rFonts w:ascii="方正书宋_GBK"/>
              </w:rPr>
              <w:t>综合业务保障率</w:t>
            </w:r>
            <w:r>
              <w:rPr>
                <w:rFonts w:ascii="方正书宋_GBK"/>
              </w:rPr>
              <w:t>95%</w:t>
            </w:r>
          </w:p>
        </w:tc>
        <w:tc>
          <w:tcPr>
            <w:vAlign w:val="center"/>
            <w:tcW w:w="0" w:type="nil"/>
          </w:tcPr>
          <w:p>
            <w:pPr>
              <w:pStyle w:val=""/>
              <w:jc w:val="center"/>
              <w:spacing w:line="300" w:lineRule="exact"/>
            </w:pPr>
            <w:r>
              <w:rPr>
                <w:rFonts w:ascii="方正书宋_GBK"/>
              </w:rPr>
              <w:t>90%</w:t>
            </w:r>
          </w:p>
        </w:tc>
        <w:tc>
          <w:tcPr>
            <w:vAlign w:val="center"/>
            <w:tcW w:w="0" w:type="nil"/>
          </w:tcPr>
          <w:p>
            <w:pPr>
              <w:pStyle w:val=""/>
              <w:jc w:val="center"/>
              <w:spacing w:line="300" w:lineRule="exact"/>
            </w:pPr>
            <w:r>
              <w:rPr>
                <w:rFonts w:ascii="方正书宋_GBK"/>
              </w:rPr>
              <w:t>0.8</w:t>
            </w:r>
          </w:p>
        </w:tc>
        <w:tc>
          <w:tcPr>
            <w:vAlign w:val="center"/>
            <w:tcW w:w="0" w:type="nil"/>
          </w:tcPr>
          <w:p>
            <w:pPr>
              <w:pStyle w:val=""/>
              <w:jc w:val="center"/>
              <w:spacing w:line="300" w:lineRule="exact"/>
            </w:pPr>
            <w:r>
              <w:rPr>
                <w:rFonts w:ascii="方正书宋_GBK"/>
              </w:rPr>
              <w:t>0.7</w:t>
            </w:r>
          </w:p>
        </w:tc>
        <w:tc>
          <w:tcPr>
            <w:vAlign w:val="center"/>
            <w:tcW w:w="0" w:type="nil"/>
          </w:tcPr>
          <w:p>
            <w:pPr>
              <w:pStyle w:val=""/>
              <w:jc w:val="center"/>
              <w:spacing w:line="300" w:lineRule="exact"/>
            </w:pPr>
            <w:r>
              <w:rPr>
                <w:rFonts w:ascii="方正书宋_GBK"/>
              </w:rPr>
              <w:t>70%</w:t>
            </w:r>
            <w:r>
              <w:rPr>
                <w:rFonts w:ascii="方正书宋_GBK"/>
              </w:rPr>
              <w:t>以下</w:t>
            </w:r>
          </w:p>
        </w:tc>
      </w:tr>
      <w:tr>
        <w:trPr>
          <w:trHeight w:val="227" w:hRule="atLeast"/>
        </w:trPr>
        <w:tc>
          <w:tcPr>
            <w:vAlign w:val="center"/>
            <w:tcW w:w="0" w:type="nil"/>
          </w:tcPr>
          <w:p>
            <w:pPr>
              <w:pStyle w:val=""/>
              <w:jc w:val="left"/>
              <w:spacing w:line="300" w:lineRule="exact"/>
            </w:pPr>
            <w:r>
              <w:rPr>
                <w:b/>
                <w:rFonts w:ascii="方正书宋_GBK"/>
              </w:rPr>
              <w:t>　　综合事务管理</w:t>
            </w:r>
          </w:p>
        </w:tc>
        <w:tc>
          <w:tcPr>
            <w:vAlign w:val="center"/>
            <w:tcW w:w="0" w:type="nil"/>
          </w:tcPr>
          <w:p>
            <w:pPr>
              <w:pStyle w:val=""/>
              <w:jc w:val="left"/>
              <w:spacing w:line="300" w:lineRule="exact"/>
            </w:pPr>
          </w:p>
        </w:tc>
        <w:tc>
          <w:tcPr>
            <w:vAlign w:val="center"/>
            <w:tcW w:w="0" w:type="nil"/>
          </w:tcPr>
          <w:p>
            <w:pPr>
              <w:pStyle w:val=""/>
              <w:jc w:val="left"/>
              <w:spacing w:line="300" w:lineRule="exact"/>
            </w:pPr>
            <w:r>
              <w:rPr>
                <w:rFonts w:ascii="方正书宋_GBK"/>
              </w:rPr>
              <w:t>管理交通国有资产，筹措、管理、监督交通建设专项资金，开展基本建设项目绩效监督管理工作和行业内部审计工作，承担国防交通战备工作，指导行业交通公安工作及行业精神文明建设，组织开展宣传工作和行业工会工作；负责行业涉外事宜，开展国际交通运输经济技术合作与交流，保障交通建设后勤工作。</w:t>
            </w:r>
          </w:p>
        </w:tc>
        <w:tc>
          <w:tcPr>
            <w:vAlign w:val="center"/>
            <w:tcW w:w="0" w:type="nil"/>
          </w:tcPr>
          <w:p>
            <w:pPr>
              <w:pStyle w:val=""/>
              <w:jc w:val="left"/>
              <w:spacing w:line="300" w:lineRule="exact"/>
            </w:pPr>
            <w:r>
              <w:rPr>
                <w:rFonts w:ascii="方正书宋_GBK"/>
              </w:rPr>
              <w:t>保障机关正常工作高效运转</w:t>
            </w:r>
          </w:p>
        </w:tc>
        <w:tc>
          <w:tcPr>
            <w:vAlign w:val="center"/>
            <w:tcW w:w="0" w:type="nil"/>
          </w:tcPr>
          <w:p>
            <w:pPr>
              <w:pStyle w:val=""/>
              <w:jc w:val="left"/>
              <w:spacing w:line="300" w:lineRule="exact"/>
            </w:pPr>
            <w:r>
              <w:rPr>
                <w:rFonts w:ascii="方正书宋_GBK"/>
              </w:rPr>
              <w:t>综合事务保障率</w:t>
            </w:r>
            <w:r>
              <w:rPr>
                <w:rFonts w:ascii="方正书宋_GBK"/>
              </w:rPr>
              <w:t>95%</w:t>
            </w:r>
          </w:p>
        </w:tc>
        <w:tc>
          <w:tcPr>
            <w:vAlign w:val="center"/>
            <w:tcW w:w="0" w:type="nil"/>
          </w:tcPr>
          <w:p>
            <w:pPr>
              <w:pStyle w:val=""/>
              <w:jc w:val="center"/>
              <w:spacing w:line="300" w:lineRule="exact"/>
            </w:pPr>
            <w:r>
              <w:rPr>
                <w:rFonts w:ascii="方正书宋_GBK"/>
              </w:rPr>
              <w:t>90%</w:t>
            </w:r>
          </w:p>
        </w:tc>
        <w:tc>
          <w:tcPr>
            <w:vAlign w:val="center"/>
            <w:tcW w:w="0" w:type="nil"/>
          </w:tcPr>
          <w:p>
            <w:pPr>
              <w:pStyle w:val=""/>
              <w:jc w:val="center"/>
              <w:spacing w:line="300" w:lineRule="exact"/>
            </w:pPr>
            <w:r>
              <w:rPr>
                <w:rFonts w:ascii="方正书宋_GBK"/>
              </w:rPr>
              <w:t>0.8</w:t>
            </w:r>
          </w:p>
        </w:tc>
        <w:tc>
          <w:tcPr>
            <w:vAlign w:val="center"/>
            <w:tcW w:w="0" w:type="nil"/>
          </w:tcPr>
          <w:p>
            <w:pPr>
              <w:pStyle w:val=""/>
              <w:jc w:val="center"/>
              <w:spacing w:line="300" w:lineRule="exact"/>
            </w:pPr>
            <w:r>
              <w:rPr>
                <w:rFonts w:ascii="方正书宋_GBK"/>
              </w:rPr>
              <w:t>0.7</w:t>
            </w:r>
          </w:p>
        </w:tc>
        <w:tc>
          <w:tcPr>
            <w:vAlign w:val="center"/>
            <w:tcW w:w="0" w:type="nil"/>
          </w:tcPr>
          <w:p>
            <w:pPr>
              <w:pStyle w:val=""/>
              <w:jc w:val="center"/>
              <w:spacing w:line="300" w:lineRule="exact"/>
            </w:pPr>
            <w:r>
              <w:rPr>
                <w:rFonts w:ascii="方正书宋_GBK"/>
              </w:rPr>
              <w:t>70%</w:t>
            </w:r>
            <w:r>
              <w:rPr>
                <w:rFonts w:ascii="方正书宋_GBK"/>
              </w:rPr>
              <w:t>以下</w:t>
            </w:r>
          </w:p>
        </w:tc>
      </w:tr>
      <w:tr>
        <w:trPr>
          <w:trHeight w:val="227" w:hRule="atLeast"/>
        </w:trPr>
        <w:tc>
          <w:tcPr>
            <w:gridSpan w:val="5"/>
            <w:tcBorders>
              <w:top w:val="single" w:sz="6" w:color="FFFFFF" w:space="0"/>
              <w:left w:val="single" w:sz="6" w:color="FFFFFF" w:space="0"/>
              <w:right w:val="single" w:sz="6" w:color="FFFFFF" w:space="0"/>
            </w:tcBorders>
            <w:vAlign w:val="center"/>
            <w:tcW w:w="0" w:type="nil"/>
          </w:tcPr>
          <w:p>
            <w:pPr>
              <w:pStyle w:val=""/>
              <w:jc w:val="left"/>
              <w:spacing w:line="300" w:lineRule="exact"/>
              <w:rPr>
                <w:rFonts w:ascii="方正小标宋_GBK"/>
                <w:sz w:val="24"/>
              </w:rPr>
            </w:pPr>
            <w:r>
              <w:rPr>
                <w:rFonts w:ascii="方正小标宋_GBK"/>
                <w:sz w:val="24"/>
              </w:rPr>
              <w:t>3</w:t>
            </w:r>
            <w:r>
              <w:rPr>
                <w:rFonts w:ascii="方正小标宋_GBK"/>
                <w:sz w:val="24"/>
              </w:rPr>
              <w:t xml:space="preserve"> </w:t>
            </w:r>
          </w:p>
          <w:p>
            <w:pPr>
              <w:pStyle w:val=""/>
              <w:jc w:val="left"/>
              <w:spacing w:line="300" w:lineRule="exact"/>
            </w:pPr>
          </w:p>
        </w:tc>
        <w:tc>
          <w:tcPr>
            <w:gridSpan w:val="4"/>
            <w:tcBorders>
              <w:top w:val="single" w:sz="6" w:color="FFFFFF" w:space="0"/>
              <w:left w:val="single" w:sz="6" w:color="FFFFFF" w:space="0"/>
              <w:right w:val="single" w:sz="6" w:color="FFFFFF" w:space="0"/>
            </w:tcBorders>
            <w:vAlign w:val="center"/>
            <w:tcW w:w="0" w:type="nil"/>
          </w:tcPr>
          <w:p>
            <w:pPr>
              <w:pStyle w:val=""/>
              <w:jc w:val="right"/>
              <w:spacing w:line="300" w:lineRule="exact"/>
            </w:pPr>
          </w:p>
        </w:tc>
      </w:tr>
    </w:tbl>
    <w:p>
      <w:pPr>
        <w:pStyle w:val=""/>
        <w:jc w:val="left"/>
        <w:spacing w:line="300" w:lineRule="exact"/>
        <w:sectPr>
          <w:pgSz w:w="16839" w:h="11907"/>
          <w:pgMar w:left="1361" w:right="1361" w:top="1020" w:bottom="1020"/>
        </w:sectPr>
      </w:pPr>
    </w:p>
    <w:p>
      <w:pPr>
        <w:pStyle w:val=""/>
        <w:jc w:val="center"/>
        <w:rPr>
          <w:rFonts w:ascii="黑体" w:hAnsi="黑体"/>
          <w:sz w:val="32"/>
          <w:szCs w:val="32"/>
        </w:rPr>
      </w:pPr>
      <w:r>
        <w:rPr>
          <w:rFonts w:ascii="黑体" w:hAnsi="黑体"/>
          <w:sz w:val="32"/>
          <w:szCs w:val="32"/>
        </w:rPr>
        <w:t>第六部分：政府采购预算情况</w:t>
      </w:r>
    </w:p>
    <w:p>
      <w:pPr>
        <w:pStyle w:val=""/>
        <w:jc w:val="left"/>
        <w:spacing w:line="300" w:lineRule="exact"/>
        <w:rPr>
          <w:rFonts w:ascii="仿宋_GB2312" w:hAnsi="仿宋"/>
          <w:sz w:val="32"/>
          <w:szCs w:val="32"/>
        </w:rPr>
      </w:pPr>
    </w:p>
    <w:p>
      <w:pPr>
        <w:pStyle w:val=""/>
        <w:jc w:val="left"/>
        <w:spacing w:line="300" w:lineRule="exact"/>
        <w:sectPr>
          <w:pgSz w:w="16839" w:h="11907"/>
          <w:pgMar w:left="1020" w:right="1020" w:top="1361" w:bottom="1361"/>
        </w:sectPr>
      </w:pPr>
      <w:r>
        <w:rPr>
          <w:rFonts w:ascii="仿宋_GB2312" w:hAnsi="仿宋"/>
          <w:sz w:val="32"/>
          <w:szCs w:val="32"/>
        </w:rPr>
        <w:t xml:space="preserve">      2017年，我部门无政府采购预算。</w:t>
      </w:r>
    </w:p>
    <w:p>
      <w:pPr>
        <w:pStyle w:val=""/>
        <w:jc w:val="center"/>
        <w:rPr>
          <w:rFonts w:ascii="黑体" w:hAnsi="黑体"/>
          <w:sz w:val="32"/>
          <w:szCs w:val="32"/>
        </w:rPr>
      </w:pPr>
      <w:r>
        <w:rPr>
          <w:rFonts w:ascii="黑体" w:hAnsi="黑体"/>
          <w:sz w:val="32"/>
          <w:szCs w:val="32"/>
        </w:rPr>
        <w:t>第七部分：国有资产信息情况说明</w:t>
      </w:r>
    </w:p>
    <w:p>
      <w:pPr>
        <w:pStyle w:val=""/>
        <w:rPr>
          <w:rFonts w:ascii="宋体" w:hAnsi="宋体"/>
          <w:sz w:val="32"/>
          <w:szCs w:val="32"/>
        </w:rPr>
      </w:pPr>
      <w:r>
        <w:rPr>
          <w:rFonts w:ascii="宋体" w:hAnsi="宋体"/>
          <w:sz w:val="32"/>
          <w:szCs w:val="32"/>
        </w:rPr>
        <w:t xml:space="preserve">  </w:t>
      </w:r>
    </w:p>
    <w:p>
      <w:pPr>
        <w:pStyle w:val=""/>
        <w:ind w:firstLine="640"/>
        <w:rPr>
          <w:color w:val="000000"/>
          <w:rFonts w:ascii="仿宋_GB2312" w:hAnsi="宋体"/>
          <w:sz w:val="32"/>
          <w:szCs w:val="32"/>
        </w:rPr>
      </w:pPr>
      <w:r>
        <w:rPr>
          <w:rFonts w:ascii="仿宋_GB2312" w:hAnsi="仿宋"/>
          <w:sz w:val="32"/>
          <w:szCs w:val="32"/>
        </w:rPr>
        <w:t>涞源县交通运输局（含所属部门）2016年末固定资产总金额</w:t>
      </w:r>
      <w:r>
        <w:rPr>
          <w:color w:val="000000"/>
          <w:rFonts w:ascii="仿宋_GB2312"/>
          <w:sz w:val="32"/>
          <w:szCs w:val="32"/>
        </w:rPr>
        <w:t>873.42</w:t>
      </w:r>
      <w:r>
        <w:rPr>
          <w:rFonts w:ascii="仿宋_GB2312" w:hAnsi="仿宋"/>
          <w:sz w:val="32"/>
          <w:szCs w:val="32"/>
        </w:rPr>
        <w:t>万元（详见下表）。</w:t>
      </w:r>
      <w:r>
        <w:rPr>
          <w:rFonts w:ascii="仿宋" w:hAnsi="仿宋"/>
          <w:sz w:val="32"/>
          <w:szCs w:val="32"/>
        </w:rPr>
        <w:t>2017年无拟购置情况。</w:t>
      </w:r>
    </w:p>
    <w:tbl>
      <w:tblPr>
        <w:tblInd w:w="-15" w:type="dxa"/>
        <w:tblStyle w:val="普通表格"/>
        <w:tblLook w:val="1E0"/>
      </w:tblPr>
      <w:tblGrid>
        <w:gridCol w:w="3811"/>
        <w:gridCol w:w="1591"/>
        <w:gridCol w:w="3402"/>
      </w:tblGrid>
      <w:tr>
        <w:trPr>
          <w:trHeight w:val="675" w:hRule="atLeast"/>
        </w:trPr>
        <w:tc>
          <w:tcPr>
            <w:gridSpan w:val="3"/>
            <w:tcBorders>
              <w:top w:val="nil" w:sz="0" w:color="auto" w:space="0"/>
              <w:bottom w:val="nil" w:sz="0" w:color="auto" w:space="0"/>
              <w:left w:val="nil" w:sz="0" w:color="auto" w:space="0"/>
              <w:right w:val="nil" w:sz="0" w:color="auto" w:space="0"/>
            </w:tcBorders>
            <w:vAlign w:val="center"/>
            <w:tcW w:w="0" w:type="nil"/>
          </w:tcPr>
          <w:p>
            <w:pPr>
              <w:pStyle w:val=""/>
              <w:jc w:val="center"/>
            </w:pPr>
            <w:r>
              <w:rPr>
                <w:rFonts w:ascii="仿宋" w:hAnsi="仿宋"/>
                <w:sz w:val="32"/>
                <w:szCs w:val="32"/>
              </w:rPr>
              <w:t>涞源县交通运输局固定资产占用情况表</w:t>
            </w:r>
          </w:p>
        </w:tc>
      </w:tr>
      <w:tr>
        <w:trPr>
          <w:trHeight w:val="465" w:hRule="atLeast"/>
        </w:trPr>
        <w:tc>
          <w:tcPr>
            <w:gridSpan w:val="3"/>
            <w:tcBorders>
              <w:top w:val="nil" w:sz="0" w:color="auto" w:space="0"/>
              <w:bottom w:val="single" w:sz="4" w:color="000000" w:space="0"/>
              <w:left w:val="nil" w:sz="0" w:color="auto" w:space="0"/>
              <w:right w:val="nil" w:sz="0" w:color="auto" w:space="0"/>
            </w:tcBorders>
            <w:vAlign w:val="center"/>
            <w:tcW w:w="0" w:type="nil"/>
          </w:tcPr>
          <w:p>
            <w:pPr>
              <w:pStyle w:val=""/>
              <w:jc w:val="center"/>
            </w:pPr>
            <w:r>
              <w:rPr>
                <w:color w:val="000000"/>
                <w:rFonts w:ascii="仿宋_GB2312" w:hAnsi="宋体"/>
                <w:sz w:val="32"/>
                <w:szCs w:val="32"/>
              </w:rPr>
              <w:t xml:space="preserve">                           截止时间：2016年12月31日</w:t>
            </w:r>
          </w:p>
        </w:tc>
      </w:tr>
      <w:tr>
        <w:trPr>
          <w:trHeight w:val="750" w:hRule="atLeast"/>
        </w:trPr>
        <w:tc>
          <w:tcPr>
            <w:tcBorders>
              <w:top w:val="nil" w:sz="0" w:color="auto" w:space="0"/>
              <w:bottom w:val="single" w:sz="4" w:color="000000" w:space="0"/>
              <w:left w:val="single" w:sz="4" w:color="000000" w:space="0"/>
              <w:right w:val="single" w:sz="4" w:color="000000" w:space="0"/>
            </w:tcBorders>
            <w:vAlign w:val="center"/>
            <w:tcW w:w="0" w:type="nil"/>
          </w:tcPr>
          <w:p>
            <w:pPr>
              <w:pStyle w:val=""/>
              <w:jc w:val="center"/>
            </w:pPr>
            <w:r>
              <w:rPr>
                <w:b/>
                <w:color w:val="000000"/>
                <w:rFonts w:ascii="宋体" w:hAnsi="宋体"/>
                <w:sz w:val="24"/>
                <w:szCs w:val="24"/>
              </w:rPr>
              <w:t>项　　目</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b/>
                <w:color w:val="000000"/>
                <w:rFonts w:ascii="宋体" w:hAnsi="宋体"/>
                <w:sz w:val="24"/>
                <w:szCs w:val="24"/>
              </w:rPr>
              <w:t>数量</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b/>
                <w:color w:val="000000"/>
                <w:rFonts w:ascii="宋体" w:hAnsi="宋体"/>
                <w:sz w:val="24"/>
                <w:szCs w:val="24"/>
              </w:rPr>
              <w:t>价值（单位：万元）</w:t>
            </w:r>
          </w:p>
        </w:tc>
      </w:tr>
      <w:tr>
        <w:trPr>
          <w:trHeight w:val="495" w:hRule="atLeast"/>
        </w:trPr>
        <w:tc>
          <w:tcPr>
            <w:tcBorders>
              <w:top w:val="nil" w:sz="0" w:color="auto" w:space="0"/>
              <w:bottom w:val="single" w:sz="4" w:color="000000" w:space="0"/>
              <w:left w:val="single" w:sz="4" w:color="000000" w:space="0"/>
              <w:right w:val="single" w:sz="4" w:color="000000" w:space="0"/>
            </w:tcBorders>
            <w:vAlign w:val="center"/>
            <w:tcW w:w="0" w:type="nil"/>
          </w:tcPr>
          <w:p>
            <w:pPr>
              <w:pStyle w:val=""/>
              <w:jc w:val="center"/>
            </w:pPr>
            <w:r>
              <w:rPr>
                <w:b/>
                <w:color w:val="000000"/>
                <w:rFonts w:ascii="宋体" w:hAnsi="宋体"/>
                <w:sz w:val="24"/>
                <w:szCs w:val="24"/>
              </w:rPr>
              <w:t>固定资产总额</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color w:val="000000"/>
                <w:rFonts w:ascii="宋体" w:hAnsi="宋体"/>
                <w:sz w:val="24"/>
                <w:szCs w:val="24"/>
              </w:rPr>
              <w:t>—</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b/>
                <w:color w:val="000000"/>
                <w:rFonts w:ascii="宋体" w:hAnsi="宋体"/>
                <w:sz w:val="24"/>
                <w:szCs w:val="24"/>
              </w:rPr>
              <w:t>873.42</w:t>
            </w:r>
          </w:p>
        </w:tc>
      </w:tr>
      <w:tr>
        <w:trPr>
          <w:trHeight w:val="483" w:hRule="atLeast"/>
        </w:trPr>
        <w:tc>
          <w:tcPr>
            <w:tcBorders>
              <w:top w:val="nil" w:sz="0" w:color="auto" w:space="0"/>
              <w:bottom w:val="single" w:sz="4" w:color="000000" w:space="0"/>
              <w:left w:val="single" w:sz="4" w:color="000000" w:space="0"/>
              <w:right w:val="single" w:sz="4" w:color="000000" w:space="0"/>
            </w:tcBorders>
            <w:vAlign w:val="center"/>
            <w:tcW w:w="0" w:type="nil"/>
          </w:tcPr>
          <w:p>
            <w:pPr>
              <w:pStyle w:val=""/>
              <w:jc w:val="left"/>
            </w:pPr>
            <w:r>
              <w:rPr>
                <w:color w:val="000000"/>
                <w:rFonts w:ascii="宋体" w:hAnsi="宋体"/>
                <w:sz w:val="24"/>
                <w:szCs w:val="24"/>
              </w:rPr>
              <w:t xml:space="preserve">  1、房屋（平方米）</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color w:val="000000"/>
                <w:rFonts w:ascii="宋体" w:hAnsi="宋体"/>
                <w:sz w:val="24"/>
                <w:szCs w:val="24"/>
              </w:rPr>
              <w:t>2834</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color w:val="000000"/>
                <w:rFonts w:ascii="宋体" w:hAnsi="宋体"/>
                <w:sz w:val="24"/>
                <w:szCs w:val="24"/>
              </w:rPr>
              <w:t>406.82</w:t>
            </w:r>
          </w:p>
        </w:tc>
      </w:tr>
      <w:tr>
        <w:trPr>
          <w:trHeight w:val="419" w:hRule="atLeast"/>
        </w:trPr>
        <w:tc>
          <w:tcPr>
            <w:tcBorders>
              <w:top w:val="single" w:sz="4" w:color="000000" w:space="0"/>
              <w:bottom w:val="single" w:sz="4" w:color="000000" w:space="0"/>
              <w:left w:val="single" w:sz="4" w:color="000000" w:space="0"/>
              <w:right w:val="single" w:sz="4" w:color="000000" w:space="0"/>
            </w:tcBorders>
            <w:vAlign w:val="center"/>
            <w:tcW w:w="0" w:type="nil"/>
          </w:tcPr>
          <w:p>
            <w:pPr>
              <w:pStyle w:val=""/>
              <w:jc w:val="left"/>
            </w:pPr>
            <w:r>
              <w:rPr>
                <w:color w:val="000000"/>
                <w:rFonts w:ascii="宋体" w:hAnsi="宋体"/>
                <w:sz w:val="24"/>
                <w:szCs w:val="24"/>
              </w:rPr>
              <w:t xml:space="preserve">   其中：办公用房（平方米）</w:t>
            </w:r>
          </w:p>
        </w:tc>
        <w:tc>
          <w:tcPr>
            <w:tcBorders>
              <w:top w:val="single" w:sz="4" w:color="000000" w:space="0"/>
              <w:bottom w:val="single" w:sz="4" w:color="000000" w:space="0"/>
              <w:left w:val="nil" w:sz="0" w:color="auto" w:space="0"/>
              <w:right w:val="single" w:sz="4" w:color="000000" w:space="0"/>
            </w:tcBorders>
            <w:vAlign w:val="center"/>
            <w:tcW w:w="0" w:type="nil"/>
          </w:tcPr>
          <w:p>
            <w:pPr>
              <w:pStyle w:val=""/>
              <w:jc w:val="center"/>
            </w:pPr>
            <w:r>
              <w:rPr>
                <w:color w:val="000000"/>
                <w:rFonts w:ascii="宋体" w:hAnsi="宋体"/>
                <w:sz w:val="24"/>
                <w:szCs w:val="24"/>
              </w:rPr>
              <w:t>2834</w:t>
            </w:r>
          </w:p>
        </w:tc>
        <w:tc>
          <w:tcPr>
            <w:tcBorders>
              <w:top w:val="single" w:sz="4" w:color="000000" w:space="0"/>
              <w:bottom w:val="single" w:sz="4" w:color="000000" w:space="0"/>
              <w:left w:val="nil" w:sz="0" w:color="auto" w:space="0"/>
              <w:right w:val="single" w:sz="4" w:color="000000" w:space="0"/>
            </w:tcBorders>
            <w:vAlign w:val="center"/>
            <w:tcW w:w="0" w:type="nil"/>
          </w:tcPr>
          <w:p>
            <w:pPr>
              <w:pStyle w:val=""/>
              <w:jc w:val="center"/>
            </w:pPr>
            <w:r>
              <w:rPr>
                <w:color w:val="000000"/>
                <w:rFonts w:ascii="宋体" w:hAnsi="宋体"/>
                <w:sz w:val="24"/>
                <w:szCs w:val="24"/>
              </w:rPr>
              <w:t>406.82</w:t>
            </w:r>
          </w:p>
        </w:tc>
      </w:tr>
      <w:tr>
        <w:trPr>
          <w:trHeight w:val="495" w:hRule="atLeast"/>
        </w:trPr>
        <w:tc>
          <w:tcPr>
            <w:tcBorders>
              <w:top w:val="nil" w:sz="0" w:color="auto" w:space="0"/>
              <w:bottom w:val="single" w:sz="4" w:color="000000" w:space="0"/>
              <w:left w:val="single" w:sz="4" w:color="000000" w:space="0"/>
              <w:right w:val="single" w:sz="4" w:color="000000" w:space="0"/>
            </w:tcBorders>
            <w:vAlign w:val="center"/>
            <w:tcW w:w="0" w:type="nil"/>
          </w:tcPr>
          <w:p>
            <w:pPr>
              <w:pStyle w:val=""/>
              <w:jc w:val="left"/>
            </w:pPr>
            <w:r>
              <w:rPr>
                <w:color w:val="000000"/>
                <w:rFonts w:ascii="宋体" w:hAnsi="宋体"/>
                <w:sz w:val="24"/>
                <w:szCs w:val="24"/>
              </w:rPr>
              <w:t xml:space="preserve">  2、车辆（台、辆）</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color w:val="000000"/>
                <w:rFonts w:ascii="宋体" w:hAnsi="宋体"/>
                <w:sz w:val="24"/>
                <w:szCs w:val="24"/>
              </w:rPr>
              <w:t>35</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color w:val="000000"/>
                <w:rFonts w:ascii="宋体" w:hAnsi="宋体"/>
                <w:sz w:val="24"/>
                <w:szCs w:val="24"/>
              </w:rPr>
              <w:t>202.42</w:t>
            </w:r>
          </w:p>
        </w:tc>
      </w:tr>
      <w:tr>
        <w:trPr>
          <w:trHeight w:val="611" w:hRule="atLeast"/>
        </w:trPr>
        <w:tc>
          <w:tcPr>
            <w:tcBorders>
              <w:top w:val="nil" w:sz="0" w:color="auto" w:space="0"/>
              <w:bottom w:val="single" w:sz="4" w:color="000000" w:space="0"/>
              <w:left w:val="single" w:sz="4" w:color="000000" w:space="0"/>
              <w:right w:val="single" w:sz="4" w:color="000000" w:space="0"/>
            </w:tcBorders>
            <w:vAlign w:val="center"/>
            <w:tcW w:w="0" w:type="nil"/>
          </w:tcPr>
          <w:p>
            <w:pPr>
              <w:pStyle w:val=""/>
              <w:jc w:val="left"/>
            </w:pPr>
            <w:r>
              <w:rPr>
                <w:color w:val="000000"/>
                <w:rFonts w:ascii="宋体" w:hAnsi="宋体"/>
                <w:sz w:val="24"/>
                <w:szCs w:val="24"/>
              </w:rPr>
              <w:t xml:space="preserve">  3、单价在20万元以上的设备</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color w:val="000000"/>
                <w:rFonts w:ascii="宋体" w:hAnsi="宋体"/>
                <w:sz w:val="24"/>
                <w:szCs w:val="24"/>
              </w:rPr>
              <w:t>—</w:t>
            </w:r>
          </w:p>
        </w:tc>
        <w:tc>
          <w:tcPr>
            <w:tcBorders>
              <w:top w:val="nil" w:sz="0" w:color="auto" w:space="0"/>
              <w:bottom w:val="single" w:sz="4" w:color="000000" w:space="0"/>
              <w:left w:val="nil" w:sz="0" w:color="auto" w:space="0"/>
              <w:right w:val="single" w:sz="4" w:color="000000" w:space="0"/>
            </w:tcBorders>
            <w:vAlign w:val="center"/>
            <w:tcW w:w="0" w:type="nil"/>
          </w:tcPr>
          <w:p>
            <w:pPr>
              <w:pStyle w:val=""/>
              <w:jc w:val="center"/>
            </w:pPr>
            <w:r>
              <w:rPr>
                <w:color w:val="000000"/>
                <w:rFonts w:ascii="宋体" w:hAnsi="宋体"/>
                <w:sz w:val="24"/>
                <w:szCs w:val="24"/>
              </w:rPr>
              <w:t>0.00</w:t>
            </w:r>
          </w:p>
        </w:tc>
      </w:tr>
      <w:tr>
        <w:trPr>
          <w:trHeight w:val="432" w:hRule="atLeast"/>
        </w:trPr>
        <w:tc>
          <w:tcPr>
            <w:tcBorders>
              <w:top w:val="single" w:sz="4" w:color="000000" w:space="0"/>
              <w:bottom w:val="single" w:sz="4" w:color="000000" w:space="0"/>
              <w:left w:val="single" w:sz="4" w:color="000000" w:space="0"/>
              <w:right w:val="single" w:sz="4" w:color="000000" w:space="0"/>
            </w:tcBorders>
            <w:vAlign w:val="center"/>
            <w:tcW w:w="0" w:type="nil"/>
          </w:tcPr>
          <w:p>
            <w:pPr>
              <w:pStyle w:val=""/>
              <w:jc w:val="left"/>
            </w:pPr>
            <w:r>
              <w:rPr>
                <w:color w:val="000000"/>
                <w:rFonts w:ascii="宋体" w:hAnsi="宋体"/>
                <w:sz w:val="24"/>
                <w:szCs w:val="24"/>
              </w:rPr>
              <w:t xml:space="preserve">  4、其他固定资产</w:t>
            </w:r>
          </w:p>
        </w:tc>
        <w:tc>
          <w:tcPr>
            <w:tcBorders>
              <w:top w:val="single" w:sz="4" w:color="000000" w:space="0"/>
              <w:bottom w:val="single" w:sz="4" w:color="000000" w:space="0"/>
              <w:left w:val="nil" w:sz="0" w:color="auto" w:space="0"/>
              <w:right w:val="single" w:sz="4" w:color="000000" w:space="0"/>
            </w:tcBorders>
            <w:vAlign w:val="center"/>
            <w:tcW w:w="0" w:type="nil"/>
          </w:tcPr>
          <w:p>
            <w:pPr>
              <w:pStyle w:val=""/>
              <w:jc w:val="center"/>
            </w:pPr>
            <w:r>
              <w:rPr>
                <w:color w:val="000000"/>
                <w:rFonts w:ascii="宋体" w:hAnsi="宋体"/>
                <w:sz w:val="24"/>
                <w:szCs w:val="24"/>
              </w:rPr>
              <w:t>—</w:t>
            </w:r>
          </w:p>
        </w:tc>
        <w:tc>
          <w:tcPr>
            <w:tcBorders>
              <w:top w:val="single" w:sz="4" w:color="000000" w:space="0"/>
              <w:bottom w:val="single" w:sz="4" w:color="000000" w:space="0"/>
              <w:left w:val="nil" w:sz="0" w:color="auto" w:space="0"/>
              <w:right w:val="single" w:sz="4" w:color="000000" w:space="0"/>
            </w:tcBorders>
            <w:vAlign w:val="center"/>
            <w:tcW w:w="0" w:type="nil"/>
          </w:tcPr>
          <w:p>
            <w:pPr>
              <w:pStyle w:val=""/>
              <w:jc w:val="center"/>
            </w:pPr>
            <w:r>
              <w:rPr>
                <w:color w:val="000000"/>
                <w:rFonts w:ascii="宋体" w:hAnsi="宋体"/>
                <w:sz w:val="24"/>
                <w:szCs w:val="24"/>
              </w:rPr>
              <w:t>264.18</w:t>
            </w:r>
          </w:p>
        </w:tc>
      </w:tr>
    </w:tbl>
    <w:p>
      <w:pPr>
        <w:pStyle w:val=""/>
        <w:jc w:val="center"/>
        <w:ind w:firstLine="640"/>
        <w:spacing w:line="520" w:lineRule="exact"/>
        <w:rPr>
          <w:rFonts w:ascii="黑体" w:hAnsi="黑体"/>
          <w:sz w:val="32"/>
          <w:szCs w:val="32"/>
        </w:rPr>
      </w:pPr>
    </w:p>
    <w:p>
      <w:pPr>
        <w:pStyle w:val=""/>
        <w:jc w:val="center"/>
        <w:spacing w:line="520" w:lineRule="exact"/>
        <w:rPr>
          <w:rFonts w:ascii="仿宋_GB2312" w:hAnsi="黑体"/>
          <w:sz w:val="32"/>
          <w:szCs w:val="32"/>
        </w:rPr>
      </w:pPr>
    </w:p>
    <w:p>
      <w:pPr>
        <w:pStyle w:val=""/>
        <w:jc w:val="left"/>
        <w:ind w:firstLine="640"/>
        <w:spacing w:line="520" w:lineRule="exact"/>
        <w:rPr>
          <w:rFonts w:ascii="仿宋_GB2312" w:hAnsi="仿宋"/>
          <w:sz w:val="32"/>
          <w:szCs w:val="32"/>
        </w:rPr>
      </w:pPr>
    </w:p>
    <w:p>
      <w:pPr>
        <w:pStyle w:val=""/>
        <w:jc w:val="center"/>
        <w:spacing w:line="500" w:lineRule="exact"/>
        <w:rPr>
          <w:rFonts w:ascii="黑体" w:hAnsi="黑体"/>
          <w:sz w:val="32"/>
          <w:szCs w:val="32"/>
        </w:rPr>
      </w:pPr>
      <w:r>
        <w:rPr>
          <w:rFonts w:ascii="黑体" w:hAnsi="黑体"/>
          <w:sz w:val="32"/>
          <w:szCs w:val="32"/>
        </w:rPr>
        <w:t>第八部分：名词解释</w:t>
      </w:r>
    </w:p>
    <w:p>
      <w:pPr>
        <w:pStyle w:val=""/>
        <w:jc w:val="center"/>
        <w:spacing w:line="500" w:lineRule="exact"/>
        <w:rPr>
          <w:b/>
          <w:rFonts w:ascii="仿宋" w:hAnsi="仿宋"/>
          <w:sz w:val="32"/>
          <w:szCs w:val="32"/>
        </w:rPr>
      </w:pPr>
    </w:p>
    <w:p>
      <w:pPr>
        <w:pStyle w:val=""/>
        <w:jc w:val="left"/>
        <w:ind w:firstLine="643"/>
        <w:spacing w:line="500" w:lineRule="exact"/>
        <w:rPr>
          <w:rFonts w:ascii="仿宋_GB2312" w:hAnsi="仿宋"/>
          <w:sz w:val="32"/>
          <w:szCs w:val="32"/>
        </w:rPr>
      </w:pPr>
      <w:r>
        <w:rPr>
          <w:b/>
          <w:rFonts w:ascii="仿宋_GB2312" w:hAnsi="仿宋"/>
          <w:sz w:val="32"/>
          <w:szCs w:val="32"/>
        </w:rPr>
        <w:t>1、财政拨款收入：</w:t>
      </w:r>
      <w:r>
        <w:rPr>
          <w:rFonts w:ascii="仿宋_GB2312" w:hAnsi="仿宋"/>
          <w:sz w:val="32"/>
          <w:szCs w:val="32"/>
        </w:rPr>
        <w:t>指县级财政当年拨付的资金。</w:t>
      </w:r>
    </w:p>
    <w:p>
      <w:pPr>
        <w:pStyle w:val=""/>
        <w:jc w:val="left"/>
        <w:ind w:firstLine="643"/>
        <w:spacing w:line="500" w:lineRule="exact"/>
        <w:rPr>
          <w:rFonts w:ascii="仿宋_GB2312" w:hAnsi="仿宋"/>
          <w:sz w:val="32"/>
          <w:szCs w:val="32"/>
        </w:rPr>
      </w:pPr>
      <w:r>
        <w:rPr>
          <w:b/>
          <w:rFonts w:ascii="仿宋_GB2312" w:hAnsi="仿宋"/>
          <w:sz w:val="32"/>
          <w:szCs w:val="32"/>
        </w:rPr>
        <w:t>2、其他收入：</w:t>
      </w:r>
      <w:r>
        <w:rPr>
          <w:rFonts w:ascii="仿宋_GB2312" w:hAnsi="仿宋"/>
          <w:sz w:val="32"/>
          <w:szCs w:val="32"/>
        </w:rPr>
        <w:t>指除上述“财政拨款收入”、“事业收入”等以外的收入。</w:t>
      </w:r>
    </w:p>
    <w:p>
      <w:pPr>
        <w:pStyle w:val=""/>
        <w:jc w:val="left"/>
        <w:ind w:firstLine="643"/>
        <w:spacing w:line="500" w:lineRule="exact"/>
        <w:rPr>
          <w:rFonts w:ascii="仿宋_GB2312" w:hAnsi="仿宋"/>
          <w:sz w:val="32"/>
          <w:szCs w:val="32"/>
        </w:rPr>
      </w:pPr>
      <w:r>
        <w:rPr>
          <w:b/>
          <w:rFonts w:ascii="仿宋_GB2312" w:hAnsi="仿宋"/>
          <w:sz w:val="32"/>
          <w:szCs w:val="32"/>
        </w:rPr>
        <w:t>3、基本支出：</w:t>
      </w:r>
      <w:r>
        <w:rPr>
          <w:rFonts w:ascii="仿宋_GB2312" w:hAnsi="仿宋"/>
          <w:sz w:val="32"/>
          <w:szCs w:val="32"/>
        </w:rPr>
        <w:t>指为保障机构正常运转、完成日常工作任务而发生的人员支出和公用支出。</w:t>
      </w:r>
    </w:p>
    <w:p>
      <w:pPr>
        <w:pStyle w:val=""/>
        <w:jc w:val="left"/>
        <w:ind w:firstLine="643"/>
        <w:spacing w:line="500" w:lineRule="exact"/>
        <w:rPr>
          <w:rFonts w:ascii="仿宋_GB2312" w:hAnsi="仿宋"/>
          <w:sz w:val="32"/>
          <w:szCs w:val="32"/>
        </w:rPr>
      </w:pPr>
      <w:r>
        <w:rPr>
          <w:b/>
          <w:rFonts w:ascii="仿宋_GB2312" w:hAnsi="仿宋"/>
          <w:sz w:val="32"/>
          <w:szCs w:val="32"/>
        </w:rPr>
        <w:t>4、项目支出：</w:t>
      </w:r>
      <w:r>
        <w:rPr>
          <w:rFonts w:ascii="仿宋_GB2312" w:hAnsi="仿宋"/>
          <w:sz w:val="32"/>
          <w:szCs w:val="32"/>
        </w:rPr>
        <w:t>指在基本支出之外为完成特定行政任务和事业发展目标所发生的支出。</w:t>
      </w:r>
    </w:p>
    <w:p>
      <w:pPr>
        <w:pStyle w:val=""/>
        <w:jc w:val="left"/>
        <w:ind w:firstLine="643"/>
        <w:spacing w:line="500" w:lineRule="exact"/>
        <w:rPr>
          <w:rFonts w:ascii="仿宋_GB2312" w:hAnsi="仿宋"/>
          <w:sz w:val="32"/>
          <w:szCs w:val="32"/>
        </w:rPr>
      </w:pPr>
      <w:r>
        <w:rPr>
          <w:b/>
          <w:rFonts w:ascii="仿宋_GB2312" w:hAnsi="仿宋"/>
          <w:sz w:val="32"/>
          <w:szCs w:val="32"/>
        </w:rPr>
        <w:t>5、“三公”经费：</w:t>
      </w:r>
      <w:r>
        <w:rPr>
          <w:rFonts w:ascii="仿宋_GB2312" w:hAnsi="仿宋"/>
          <w:sz w:val="32"/>
          <w:szCs w:val="32"/>
        </w:rPr>
        <w:t>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pPr>
        <w:pStyle w:val=""/>
        <w:ind w:firstLine="803"/>
        <w:rPr>
          <w:rFonts w:ascii="仿宋_GB2312" w:hAnsi="仿宋"/>
          <w:sz w:val="32"/>
          <w:szCs w:val="32"/>
        </w:rPr>
      </w:pPr>
      <w:r>
        <w:rPr>
          <w:b/>
          <w:rFonts w:ascii="仿宋_GB2312" w:hAnsi="仿宋"/>
          <w:sz w:val="32"/>
          <w:szCs w:val="32"/>
        </w:rPr>
        <w:t>6、机关运行费：</w:t>
      </w:r>
      <w:r>
        <w:rPr>
          <w:rFonts w:ascii="仿宋_GB2312" w:hAnsi="仿宋"/>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pStyle w:val=""/>
        <w:ind w:firstLine="803"/>
        <w:rPr>
          <w:rFonts w:ascii="仿宋_GB2312" w:hAnsi="仿宋"/>
          <w:sz w:val="32"/>
          <w:szCs w:val="32"/>
        </w:rPr>
      </w:pPr>
      <w:r>
        <w:rPr>
          <w:b/>
          <w:rFonts w:ascii="仿宋_GB2312" w:hAnsi="仿宋"/>
          <w:sz w:val="32"/>
          <w:szCs w:val="32"/>
        </w:rPr>
        <w:t>7、公务费：</w:t>
      </w:r>
      <w:r>
        <w:rPr>
          <w:rFonts w:ascii="仿宋_GB2312" w:hAnsi="仿宋"/>
          <w:sz w:val="32"/>
          <w:szCs w:val="32"/>
        </w:rPr>
        <w:t>包括办公费、水电费、邮电费、取暖费、交通费、一般会议费和物业管理费之和。</w:t>
      </w:r>
    </w:p>
    <w:p>
      <w:pPr>
        <w:pStyle w:val=""/>
        <w:jc w:val="center"/>
        <w:ind w:firstLine="627"/>
        <w:spacing w:line="500" w:lineRule="exact"/>
        <w:rPr>
          <w:rFonts w:ascii="黑体" w:hAnsi="黑体"/>
          <w:sz w:val="32"/>
          <w:szCs w:val="32"/>
        </w:rPr>
      </w:pPr>
    </w:p>
    <w:p>
      <w:pPr>
        <w:pStyle w:val=""/>
        <w:jc w:val="center"/>
        <w:spacing w:line="500" w:lineRule="exact"/>
        <w:rPr>
          <w:rFonts w:ascii="黑体" w:hAnsi="黑体"/>
          <w:sz w:val="32"/>
          <w:szCs w:val="32"/>
        </w:rPr>
      </w:pPr>
      <w:r>
        <w:rPr>
          <w:rFonts w:ascii="黑体" w:hAnsi="黑体"/>
          <w:sz w:val="32"/>
          <w:szCs w:val="32"/>
        </w:rPr>
        <w:t>第九部分：其他需说明的事项</w:t>
      </w:r>
    </w:p>
    <w:p>
      <w:pPr>
        <w:pStyle w:val=""/>
        <w:jc w:val="left"/>
        <w:ind w:firstLine="1264"/>
        <w:spacing w:line="500" w:lineRule="exact"/>
        <w:rPr>
          <w:rFonts w:ascii="仿宋" w:hAnsi="仿宋"/>
          <w:sz w:val="32"/>
          <w:szCs w:val="32"/>
        </w:rPr>
      </w:pPr>
    </w:p>
    <w:p>
      <w:pPr>
        <w:pStyle w:val=""/>
        <w:jc w:val="left"/>
        <w:ind w:firstLine="640"/>
        <w:spacing w:line="500" w:lineRule="exact"/>
        <w:rPr>
          <w:rFonts w:ascii="仿宋_GB2312" w:hAnsi="黑体"/>
          <w:sz w:val="32"/>
          <w:szCs w:val="32"/>
        </w:rPr>
      </w:pPr>
      <w:r>
        <w:rPr>
          <w:rFonts w:ascii="仿宋_GB2312" w:hAnsi="仿宋"/>
          <w:sz w:val="32"/>
          <w:szCs w:val="32"/>
        </w:rPr>
        <w:t>无其他需说明的事项。</w:t>
      </w:r>
    </w:p>
    <w:p>
      <w:pPr>
        <w:pStyle w:val=""/>
        <w:ind w:firstLine="800"/>
        <w:rPr>
          <w:rFonts w:ascii="仿宋" w:hAnsi="仿宋"/>
          <w:sz w:val="32"/>
          <w:szCs w:val="32"/>
        </w:rPr>
      </w:pPr>
    </w:p>
    <w:p>
      <w:pPr>
        <w:pStyle w:val=""/>
        <w:rPr>
          <w:rFonts w:ascii="仿宋" w:hAnsi="仿宋"/>
          <w:sz w:val="32"/>
          <w:szCs w:val="32"/>
        </w:rPr>
      </w:pPr>
      <w:r>
        <w:rPr>
          <w:rFonts w:ascii="仿宋" w:hAnsi="仿宋"/>
          <w:sz w:val="32"/>
          <w:szCs w:val="32"/>
        </w:rPr>
        <w:t xml:space="preserve">                                     </w:t>
      </w:r>
    </w:p>
    <w:sectPr>
      <w:pgSz w:w="11907" w:h="16839"/>
      <w:pgMar w:left="1134" w:right="1134" w:top="1531" w:bottom="1474"/>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font w:name="宋体"/>
  <w:font w:name="Calibri"/>
  <w:font w:name="Wingdings"/>
  <w:font w:name="仿宋_GB2312"/>
  <w:font w:name="Tahoma"/>
  <w:font w:name="微软雅黑"/>
  <w:font w:name="方正仿宋_GBK"/>
  <w:font w:name="仿宋"/>
  <w:font w:name="黑体"/>
  <w:font w:name="方正小标宋_GBK"/>
  <w:font w:name="方正书宋_GBK"/>
  <w:font w:name="Arial"/>
  <w:font w:name="Cambria"/>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480734598">
    <w:multiLevelType w:val="singleLevel"/>
    <w:lvl w:ilvl="0">
      <w:numFmt w:val="decimal"/>
      <w:lvlText w:val="%1、"/>
      <w:start w:val="12"/>
      <w:lvlJc w:val="left"/>
      <w:pPr/>
      <w:rPr/>
    </w:lvl>
  </w:abstractNum>
  <w:abstractNum w:abstractNumId="10121982">
    <w:multiLevelType w:val="hybridMultilevel"/>
    <w:lvl w:ilvl="0">
      <w:numFmt w:val="bullet"/>
      <w:lvlText w:val=""/>
      <w:start w:val="0"/>
      <w:lvlJc w:val="left"/>
      <w:pPr>
        <w:ind w:left="720"/>
        <w:ind w:hanging="360"/>
      </w:pPr>
      <w:rPr>
        <w:rFonts w:ascii="Symbol" w:hAnsi="Symbol"/>
      </w:rPr>
    </w:lvl>
    <w:lvl w:ilvl="1">
      <w:numFmt w:val="bullet"/>
      <w:lvlText w:val="o"/>
      <w:start w:val="0"/>
      <w:lvlJc w:val="left"/>
      <w:pPr>
        <w:ind w:left="1440"/>
        <w:ind w:hanging="1080"/>
      </w:pPr>
      <w:rPr>
        <w:rFonts w:ascii="Courier New" w:hAnsi="Courier New"/>
      </w:rPr>
    </w:lvl>
    <w:lvl w:ilvl="2">
      <w:numFmt w:val="bullet"/>
      <w:lvlText w:val=""/>
      <w:start w:val="0"/>
      <w:lvlJc w:val="left"/>
      <w:pPr>
        <w:ind w:left="2160"/>
        <w:ind w:hanging="1800"/>
      </w:pPr>
      <w:rPr>
        <w:rFonts w:ascii="Wingdings" w:hAnsi="Wingdings"/>
      </w:rPr>
    </w:lvl>
    <w:lvl w:ilvl="3">
      <w:numFmt w:val="bullet"/>
      <w:lvlText w:val=""/>
      <w:start w:val="0"/>
      <w:lvlJc w:val="left"/>
      <w:pPr>
        <w:ind w:left="2880"/>
        <w:ind w:hanging="2520"/>
      </w:pPr>
      <w:rPr>
        <w:rFonts w:ascii="Symbol" w:hAnsi="Symbol"/>
      </w:rPr>
    </w:lvl>
    <w:lvl w:ilvl="4">
      <w:numFmt w:val="bullet"/>
      <w:lvlText w:val="o"/>
      <w:start w:val="0"/>
      <w:lvlJc w:val="left"/>
      <w:pPr>
        <w:ind w:left="3600"/>
        <w:ind w:hanging="3240"/>
      </w:pPr>
      <w:rPr>
        <w:rFonts w:ascii="Courier New" w:hAnsi="Courier New"/>
      </w:rPr>
    </w:lvl>
    <w:lvl w:ilvl="5">
      <w:numFmt w:val="bullet"/>
      <w:lvlText w:val=""/>
      <w:start w:val="0"/>
      <w:lvlJc w:val="left"/>
      <w:pPr>
        <w:ind w:left="4320"/>
        <w:ind w:hanging="3960"/>
      </w:pPr>
      <w:rPr>
        <w:rFonts w:ascii="Wingdings" w:hAnsi="Wingdings"/>
      </w:rPr>
    </w:lvl>
    <w:lvl w:ilvl="6">
      <w:numFmt w:val="bullet"/>
      <w:lvlText w:val=""/>
      <w:start w:val="0"/>
      <w:lvlJc w:val="left"/>
      <w:pPr>
        <w:ind w:left="5040"/>
        <w:ind w:hanging="4680"/>
      </w:pPr>
      <w:rPr>
        <w:rFonts w:ascii="Symbol" w:hAnsi="Symbol"/>
      </w:rPr>
    </w:lvl>
    <w:lvl w:ilvl="7">
      <w:numFmt w:val="bullet"/>
      <w:lvlText w:val="o"/>
      <w:start w:val="0"/>
      <w:lvlJc w:val="left"/>
      <w:pPr>
        <w:ind w:left="5760"/>
        <w:ind w:hanging="5400"/>
      </w:pPr>
      <w:rPr>
        <w:rFonts w:ascii="Courier New" w:hAnsi="Courier New"/>
      </w:rPr>
    </w:lvl>
    <w:lvl w:ilvl="8">
      <w:numFmt w:val="bullet"/>
      <w:lvlText w:val=""/>
      <w:start w:val="0"/>
      <w:lvlJc w:val="left"/>
      <w:pPr>
        <w:ind w:left="6480"/>
        <w:ind w:hanging="6120"/>
      </w:pPr>
      <w:rPr>
        <w:rFonts w:ascii="Wingdings" w:hAnsi="Wingdings"/>
      </w:rPr>
    </w:lvl>
  </w:abstractNum>
  <w:abstractNum w:abstractNumId="10121983">
    <w:multiLevelType w:val="hybridMultilevel"/>
    <w:lvl w:ilvl="0">
      <w:numFmt w:val="decimal"/>
      <w:lvlText w:val="%1."/>
      <w:start w:val="1"/>
      <w:lvlJc w:val="left"/>
      <w:pPr>
        <w:ind w:left="720"/>
        <w:ind w:hanging="360"/>
      </w:pPr>
    </w:lvl>
    <w:lvl w:ilvl="1">
      <w:numFmt w:val="decimal"/>
      <w:lvlText w:val="%2."/>
      <w:start w:val="1"/>
      <w:lvlJc w:val="left"/>
      <w:pPr>
        <w:ind w:left="1440"/>
        <w:ind w:hanging="1080"/>
      </w:pPr>
    </w:lvl>
    <w:lvl w:ilvl="2">
      <w:numFmt w:val="decimal"/>
      <w:lvlText w:val="%3."/>
      <w:start w:val="1"/>
      <w:lvlJc w:val="left"/>
      <w:pPr>
        <w:ind w:left="2160"/>
        <w:ind w:hanging="1980"/>
      </w:pPr>
    </w:lvl>
    <w:lvl w:ilvl="3">
      <w:numFmt w:val="decimal"/>
      <w:lvlText w:val="%4."/>
      <w:start w:val="1"/>
      <w:lvlJc w:val="left"/>
      <w:pPr>
        <w:ind w:left="2880"/>
        <w:ind w:hanging="2520"/>
      </w:pPr>
    </w:lvl>
    <w:lvl w:ilvl="4">
      <w:numFmt w:val="decimal"/>
      <w:lvlText w:val="%5."/>
      <w:start w:val="1"/>
      <w:lvlJc w:val="left"/>
      <w:pPr>
        <w:ind w:left="3600"/>
        <w:ind w:hanging="3240"/>
      </w:pPr>
    </w:lvl>
    <w:lvl w:ilvl="5">
      <w:numFmt w:val="decimal"/>
      <w:lvlText w:val="%6."/>
      <w:start w:val="1"/>
      <w:lvlJc w:val="left"/>
      <w:pPr>
        <w:ind w:left="4320"/>
        <w:ind w:hanging="4140"/>
      </w:pPr>
    </w:lvl>
    <w:lvl w:ilvl="6">
      <w:numFmt w:val="decimal"/>
      <w:lvlText w:val="%7."/>
      <w:start w:val="1"/>
      <w:lvlJc w:val="left"/>
      <w:pPr>
        <w:ind w:left="5040"/>
        <w:ind w:hanging="4680"/>
      </w:pPr>
    </w:lvl>
    <w:lvl w:ilvl="7">
      <w:numFmt w:val="decimal"/>
      <w:lvlText w:val="%8."/>
      <w:start w:val="1"/>
      <w:lvlJc w:val="left"/>
      <w:pPr>
        <w:ind w:left="5760"/>
        <w:ind w:hanging="5400"/>
      </w:pPr>
    </w:lvl>
    <w:lvl w:ilvl="8">
      <w:numFmt w:val="decimal"/>
      <w:lvlText w:val="%9."/>
      <w:start w:val="1"/>
      <w:lvlJc w:val="left"/>
      <w:pPr>
        <w:ind w:left="6480"/>
        <w:ind w:hanging="6300"/>
      </w:pPr>
    </w:lvl>
  </w:abstractNum>
  <w:num w:numId="1480734598">
    <w:abstractNumId w:val="1480734598"/>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Calibri"/>
      </w:rPr>
    </w:r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/&gt;
  </w:latentStyles>
  <w:style w:type="paragraph" w:styleId="">
    <w:name w:val="正文"/>
    <w:qFormat/>
    <w:pPr>
      <w:jc w:val="both"/>
    </w:pPr>
    <w:rPr>
      <w:sz w:val="21"/>
      <w:szCs w:val="22"/>
    </w:rPr>
  </w:style>
  <w:style w:type="character" w:styleId="">
    <w:name w:val="默认段落字体"/>
    <w:qFormat/>
  </w:style>
  <w:style w:type="table" w:styleId="">
    <w:name w:val="普通表格"/>
    <w:qFormat/>
    <w:pPr/>
    <w:tblPr>
      <w:tblStyle w:val="普通表格"/>
      <w:tblLook w:val="1E0"/>
    </w:tblPr>
  </w:style>
  <w:style w:type="character" w:styleId="CharChar2">
    <w:name w:val=" Char Char2"/>
    <w:qFormat/>
    <w:rPr>
      <w:sz w:val="18"/>
      <w:szCs w:val="18"/>
    </w:rPr>
  </w:style>
  <w:style w:type="character" w:styleId="CharChar3">
    <w:name w:val=" Char Char3"/>
    <w:qFormat/>
    <w:rPr>
      <w:rFonts w:ascii="Times New Roman" w:hAnsi="Times New Roman"/>
      <w:sz w:val="32"/>
      <w:szCs w:val="24"/>
    </w:rPr>
  </w:style>
  <w:style w:type="character" w:styleId="CharChar1">
    <w:name w:val=" Char Char1"/>
    <w:qFormat/>
    <w:rPr>
      <w:sz w:val="18"/>
      <w:szCs w:val="18"/>
    </w:rPr>
  </w:style>
  <w:style w:type="character" w:styleId="CharChar">
    <w:name w:val=" Char Char"/>
    <w:qFormat/>
    <w:basedOn w:val="默认段落字体"/>
    <w:rPr>
      <w:sz w:val="18"/>
      <w:szCs w:val="18"/>
    </w:rPr>
  </w:style>
  <w:style w:type="paragraph" w:styleId="">
    <w:name w:val="批注框文本"/>
    <w:qFormat/>
    <w:basedOn w:val="正文"/>
    <w:pPr/>
    <w:rPr>
      <w:sz w:val="18"/>
      <w:szCs w:val="18"/>
    </w:rPr>
  </w:style>
  <w:style w:type="paragraph" w:styleId="">
    <w:name w:val="页眉"/>
    <w:qFormat/>
    <w:basedOn w:val="正文"/>
    <w:pPr>
      <w:pBdr>
        <w:bottom w:val="single" w:sz="6" w:color="000000" w:space="1"/>
      </w:pBdr>
      <w:jc w:val="center"/>
    </w:pPr>
    <w:rPr>
      <w:sz w:val="18"/>
      <w:szCs w:val="18"/>
    </w:rPr>
  </w:style>
  <w:style w:type="paragraph" w:styleId="2">
    <w:name w:val="目录 2"/>
    <w:qFormat/>
    <w:basedOn w:val="正文"/>
    <w:pPr>
      <w:ind w:left="420"/>
    </w:pPr>
  </w:style>
  <w:style w:type="paragraph" w:styleId="1">
    <w:name w:val="目录 1"/>
    <w:qFormat/>
    <w:basedOn w:val="正文"/>
    <w:pPr/>
  </w:style>
  <w:style w:type="paragraph" w:styleId="">
    <w:name w:val="正文文本缩进"/>
    <w:qFormat/>
    <w:basedOn w:val="正文"/>
    <w:pPr>
      <w:ind w:firstLine="630"/>
      <w:spacing w:line="420" w:lineRule="exact"/>
    </w:pPr>
    <w:rPr>
      <w:rFonts w:ascii="Times New Roman" w:hAnsi="Times New Roman"/>
      <w:sz w:val="32"/>
      <w:szCs w:val="24"/>
    </w:rPr>
  </w:style>
  <w:style w:type="paragraph" w:styleId="">
    <w:name w:val="页脚"/>
    <w:qFormat/>
    <w:basedOn w:val="正文"/>
    <w:pPr>
      <w:jc w:val="left"/>
    </w:pPr>
    <w:rPr>
      <w:sz w:val="18"/>
      <w:szCs w:val="18"/>
    </w:rPr>
  </w:style>
  <w:style w:type="paragraph" w:styleId="Normal">
    <w:name w:val="[Normal]"/>
    <w:qFormat/>
    <w:pPr/>
    <w:rPr>
      <w:rFonts w:ascii="宋体" w:hAnsi="Times New Roman"/>
      <w:sz w:val="24"/>
      <w:szCs w:val="24"/>
    </w:rPr>
  </w:style>
  <w:style w:type="paragraph" w:styleId="">
    <w:name w:val="列出段落"/>
    <w:qFormat/>
    <w:basedOn w:val="正文"/>
    <w:pPr>
      <w:jc w:val="left"/>
      <w:ind w:firstLine="420"/>
      <w:spacing w:after="200"/>
    </w:pPr>
    <w:rPr>
      <w:rFonts w:ascii="Tahoma" w:hAnsi="Tahoma"/>
      <w:sz w:val="22"/>
    </w:rPr>
  </w:style>
  <w:style w:type="paragraph" w:default="1" w:styleId="Normal">
    <w:name w:val="Normal"/>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dcterms:created xsi:type="dcterms:W3CDTF">2007-04-30T19:01:00Z</dcterms:created>
  <dcterms:modified xsi:type="dcterms:W3CDTF">2011-09-26T12:08:00Z</dcterms:modified>
</cp:coreProperties>
</file>