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jc w:val="center"/>
        <w:outlineLvl w:val="0"/>
        <w:rPr>
          <w:rFonts w:ascii="宋体" w:eastAsia="宋体" w:cs="Calibri" w:hAnsi="宋体" w:hint="eastAsia"/>
          <w:color w:val="FF0000"/>
          <w:lang w:eastAsia="zh-CN"/>
        </w:rPr>
      </w:pPr>
      <w:r>
        <w:rPr>
          <w:rFonts w:ascii="宋体" w:eastAsia="宋体" w:cs="Calibri" w:hAnsi="宋体"/>
          <w:b/>
          <w:sz w:val="44"/>
          <w:lang w:eastAsia="zh-CN"/>
        </w:rPr>
        <w:t>涞源县自然资源和规划局所属单位</w:t>
      </w:r>
      <w:r>
        <w:rPr>
          <w:rFonts w:ascii="宋体" w:eastAsia="宋体" w:cs="Calibri" w:hAnsi="宋体"/>
          <w:b/>
          <w:sz w:val="44"/>
        </w:rPr>
        <w:t>2023年</w:t>
      </w:r>
      <w:r>
        <w:rPr>
          <w:rFonts w:ascii="宋体" w:eastAsia="宋体" w:cs="Calibri" w:hAnsi="宋体"/>
          <w:b/>
          <w:sz w:val="44"/>
          <w:lang w:eastAsia="zh-CN"/>
        </w:rPr>
        <w:t>单位</w:t>
      </w:r>
      <w:r>
        <w:rPr>
          <w:rFonts w:ascii="宋体" w:eastAsia="宋体" w:cs="Calibri" w:hAnsi="宋体"/>
          <w:b/>
          <w:sz w:val="44"/>
        </w:rPr>
        <w:t>预算信息公开</w:t>
      </w:r>
      <w:r>
        <w:rPr>
          <w:rFonts w:ascii="宋体" w:eastAsia="宋体" w:cs="Calibri" w:hAnsi="宋体"/>
          <w:b/>
          <w:sz w:val="44"/>
          <w:lang w:eastAsia="zh-CN"/>
        </w:rPr>
        <w:t>目录</w:t>
      </w:r>
    </w:p>
    <w:p>
      <w:pPr>
        <w:jc w:val="center"/>
        <w:rPr>
          <w:rFonts w:ascii="宋体" w:eastAsia="宋体" w:cs="Calibri" w:hAnsi="宋体" w:hint="eastAsia"/>
        </w:rPr>
      </w:pPr>
      <w:r>
        <w:rPr>
          <w:rFonts w:ascii="宋体" w:eastAsia="宋体" w:cs="Calibri" w:hAnsi="宋体"/>
          <w:b/>
          <w:color w:val="000000"/>
          <w:sz w:val="30"/>
        </w:rPr>
        <w:t xml:space="preserve"> </w:t>
      </w:r>
    </w:p>
    <w:p>
      <w:pPr>
        <w:pStyle w:val="16"/>
        <w:tabs>
          <w:tab w:val="right" w:leader="dot" w:pos="14562"/>
        </w:tabs>
        <w:rPr>
          <w:rFonts w:ascii="宋体" w:eastAsia="宋体" w:cs="Calibri" w:hAnsi="宋体" w:hint="eastAsia"/>
        </w:rPr>
      </w:pPr>
      <w:r>
        <w:rPr>
          <w:rFonts w:ascii="宋体" w:eastAsia="宋体" w:cs="Calibri" w:hAnsi="宋体"/>
        </w:rPr>
        <w:fldChar w:fldCharType="begin"/>
      </w:r>
      <w:r>
        <w:rPr>
          <w:rFonts w:ascii="宋体" w:eastAsia="宋体" w:cs="Calibri" w:hAnsi="宋体"/>
        </w:rPr>
        <w:instrText xml:space="preserve">TOC \o "4-4" \h \z \u </w:instrText>
      </w:r>
      <w:r>
        <w:rPr>
          <w:rFonts w:ascii="宋体" w:eastAsia="宋体" w:cs="Calibri" w:hAnsi="宋体"/>
        </w:rPr>
        <w:fldChar w:fldCharType="separate"/>
      </w:r>
      <w:r>
        <w:fldChar w:fldCharType="begin"/>
      </w:r>
      <w:r>
        <w:instrText>Hyperlink \l "_Toc124516393"</w:instrText>
      </w:r>
      <w:r>
        <w:fldChar w:fldCharType="separate"/>
      </w:r>
      <w:r>
        <w:rPr>
          <w:rFonts w:ascii="宋体" w:eastAsia="宋体" w:cs="Calibri" w:hAnsi="宋体"/>
        </w:rPr>
        <w:t>一、</w:t>
      </w:r>
      <w:r>
        <w:rPr>
          <w:rFonts w:ascii="宋体" w:eastAsia="宋体" w:cs="Calibri" w:hAnsi="宋体"/>
          <w:lang w:eastAsia="zh-CN"/>
        </w:rPr>
        <w:t>涞源县自然资源和规划局</w:t>
      </w:r>
      <w:r>
        <w:rPr>
          <w:rFonts w:ascii="宋体" w:eastAsia="宋体" w:cs="Calibri" w:hAnsi="宋体"/>
        </w:rPr>
        <w:t>本级收支预算</w:t>
        <w:tab/>
      </w:r>
      <w:r>
        <w:rPr>
          <w:rFonts w:ascii="宋体" w:eastAsia="宋体" w:cs="Calibri" w:hAnsi="宋体"/>
        </w:rPr>
        <w:fldChar w:fldCharType="begin"/>
      </w:r>
      <w:r>
        <w:rPr>
          <w:rFonts w:ascii="宋体" w:eastAsia="宋体" w:cs="Calibri" w:hAnsi="宋体"/>
        </w:rPr>
        <w:instrText xml:space="preserve"> PAGEREF _Toc124516393 \h </w:instrText>
      </w:r>
      <w:r>
        <w:rPr>
          <w:rFonts w:ascii="宋体" w:eastAsia="宋体" w:cs="Calibri" w:hAnsi="宋体"/>
        </w:rPr>
        <w:fldChar w:fldCharType="separate"/>
      </w:r>
      <w:r>
        <w:rPr>
          <w:rFonts w:ascii="宋体" w:eastAsia="宋体" w:cs="Calibri" w:hAnsi="宋体"/>
        </w:rPr>
        <w:t>2</w:t>
      </w:r>
      <w:r>
        <w:rPr>
          <w:rFonts w:ascii="宋体" w:eastAsia="宋体" w:cs="Calibri" w:hAnsi="宋体"/>
        </w:rPr>
        <w:fldChar w:fldCharType="end"/>
      </w:r>
      <w:r>
        <w:fldChar w:fldCharType="end"/>
      </w:r>
    </w:p>
    <w:p>
      <w:pPr>
        <w:pStyle w:val="16"/>
        <w:tabs>
          <w:tab w:val="right" w:leader="dot" w:pos="14562"/>
        </w:tabs>
        <w:rPr>
          <w:rFonts w:ascii="宋体" w:eastAsia="宋体" w:cs="Calibri" w:hAnsi="宋体" w:hint="eastAsia"/>
          <w:lang w:eastAsia="zh-CN"/>
        </w:rPr>
      </w:pPr>
      <w:r>
        <w:fldChar w:fldCharType="begin"/>
      </w:r>
      <w:r>
        <w:instrText>Hyperlink \l "_Toc124516394"</w:instrText>
      </w:r>
      <w:r>
        <w:fldChar w:fldCharType="separate"/>
      </w:r>
      <w:r>
        <w:rPr>
          <w:rFonts w:ascii="宋体" w:eastAsia="宋体" w:cs="Calibri" w:hAnsi="宋体"/>
        </w:rPr>
        <w:t>二、涞源县土地整理和收购储备中心收支预算</w:t>
        <w:tab/>
      </w:r>
      <w:r>
        <w:rPr>
          <w:rFonts w:ascii="宋体" w:eastAsia="宋体" w:cs="Calibri" w:hAnsi="宋体"/>
          <w:lang w:eastAsia="zh-CN"/>
        </w:rPr>
        <w:t>9</w:t>
      </w:r>
      <w:r>
        <w:fldChar w:fldCharType="end"/>
      </w:r>
      <w:r>
        <w:rPr>
          <w:rFonts w:ascii="宋体" w:eastAsia="宋体" w:cs="Calibri" w:hAnsi="宋体"/>
          <w:lang w:eastAsia="zh-CN"/>
        </w:rPr>
        <w:t>5</w:t>
      </w:r>
    </w:p>
    <w:p>
      <w:pPr>
        <w:pStyle w:val="16"/>
        <w:tabs>
          <w:tab w:val="left" w:pos="530"/>
          <w:tab w:val="right" w:leader="dot" w:pos="14562"/>
        </w:tabs>
        <w:rPr>
          <w:rFonts w:ascii="宋体" w:eastAsia="宋体" w:cs="Calibri" w:hAnsi="宋体" w:hint="eastAsia"/>
        </w:rPr>
      </w:pPr>
      <w:r>
        <w:rPr>
          <w:rFonts w:ascii="宋体" w:eastAsia="宋体" w:cs="Calibri" w:hAnsi="宋体"/>
        </w:rPr>
        <w:fldChar w:fldCharType="end"/>
      </w:r>
      <w:r>
        <w:rPr>
          <w:rFonts w:ascii="宋体" w:eastAsia="宋体" w:cs="Calibri" w:hAnsi="宋体"/>
          <w:sz w:val="44"/>
        </w:rPr>
        <w:t xml:space="preserve"> </w:t>
      </w:r>
    </w:p>
    <w:p>
      <w:pPr>
        <w:jc w:val="center"/>
        <w:outlineLvl w:val="0"/>
        <w:rPr>
          <w:rFonts w:ascii="宋体" w:eastAsia="宋体" w:cs="Calibri" w:hAnsi="宋体" w:hint="eastAsia"/>
        </w:rPr>
        <w:sectPr>
          <w:footerReference w:type="default" r:id="rId2"/>
          <w:footerReference w:type="even" r:id="rId3"/>
          <w:pgSz w:w="16840" w:h="11900" w:orient="landscape"/>
          <w:pgMar w:top="1361" w:right="1020" w:bottom="1134" w:left="1020" w:header="720" w:footer="720" w:gutter="0"/>
          <w:cols w:num="1" w:space="720"/>
          <w:docGrid w:linePitch="326" w:charSpace="0"/>
        </w:sectPr>
      </w:pPr>
    </w:p>
    <w:p>
      <w:pPr>
        <w:jc w:val="center"/>
        <w:outlineLvl w:val="3"/>
        <w:rPr>
          <w:rFonts w:ascii="宋体" w:eastAsia="宋体" w:cs="Calibri" w:hAnsi="宋体" w:hint="eastAsia"/>
        </w:rPr>
      </w:pPr>
      <w:bookmarkStart w:id="0" w:name="_Toc_4_4_0000000019"/>
      <w:bookmarkStart w:id="1" w:name="_Toc124516393"/>
      <w:r>
        <w:rPr>
          <w:rFonts w:ascii="宋体" w:eastAsia="宋体" w:cs="Calibri" w:hAnsi="宋体"/>
          <w:color w:val="000000"/>
          <w:sz w:val="44"/>
        </w:rPr>
        <w:t>一、涞源县自然资源和规划局本级收支预算</w:t>
      </w:r>
      <w:bookmarkEnd w:id="0"/>
    </w:p>
    <w:p>
      <w:pPr>
        <w:jc w:val="center"/>
        <w:outlineLvl w:val="4"/>
        <w:rPr>
          <w:rFonts w:ascii="宋体" w:eastAsia="宋体" w:cs="Calibri" w:hAnsi="宋体" w:hint="eastAsia"/>
        </w:rPr>
      </w:pPr>
      <w:r>
        <w:rPr>
          <w:rFonts w:ascii="宋体" w:eastAsia="宋体" w:cs="Calibri" w:hAnsi="宋体"/>
          <w:color w:val="000000"/>
          <w:sz w:val="36"/>
        </w:rPr>
        <w:t>单位预算收支总表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4536"/>
        <w:gridCol w:w="2126"/>
        <w:gridCol w:w="4535"/>
        <w:gridCol w:w="2126"/>
      </w:tblGrid>
      <w:tr>
        <w:trPr>
          <w:trHeight w:val="369"/>
          <w:tblHeader/>
        </w:trPr>
        <w:tc>
          <w:tcPr>
            <w:tcW w:w="5386" w:type="dxa"/>
            <w:gridSpan w:val="2"/>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2126"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6661"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6661"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收入</w:t>
            </w:r>
          </w:p>
        </w:tc>
        <w:tc>
          <w:tcPr>
            <w:tcW w:w="6661"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支出</w:t>
            </w:r>
          </w:p>
        </w:tc>
      </w:tr>
      <w:tr>
        <w:trPr>
          <w:trHeight w:val="369"/>
          <w:tblHeader/>
        </w:trPr>
        <w:tc>
          <w:tcPr>
            <w:tcW w:w="850" w:type="dxa"/>
            <w:vMerge/>
          </w:tcP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  目</w:t>
            </w:r>
          </w:p>
        </w:tc>
        <w:tc>
          <w:tcPr>
            <w:tcW w:w="2126"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预算数</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  目</w:t>
            </w:r>
          </w:p>
        </w:tc>
        <w:tc>
          <w:tcPr>
            <w:tcW w:w="2126"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预算数</w:t>
            </w: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2126"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126"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一、一般公共预算拨款收入</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9923.42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一、一般公共服务支出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二、政府性基金预算拨款收入</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二、外交支出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三、国有资本经营预算拨款收入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三、国防支出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四、财政专户管理资金收入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四、公共安全支出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五、事业收入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五、教育支出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六、事业单位经营收入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六、科学技术支出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7</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七、上级补助收入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七、文化旅游体育与传媒支出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八、附属单位上缴收入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八、社会保障和就业支出</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680.09</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九、其他收入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九、社会保险基金支出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10</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十、卫生健康支出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11</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十一、节能环保支出</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5814.97</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12</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十二、城乡社区支出</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13</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十三、农林水支出</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3509.27</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14</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十四、交通运输支出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15</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十五、资源勘探工业信息等支出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16</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十六、商业服务业等支出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17</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十七、金融支出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18</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十八、援助其他地区支出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19</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十九、自然资源海洋气象等支出</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9177.48</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20</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二十、住房保障支出</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21</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二十一、粮油物资储备支出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22</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二十二、国有资本经营预算支出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23</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二十三、灾害防治及应急管理支出</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24</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二十四、预备费</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25</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二十五、其他支出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26</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二十六、转移性支出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27</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二十七、债务还本支出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28</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二十八、债务付息支出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29</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二十九、债务发行费用支出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30</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三十、抗疫特别国债安排的支出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31</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三十一、人行科目</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32</w:t>
            </w: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本年收入合计</w:t>
            </w:r>
          </w:p>
        </w:tc>
        <w:tc>
          <w:tcPr>
            <w:tcW w:w="2126"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68146.42</w:t>
            </w: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本年支出合计</w:t>
            </w:r>
          </w:p>
        </w:tc>
        <w:tc>
          <w:tcPr>
            <w:tcW w:w="2126"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77604.44</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上年结转结余</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9458.02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年终结转结余</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34</w:t>
            </w: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收入总计</w:t>
            </w:r>
          </w:p>
        </w:tc>
        <w:tc>
          <w:tcPr>
            <w:tcW w:w="2126"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77604.44</w:t>
            </w: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支出总计</w:t>
            </w:r>
          </w:p>
        </w:tc>
        <w:tc>
          <w:tcPr>
            <w:tcW w:w="2126"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77604.44</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单位预算收入总表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3402" w:type="dxa"/>
            <w:gridSpan w:val="3"/>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669" w:type="dxa"/>
            <w:gridSpan w:val="5"/>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68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2551"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功能分类科目</w:t>
            </w:r>
          </w:p>
        </w:tc>
        <w:tc>
          <w:tcPr>
            <w:tcW w:w="1134"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9071" w:type="dxa"/>
            <w:gridSpan w:val="8"/>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本年收入</w:t>
            </w:r>
          </w:p>
        </w:tc>
        <w:tc>
          <w:tcPr>
            <w:tcW w:w="1134"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上年结转</w:t>
            </w:r>
          </w:p>
        </w:tc>
      </w:tr>
      <w:tr>
        <w:trPr>
          <w:trHeight w:val="369"/>
          <w:tblHeader/>
        </w:trPr>
        <w:tc>
          <w:tcPr>
            <w:tcW w:w="680" w:type="dxa"/>
            <w:vMerge/>
          </w:tcPr>
          <w:p/>
        </w:tc>
        <w:tc>
          <w:tcPr>
            <w:tcW w:w="99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    编码</w:t>
            </w:r>
          </w:p>
        </w:tc>
        <w:tc>
          <w:tcPr>
            <w:tcW w:w="1559"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1134" w:type="dxa"/>
            <w:vMerge/>
            <w:tcBorders>
              <w:left w:val="single" w:sz="6" w:space="0" w:color="000000"/>
            </w:tcBorders>
          </w:tcP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小计</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财政拨款 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财政专户 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事业收入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经营收入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上级补助收入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附属单位上缴收入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其他收入</w:t>
            </w:r>
          </w:p>
        </w:tc>
        <w:tc>
          <w:tcPr>
            <w:tcW w:w="1134" w:type="dxa"/>
            <w:vMerge/>
            <w:tcBorders>
              <w:left w:val="single" w:sz="6" w:space="0" w:color="000000"/>
            </w:tcBorders>
          </w:tcPr>
          <w:p/>
        </w:tc>
      </w:tr>
      <w:tr>
        <w:trPr>
          <w:trHeight w:val="369"/>
          <w:tblHeader/>
        </w:trPr>
        <w:tc>
          <w:tcPr>
            <w:tcW w:w="680" w:type="dxa"/>
            <w:vAlign w:val="center"/>
          </w:tcPr>
          <w:p>
            <w:pPr>
              <w:pStyle w:val="23"/>
              <w:rPr>
                <w:rFonts w:ascii="宋体" w:eastAsia="宋体" w:cs="Calibri" w:hAnsi="宋体" w:hint="eastAsia"/>
              </w:rPr>
            </w:pPr>
            <w:r>
              <w:rPr>
                <w:rFonts w:ascii="宋体" w:eastAsia="宋体" w:cs="Calibri" w:hAnsi="宋体"/>
              </w:rPr>
              <w:t>栏次</w:t>
            </w:r>
          </w:p>
        </w:tc>
        <w:tc>
          <w:tcPr>
            <w:tcW w:w="99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1559"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6</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7</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8</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9</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10</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11</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12</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w:t>
            </w:r>
          </w:p>
        </w:tc>
        <w:tc>
          <w:tcPr>
            <w:tcW w:w="992" w:type="dxa"/>
            <w:tcBorders>
              <w:left w:val="single" w:sz="6" w:space="0" w:color="000000"/>
            </w:tcBorders>
            <w:vAlign w:val="center"/>
          </w:tcPr>
          <w:p>
            <w:pPr>
              <w:pStyle w:val="29"/>
              <w:rPr>
                <w:rFonts w:ascii="宋体" w:eastAsia="宋体" w:cs="Calibri" w:hAnsi="宋体" w:hint="eastAsia"/>
              </w:rPr>
            </w:pPr>
          </w:p>
        </w:tc>
        <w:tc>
          <w:tcPr>
            <w:tcW w:w="1559"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合计</w:t>
            </w:r>
          </w:p>
        </w:tc>
        <w:tc>
          <w:tcPr>
            <w:tcW w:w="113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77604.44</w:t>
            </w:r>
          </w:p>
        </w:tc>
        <w:tc>
          <w:tcPr>
            <w:tcW w:w="113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68146.42</w:t>
            </w:r>
          </w:p>
        </w:tc>
        <w:tc>
          <w:tcPr>
            <w:tcW w:w="113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68146.42</w:t>
            </w: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9458.02</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社会保障和就业支出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680.09</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680.09</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680.09</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行政事业单位养老支出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669.89</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669.89</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669.89</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2080502</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事业单位离退休</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129.56</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129.56</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129.56</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2080505</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机关事业单位基本养老保险缴费支出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360.22</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360.22</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360.22</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6</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2080506</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机关事业单位职业年金缴费支出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180.11</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180.11</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180.11</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7</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20809</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退役安置</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8</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2080999</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其他退役安置支出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9</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节能环保支出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5814.97</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1248.95</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1248.95</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4566.02</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10</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21104</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自然生态保护</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5628.00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1118.00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1118.00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4510.00</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11</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2110401</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生态保护</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5578.00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1068.00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1068.00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4510.00</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2110406</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自然保护地</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21105</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天然林保护</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186.97</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130.95</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130.95</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56.02</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2110507</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停伐补助</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186.97</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130.95</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130.95</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56.02</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城乡社区支出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16</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国有土地使用权出让收入安排的支出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17</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2120802</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土地开发支出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49223.00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49223.00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49223.00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18</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2120814</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农业生产发展支出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9000.00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9000.00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9000.00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19</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农林水支出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3509.27</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3209.27</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3209.27</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300.00</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20</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林业和草原</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3492.27</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3192.27</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3192.27</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300.00</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21</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2130204</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事业机构</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1080.91</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1080.91</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1080.91</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2130205</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森林资源培育</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534.60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234.60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234.60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300.00</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2130206</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技术推广与转化</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2130207</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森林资源管理</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71.52</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71.52</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71.52</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2130209</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森林生态效益补偿</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1082.24</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1082.24</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1082.24</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26</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2130211</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动植物保护</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27</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2130212</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湿地保护</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28</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2130234</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林业草原防灾减灾</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334.00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334.00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334.00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29</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2130236</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草原管理</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30</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2130299</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其他林业和草原支出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31</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21308</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普惠金融发展支出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2130803</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农业保险保费补贴</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自然资源海洋气象等支出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9177.48</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4585.48</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4585.48</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4592.00</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自然资源事务</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9177.48</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4585.48</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4585.48</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4592.00</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2200101</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行政运行</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36</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2200106</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自然资源利用与保护</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4592.00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4592.00</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37</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2200199</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其他自然资源事务支出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38</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221</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住房保障支出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39</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22102</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住房改革支出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40</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2210201</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住房公积金</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41</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灾害防治及应急管理支出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42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22401</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应急管理事务</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43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2240104</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灾害风险防治</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44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22402</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消防救援事务</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45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2240299</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其他消防救援事务支出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单位预算支出总表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992"/>
        <w:gridCol w:w="4536"/>
        <w:gridCol w:w="1361"/>
        <w:gridCol w:w="1361"/>
        <w:gridCol w:w="1361"/>
        <w:gridCol w:w="1361"/>
        <w:gridCol w:w="1361"/>
        <w:gridCol w:w="1361"/>
      </w:tblGrid>
      <w:tr>
        <w:trPr>
          <w:trHeight w:val="369"/>
          <w:tblHeader/>
        </w:trPr>
        <w:tc>
          <w:tcPr>
            <w:tcW w:w="6378"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2721" w:type="dxa"/>
            <w:gridSpan w:val="2"/>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443" w:type="dxa"/>
            <w:gridSpan w:val="4"/>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5528"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功能分类科目</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基本支出</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项目支出</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经营支出</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上解上级     支出</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对附属单位补助支出</w:t>
            </w:r>
          </w:p>
        </w:tc>
      </w:tr>
      <w:tr>
        <w:trPr>
          <w:trHeight w:val="369"/>
          <w:tblHeader/>
        </w:trPr>
        <w:tc>
          <w:tcPr>
            <w:tcW w:w="850" w:type="dxa"/>
            <w:vMerge/>
          </w:tcPr>
          <w:p/>
        </w:tc>
        <w:tc>
          <w:tcPr>
            <w:tcW w:w="99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    编码</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99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6</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7</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8</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w:t>
            </w:r>
          </w:p>
        </w:tc>
        <w:tc>
          <w:tcPr>
            <w:tcW w:w="992" w:type="dxa"/>
            <w:tcBorders>
              <w:left w:val="single" w:sz="6" w:space="0" w:color="000000"/>
            </w:tcBorders>
            <w:vAlign w:val="center"/>
          </w:tcPr>
          <w:p>
            <w:pPr>
              <w:pStyle w:val="29"/>
              <w:rPr>
                <w:rFonts w:ascii="宋体" w:eastAsia="宋体" w:cs="Calibri" w:hAnsi="宋体" w:hint="eastAsia"/>
              </w:rPr>
            </w:pP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合计</w:t>
            </w:r>
          </w:p>
        </w:tc>
        <w:tc>
          <w:tcPr>
            <w:tcW w:w="136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77604.44</w:t>
            </w:r>
          </w:p>
        </w:tc>
        <w:tc>
          <w:tcPr>
            <w:tcW w:w="136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3410.00</w:t>
            </w:r>
          </w:p>
        </w:tc>
        <w:tc>
          <w:tcPr>
            <w:tcW w:w="136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74194.44</w:t>
            </w:r>
          </w:p>
        </w:tc>
        <w:tc>
          <w:tcPr>
            <w:tcW w:w="1361" w:type="dxa"/>
            <w:tcBorders>
              <w:left w:val="single" w:sz="6" w:space="0" w:color="000000"/>
            </w:tcBorders>
            <w:vAlign w:val="center"/>
          </w:tcPr>
          <w:p>
            <w:pPr>
              <w:pStyle w:val="28"/>
              <w:rPr>
                <w:rFonts w:ascii="宋体" w:eastAsia="宋体" w:cs="Calibri" w:hAnsi="宋体" w:hint="eastAsia"/>
              </w:rPr>
            </w:pPr>
          </w:p>
        </w:tc>
        <w:tc>
          <w:tcPr>
            <w:tcW w:w="1361" w:type="dxa"/>
            <w:tcBorders>
              <w:left w:val="single" w:sz="6" w:space="0" w:color="000000"/>
            </w:tcBorders>
            <w:vAlign w:val="center"/>
          </w:tcPr>
          <w:p>
            <w:pPr>
              <w:pStyle w:val="28"/>
              <w:rPr>
                <w:rFonts w:ascii="宋体" w:eastAsia="宋体" w:cs="Calibri" w:hAnsi="宋体" w:hint="eastAsia"/>
              </w:rPr>
            </w:pPr>
          </w:p>
        </w:tc>
        <w:tc>
          <w:tcPr>
            <w:tcW w:w="1361" w:type="dxa"/>
            <w:tcBorders>
              <w:left w:val="single" w:sz="6" w:space="0" w:color="000000"/>
            </w:tcBorders>
            <w:vAlign w:val="center"/>
          </w:tcPr>
          <w:p>
            <w:pPr>
              <w:pStyle w:val="28"/>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社会保障和就业支出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680.09</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669.89</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行政事业单位养老支出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669.89</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669.89</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事业单位离退休</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129.56</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129.56</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2080505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机关事业单位基本养老保险缴费支出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360.22</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360.22</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6</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2080506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机关事业单位职业年金缴费支出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180.11</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180.11</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7</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退役安置</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8</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2080999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其他退役安置支出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9</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节能环保支出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5814.97</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5814.97</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10</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自然生态保护</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5628.00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5628.00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11</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2110401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生态保护</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5578.00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5578.00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2110406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自然保护地</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天然林保护</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186.97</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186.97</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2110507</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停伐补助</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186.97</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186.97</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城乡社区支出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16</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国有土地使用权出让收入安排的支出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17</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土地开发支出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49223.00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49223.00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18</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2120814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农业生产发展支出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9000.00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9000.00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19</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农林水支出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3509.27</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3509.27</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20</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林业和草原</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3492.27</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3492.27</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21</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事业机构</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1080.91</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1080.91</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森林资源培育</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534.60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534.60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技术推广与转化</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2130207</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森林资源管理</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71.52</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71.52</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森林生态效益补偿</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1082.24</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1082.24</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26</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2130211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动植物保护</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27</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2130212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湿地保护</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28</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2130234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林业草原防灾减灾</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334.00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334.00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29</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2130236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草原管理</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30</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2130299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其他林业和草原支出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31</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普惠金融发展支出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2130803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农业保险保费补贴</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自然资源海洋气象等支出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9177.48</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6592.00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自然资源事务</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9177.48</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6592.00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行政运行</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36</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2200106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自然资源利用与保护</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4592.00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4592.00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37</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2200199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其他自然资源事务支出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38</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住房保障支出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39</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22102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住房改革支出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40</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2210201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住房公积金</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41</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灾害防治及应急管理支出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应急管理事务</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2240104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灾害风险防治</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消防救援事务</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2240299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其他消防救援事务支出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单位预算财政拨款收支总表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3402"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896" w:type="dxa"/>
            <w:gridSpan w:val="4"/>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4876"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收入</w:t>
            </w:r>
          </w:p>
        </w:tc>
        <w:tc>
          <w:tcPr>
            <w:tcW w:w="9298" w:type="dxa"/>
            <w:gridSpan w:val="5"/>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支出</w:t>
            </w:r>
          </w:p>
        </w:tc>
      </w:tr>
      <w:tr>
        <w:trPr>
          <w:trHeight w:val="369"/>
          <w:tblHeader/>
        </w:trPr>
        <w:tc>
          <w:tcPr>
            <w:tcW w:w="850" w:type="dxa"/>
            <w:vMerge/>
          </w:tcPr>
          <w:p/>
        </w:tc>
        <w:tc>
          <w:tcPr>
            <w:tcW w:w="340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  目</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金额</w:t>
            </w:r>
          </w:p>
        </w:tc>
        <w:tc>
          <w:tcPr>
            <w:tcW w:w="340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  目</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一般公共预算财政拨款</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政府性基金预算财政    拨款</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国有资本经营预算财政拨款</w:t>
            </w: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340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340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6</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7</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一、一般公共预算拨款</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9923.42</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一、一般公共服务支出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二、政府性基金预算拨款</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二、外交支出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三、国有资本经营预算拨款</w:t>
            </w: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三、国防支出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四、公共安全支出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5</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五、教育支出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6</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六、科学技术支出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7</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七、文化旅游体育与传媒支出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8</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八、社会保障和就业支出</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680.09</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680.09</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9</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九、社会保险基金支出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10</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十、卫生健康支出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11</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十一、节能环保支出</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5814.97</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5814.97</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12</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十二、城乡社区支出</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13</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十三、农林水支出</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3509.27</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3509.27</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14</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十四、交通运输支出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15</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十五、资源勘探工业信息等支出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16</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十六、商业服务业等支出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17</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十七、金融支出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18</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十八、援助其他地区支出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19</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十九、自然资源海洋气象等支出</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9177.48</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9177.48</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20</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二十、住房保障支出</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21</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二十一、粮油物资储备支出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22</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二十二、国有资本经营预算支出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23</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二十三、灾害防治及应急管理支出</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45.00</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45.00</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24</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二十四、预备费</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25</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二十五、其他支出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26</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二十六、转移性支出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27</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二十七、债务还本支出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28</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二十八、债务付息支出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29</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二十九、债务发行费用支出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30</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三十、抗疫特别国债安排的支出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31</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三十一、人行科目</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32</w:t>
            </w:r>
          </w:p>
        </w:tc>
        <w:tc>
          <w:tcPr>
            <w:tcW w:w="3402"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本年收入合计</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68146.42</w:t>
            </w:r>
          </w:p>
        </w:tc>
        <w:tc>
          <w:tcPr>
            <w:tcW w:w="3402"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本年支出合计</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77604.44</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19381.44</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58223.00</w:t>
            </w:r>
          </w:p>
        </w:tc>
        <w:tc>
          <w:tcPr>
            <w:tcW w:w="1474" w:type="dxa"/>
            <w:tcBorders>
              <w:left w:val="single" w:sz="6" w:space="0" w:color="000000"/>
            </w:tcBorders>
            <w:vAlign w:val="center"/>
          </w:tcPr>
          <w:p>
            <w:pPr>
              <w:pStyle w:val="28"/>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33</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年初财政拨款结转和结余</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9458.02</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年末财政拨款结转和结余</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34</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一、一般公共预算拨款</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9458.02</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35</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二、政府性基金预算拨款</w:t>
            </w: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36</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三、国有资本经营预算拨款</w:t>
            </w: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37</w:t>
            </w:r>
          </w:p>
        </w:tc>
        <w:tc>
          <w:tcPr>
            <w:tcW w:w="3402"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收入总计</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77604.44</w:t>
            </w:r>
          </w:p>
        </w:tc>
        <w:tc>
          <w:tcPr>
            <w:tcW w:w="3402"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支出总计</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77604.44</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19381.44</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58223.00</w:t>
            </w:r>
          </w:p>
        </w:tc>
        <w:tc>
          <w:tcPr>
            <w:tcW w:w="1474" w:type="dxa"/>
            <w:tcBorders>
              <w:left w:val="single" w:sz="6" w:space="0" w:color="000000"/>
            </w:tcBorders>
            <w:vAlign w:val="center"/>
          </w:tcPr>
          <w:p>
            <w:pPr>
              <w:pStyle w:val="28"/>
              <w:rPr>
                <w:rFonts w:ascii="宋体" w:eastAsia="宋体" w:cs="Calibri" w:hAnsi="宋体" w:hint="eastAsia"/>
              </w:rPr>
            </w:pP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单位预算一般公共预算财政拨款支出表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2551"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102"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5726"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功能分类科目</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基本支出</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项目支出</w:t>
            </w:r>
          </w:p>
        </w:tc>
      </w:tr>
      <w:tr>
        <w:trPr>
          <w:trHeight w:val="369"/>
          <w:tblHeader/>
        </w:trPr>
        <w:tc>
          <w:tcPr>
            <w:tcW w:w="850" w:type="dxa"/>
            <w:vMerge/>
          </w:tcP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科目编码</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2551" w:type="dxa"/>
            <w:vMerge/>
            <w:tcBorders>
              <w:left w:val="single" w:sz="6" w:space="0" w:color="000000"/>
            </w:tcBorders>
          </w:tcPr>
          <w:p/>
        </w:tc>
        <w:tc>
          <w:tcPr>
            <w:tcW w:w="2551" w:type="dxa"/>
            <w:vMerge/>
            <w:tcBorders>
              <w:left w:val="single" w:sz="6" w:space="0" w:color="000000"/>
            </w:tcBorders>
          </w:tcPr>
          <w:p/>
        </w:tc>
        <w:tc>
          <w:tcPr>
            <w:tcW w:w="2551" w:type="dxa"/>
            <w:vMerge/>
            <w:tcBorders>
              <w:left w:val="single" w:sz="6" w:space="0" w:color="000000"/>
            </w:tcBorders>
          </w:tcP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w:t>
            </w:r>
          </w:p>
        </w:tc>
        <w:tc>
          <w:tcPr>
            <w:tcW w:w="1191" w:type="dxa"/>
            <w:tcBorders>
              <w:left w:val="single" w:sz="6" w:space="0" w:color="000000"/>
            </w:tcBorders>
            <w:vAlign w:val="center"/>
          </w:tcPr>
          <w:p>
            <w:pPr>
              <w:pStyle w:val="29"/>
              <w:rPr>
                <w:rFonts w:ascii="宋体" w:eastAsia="宋体" w:cs="Calibri" w:hAnsi="宋体" w:hint="eastAsia"/>
              </w:rPr>
            </w:pP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合计</w:t>
            </w:r>
          </w:p>
        </w:tc>
        <w:tc>
          <w:tcPr>
            <w:tcW w:w="255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19381.44</w:t>
            </w:r>
          </w:p>
        </w:tc>
        <w:tc>
          <w:tcPr>
            <w:tcW w:w="255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3410.00</w:t>
            </w:r>
          </w:p>
        </w:tc>
        <w:tc>
          <w:tcPr>
            <w:tcW w:w="255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15971.44</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社会保障和就业支出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680.09</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669.89</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行政事业单位养老支出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669.89</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669.89</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事业单位离退休</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129.56</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129.56</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5</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2080505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机关事业单位基本养老保险缴费支出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360.22</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360.22</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6</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2080506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机关事业单位职业年金缴费支出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180.11</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180.11</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7</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退役安置</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8</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2080999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其他退役安置支出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10.20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9</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节能环保支出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5814.97</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5814.97</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10</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自然生态保护</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5628.00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5628.00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11</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2110401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生态保护</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5578.00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5578.00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12</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2110406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自然保护地</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13</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天然林保护</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186.97</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186.97</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14</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2110507</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停伐补助</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186.97</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186.97</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15</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农林水支出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3509.27</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3509.27</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16</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林业和草原</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3492.27</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3492.27</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17</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事业机构</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1080.91</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1080.91</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18</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森林资源培育</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534.60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534.60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19</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技术推广与转化</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20</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2130207</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森林资源管理</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71.52</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71.52</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21</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2130209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森林生态效益补偿</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1082.24</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1082.24</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22</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2130211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动植物保护</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23</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2130212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湿地保护</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24</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2130234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林业草原防灾减灾</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334.00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334.00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25</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2130236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草原管理</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26</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2130299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其他林业和草原支出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27</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普惠金融发展支出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28</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2130803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农业保险保费补贴</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29</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自然资源海洋气象等支出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9177.48</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6592.00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30</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自然资源事务</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9177.48</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6592.00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31</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行政运行</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2585.48</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32</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2200106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自然资源利用与保护</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4592.00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4592.00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33</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2200199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其他自然资源事务支出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2000.00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34</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住房保障支出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35</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22102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住房改革支出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36</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2210201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住房公积金</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37</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灾害防治及应急管理支出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45.00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38</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应急管理事务</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39</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2240104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灾害风险防治</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40</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消防救援事务</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41</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2240299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其他消防救援事务支出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单位预算一般公共预算财政拨款基本支出表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2"/>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2551"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102"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5726"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支出部门经济分类科目</w:t>
            </w:r>
          </w:p>
        </w:tc>
        <w:tc>
          <w:tcPr>
            <w:tcW w:w="7654" w:type="dxa"/>
            <w:gridSpan w:val="3"/>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一般公共预算基本支出</w:t>
            </w:r>
          </w:p>
        </w:tc>
      </w:tr>
      <w:tr>
        <w:trPr>
          <w:trHeight w:val="369"/>
          <w:tblHeader/>
        </w:trPr>
        <w:tc>
          <w:tcPr>
            <w:tcW w:w="850" w:type="dxa"/>
            <w:vMerge/>
          </w:tcP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科目编码</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人员经费</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公用经费</w:t>
            </w: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w:t>
            </w:r>
          </w:p>
        </w:tc>
        <w:tc>
          <w:tcPr>
            <w:tcW w:w="1191" w:type="dxa"/>
            <w:tcBorders>
              <w:left w:val="single" w:sz="6" w:space="0" w:color="000000"/>
            </w:tcBorders>
            <w:vAlign w:val="center"/>
          </w:tcPr>
          <w:p>
            <w:pPr>
              <w:pStyle w:val="29"/>
              <w:rPr>
                <w:rFonts w:ascii="宋体" w:eastAsia="宋体" w:cs="Calibri" w:hAnsi="宋体" w:hint="eastAsia"/>
              </w:rPr>
            </w:pP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合计</w:t>
            </w:r>
          </w:p>
        </w:tc>
        <w:tc>
          <w:tcPr>
            <w:tcW w:w="255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3410.00</w:t>
            </w:r>
          </w:p>
        </w:tc>
        <w:tc>
          <w:tcPr>
            <w:tcW w:w="255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3135.14</w:t>
            </w:r>
          </w:p>
        </w:tc>
        <w:tc>
          <w:tcPr>
            <w:tcW w:w="255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274.86</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工资福利支出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2988.40</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2988.40</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基本工资</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144.04</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144.04</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津贴补贴</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189.04</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189.04</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5</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30103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奖金</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89.44</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89.44</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6</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30107</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绩效工资</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4.95</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4.95</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7</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30108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机关事业单位基本养老保险缴费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360.22</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360.22</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8</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30109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职业年金缴费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180.11</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180.11</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9</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30110</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职工基本医疗保险缴费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146.27</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146.27</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10</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30112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其他社会保障缴费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11.54</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11.54</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11</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30113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住房公积金</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154.63</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12</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30199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其他工资福利支出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1708.16</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1708.16</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13</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商品和服务支出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288.54</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13.68</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274.86</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14</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办公费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55.40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55.40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15</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30205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水费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4.46</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4.46</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16</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30206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电费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39.90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39.90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17</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30207</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邮电费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5.76</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5.76</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18</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30211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差旅费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72.80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72.80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19</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30212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因公出国（境）费用</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20</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30214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租赁费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21</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30217</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公务接待费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22</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30231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公务用车运行维护费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63.00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63.00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23</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30239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其他交通费用</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13.68</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13.68</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24</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30299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其他商品和服务支出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8.54</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8.54</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25</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对个人和家庭的补助</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133.06</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133.06</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26</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30302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退休费</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129.56</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129.56</w:t>
            </w:r>
          </w:p>
        </w:tc>
        <w:tc>
          <w:tcPr>
            <w:tcW w:w="255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27</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30305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生活补助</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w:t>
            </w:r>
          </w:p>
        </w:tc>
        <w:tc>
          <w:tcPr>
            <w:tcW w:w="2551" w:type="dxa"/>
            <w:tcBorders>
              <w:left w:val="single" w:sz="6" w:space="0" w:color="000000"/>
            </w:tcBorders>
            <w:vAlign w:val="center"/>
          </w:tcPr>
          <w:p>
            <w:pPr>
              <w:pStyle w:val="24"/>
              <w:rPr>
                <w:rFonts w:ascii="宋体" w:eastAsia="宋体" w:cs="Calibri" w:hAnsi="宋体" w:hint="eastAsia"/>
              </w:rPr>
            </w:pP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单位预算政府基金预算财政拨款支出表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2551"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102"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5726"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功能分类科目</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基本支出</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项目支出</w:t>
            </w:r>
          </w:p>
        </w:tc>
      </w:tr>
      <w:tr>
        <w:trPr>
          <w:trHeight w:val="369"/>
          <w:tblHeader/>
        </w:trPr>
        <w:tc>
          <w:tcPr>
            <w:tcW w:w="850" w:type="dxa"/>
            <w:vMerge/>
          </w:tcP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科目编码</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2551" w:type="dxa"/>
            <w:vMerge/>
            <w:tcBorders>
              <w:left w:val="single" w:sz="6" w:space="0" w:color="000000"/>
            </w:tcBorders>
          </w:tcPr>
          <w:p/>
        </w:tc>
        <w:tc>
          <w:tcPr>
            <w:tcW w:w="2551" w:type="dxa"/>
            <w:vMerge/>
            <w:tcBorders>
              <w:left w:val="single" w:sz="6" w:space="0" w:color="000000"/>
            </w:tcBorders>
          </w:tcPr>
          <w:p/>
        </w:tc>
        <w:tc>
          <w:tcPr>
            <w:tcW w:w="2551" w:type="dxa"/>
            <w:vMerge/>
            <w:tcBorders>
              <w:left w:val="single" w:sz="6" w:space="0" w:color="000000"/>
            </w:tcBorders>
          </w:tcP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w:t>
            </w:r>
          </w:p>
        </w:tc>
        <w:tc>
          <w:tcPr>
            <w:tcW w:w="1191" w:type="dxa"/>
            <w:tcBorders>
              <w:left w:val="single" w:sz="6" w:space="0" w:color="000000"/>
            </w:tcBorders>
            <w:vAlign w:val="center"/>
          </w:tcPr>
          <w:p>
            <w:pPr>
              <w:pStyle w:val="29"/>
              <w:rPr>
                <w:rFonts w:ascii="宋体" w:eastAsia="宋体" w:cs="Calibri" w:hAnsi="宋体" w:hint="eastAsia"/>
              </w:rPr>
            </w:pP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合计</w:t>
            </w:r>
          </w:p>
        </w:tc>
        <w:tc>
          <w:tcPr>
            <w:tcW w:w="255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58223.00</w:t>
            </w:r>
          </w:p>
        </w:tc>
        <w:tc>
          <w:tcPr>
            <w:tcW w:w="2551" w:type="dxa"/>
            <w:tcBorders>
              <w:left w:val="single" w:sz="6" w:space="0" w:color="000000"/>
            </w:tcBorders>
            <w:vAlign w:val="center"/>
          </w:tcPr>
          <w:p>
            <w:pPr>
              <w:pStyle w:val="28"/>
              <w:rPr>
                <w:rFonts w:ascii="宋体" w:eastAsia="宋体" w:cs="Calibri" w:hAnsi="宋体" w:hint="eastAsia"/>
              </w:rPr>
            </w:pPr>
          </w:p>
        </w:tc>
        <w:tc>
          <w:tcPr>
            <w:tcW w:w="255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58223.00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城乡社区支出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国有土地使用权出让收入安排的支出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58223.00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2120802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土地开发支出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49223.00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49223.00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5</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2120814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农业生产发展支出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9000.00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9000.00</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单位预算国有资本经营预算财政拨款支出表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2551"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102"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5726"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功能分类科目</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基本支出</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项目支出</w:t>
            </w:r>
          </w:p>
        </w:tc>
      </w:tr>
      <w:tr>
        <w:trPr>
          <w:trHeight w:val="369"/>
          <w:tblHeader/>
        </w:trPr>
        <w:tc>
          <w:tcPr>
            <w:tcW w:w="850" w:type="dxa"/>
            <w:vMerge/>
          </w:tcP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科目编码</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2551" w:type="dxa"/>
            <w:vMerge/>
            <w:tcBorders>
              <w:left w:val="single" w:sz="6" w:space="0" w:color="000000"/>
            </w:tcBorders>
          </w:tcPr>
          <w:p/>
        </w:tc>
        <w:tc>
          <w:tcPr>
            <w:tcW w:w="2551" w:type="dxa"/>
            <w:vMerge/>
            <w:tcBorders>
              <w:left w:val="single" w:sz="6" w:space="0" w:color="000000"/>
            </w:tcBorders>
          </w:tcPr>
          <w:p/>
        </w:tc>
        <w:tc>
          <w:tcPr>
            <w:tcW w:w="2551" w:type="dxa"/>
            <w:vMerge/>
            <w:tcBorders>
              <w:left w:val="single" w:sz="6" w:space="0" w:color="000000"/>
            </w:tcBorders>
          </w:tcP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r>
      <w:tr>
        <w:trPr>
          <w:trHeight w:val="369"/>
        </w:trPr>
        <w:tc>
          <w:tcPr>
            <w:tcW w:w="850" w:type="dxa"/>
            <w:vAlign w:val="center"/>
          </w:tcPr>
          <w:p>
            <w:pPr>
              <w:pStyle w:val="26"/>
              <w:rPr>
                <w:rFonts w:ascii="宋体" w:eastAsia="宋体" w:cs="Calibri" w:hAnsi="宋体" w:hint="eastAsia"/>
              </w:rPr>
            </w:pPr>
          </w:p>
        </w:tc>
        <w:tc>
          <w:tcPr>
            <w:tcW w:w="1191" w:type="dxa"/>
            <w:tcBorders>
              <w:left w:val="single" w:sz="6" w:space="0" w:color="000000"/>
            </w:tcBorders>
            <w:vAlign w:val="center"/>
          </w:tcPr>
          <w:p>
            <w:pPr>
              <w:pStyle w:val="25"/>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r>
    </w:tbl>
    <w:p>
      <w:pPr>
        <w:ind w:firstLine="420"/>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r>
        <w:rPr>
          <w:rFonts w:ascii="宋体" w:eastAsia="宋体" w:cs="Calibri" w:hAnsi="宋体"/>
          <w:color w:val="000000"/>
          <w:sz w:val="21"/>
        </w:rPr>
        <w:t>注：无国有资本经营预算财政拨款预算，空表列示。</w:t>
      </w:r>
    </w:p>
    <w:p>
      <w:pPr>
        <w:jc w:val="center"/>
        <w:outlineLvl w:val="4"/>
        <w:rPr>
          <w:rFonts w:ascii="宋体" w:eastAsia="宋体" w:cs="Calibri" w:hAnsi="宋体" w:hint="eastAsia"/>
        </w:rPr>
      </w:pPr>
      <w:r>
        <w:rPr>
          <w:rFonts w:ascii="宋体" w:eastAsia="宋体" w:cs="Calibri" w:hAnsi="宋体"/>
          <w:color w:val="000000"/>
          <w:sz w:val="36"/>
        </w:rPr>
        <w:t>单位预算财政拨款“三公”经费支出表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3798"/>
        <w:gridCol w:w="2382"/>
        <w:gridCol w:w="2381"/>
        <w:gridCol w:w="2381"/>
        <w:gridCol w:w="2381"/>
      </w:tblGrid>
      <w:tr>
        <w:trPr>
          <w:trHeight w:val="369"/>
          <w:tblHeader/>
        </w:trPr>
        <w:tc>
          <w:tcPr>
            <w:tcW w:w="7030"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2381"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4762"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3798"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  目</w:t>
            </w:r>
          </w:p>
        </w:tc>
        <w:tc>
          <w:tcPr>
            <w:tcW w:w="9524" w:type="dxa"/>
            <w:gridSpan w:val="4"/>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资 金 性 质</w:t>
            </w:r>
          </w:p>
        </w:tc>
      </w:tr>
      <w:tr>
        <w:trPr>
          <w:trHeight w:val="567"/>
          <w:tblHeader/>
        </w:trPr>
        <w:tc>
          <w:tcPr>
            <w:tcW w:w="850" w:type="dxa"/>
            <w:vMerge/>
          </w:tcPr>
          <w:p/>
        </w:tc>
        <w:tc>
          <w:tcPr>
            <w:tcW w:w="3798" w:type="dxa"/>
            <w:vMerge/>
            <w:tcBorders>
              <w:left w:val="single" w:sz="6" w:space="0" w:color="000000"/>
            </w:tcBorders>
          </w:tcP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一般公共预算              财政拨款</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政府性基金                  预算拨款</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国有资本经营              预算财政拨款</w:t>
            </w:r>
          </w:p>
        </w:tc>
      </w:tr>
      <w:tr>
        <w:trPr>
          <w:trHeight w:val="567"/>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3798"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r>
      <w:tr>
        <w:trPr>
          <w:trHeight w:val="567"/>
        </w:trPr>
        <w:tc>
          <w:tcPr>
            <w:tcW w:w="850" w:type="dxa"/>
            <w:vAlign w:val="center"/>
          </w:tcPr>
          <w:p>
            <w:pPr>
              <w:pStyle w:val="26"/>
              <w:rPr>
                <w:rFonts w:ascii="宋体" w:eastAsia="宋体" w:hAnsi="宋体"/>
              </w:rPr>
            </w:pPr>
            <w:r>
              <w:rPr>
                <w:rFonts w:ascii="宋体" w:eastAsia="宋体" w:hAnsi="宋体"/>
              </w:rPr>
              <w:t>1</w:t>
            </w:r>
          </w:p>
        </w:tc>
        <w:tc>
          <w:tcPr>
            <w:tcW w:w="3798" w:type="dxa"/>
            <w:tcBorders>
              <w:left w:val="single" w:sz="6" w:space="0" w:color="000000"/>
            </w:tcBorders>
            <w:vAlign w:val="center"/>
          </w:tcPr>
          <w:p>
            <w:pPr>
              <w:pStyle w:val="25"/>
              <w:jc w:val="center"/>
              <w:rPr>
                <w:rFonts w:ascii="宋体" w:eastAsia="宋体" w:hAnsi="宋体"/>
                <w:b/>
                <w:bCs/>
              </w:rPr>
            </w:pPr>
            <w:r>
              <w:rPr>
                <w:rFonts w:ascii="宋体" w:eastAsia="宋体" w:hAnsi="宋体"/>
                <w:b/>
                <w:bCs/>
              </w:rPr>
              <w:t>合计</w:t>
            </w:r>
          </w:p>
        </w:tc>
        <w:tc>
          <w:tcPr>
            <w:tcW w:w="2381" w:type="dxa"/>
            <w:tcBorders>
              <w:left w:val="single" w:sz="6" w:space="0" w:color="000000"/>
            </w:tcBorders>
            <w:vAlign w:val="center"/>
          </w:tcPr>
          <w:p>
            <w:pPr>
              <w:pStyle w:val="24"/>
              <w:jc w:val="center"/>
              <w:rPr>
                <w:rFonts w:ascii="宋体" w:eastAsia="宋体" w:hAnsi="宋体"/>
              </w:rPr>
            </w:pPr>
            <w:r>
              <w:rPr>
                <w:rFonts w:ascii="宋体" w:eastAsia="宋体" w:hAnsi="宋体"/>
              </w:rPr>
              <w:t>78.00</w:t>
            </w:r>
          </w:p>
        </w:tc>
        <w:tc>
          <w:tcPr>
            <w:tcW w:w="2381" w:type="dxa"/>
            <w:tcBorders>
              <w:left w:val="single" w:sz="6" w:space="0" w:color="000000"/>
            </w:tcBorders>
            <w:vAlign w:val="center"/>
          </w:tcPr>
          <w:p>
            <w:pPr>
              <w:pStyle w:val="24"/>
              <w:jc w:val="center"/>
              <w:rPr>
                <w:rFonts w:ascii="宋体" w:eastAsia="宋体" w:hAnsi="宋体"/>
              </w:rPr>
            </w:pPr>
            <w:r>
              <w:rPr>
                <w:rFonts w:ascii="宋体" w:eastAsia="宋体" w:hAnsi="宋体"/>
              </w:rPr>
              <w:t>78.00</w:t>
            </w:r>
          </w:p>
        </w:tc>
        <w:tc>
          <w:tcPr>
            <w:tcW w:w="2381" w:type="dxa"/>
            <w:tcBorders>
              <w:left w:val="single" w:sz="6" w:space="0" w:color="000000"/>
            </w:tcBorders>
            <w:vAlign w:val="center"/>
          </w:tcPr>
          <w:p>
            <w:pPr>
              <w:pStyle w:val="24"/>
              <w:rPr>
                <w:rFonts w:ascii="宋体" w:eastAsia="宋体" w:hAnsi="宋体"/>
              </w:rPr>
            </w:pPr>
          </w:p>
        </w:tc>
        <w:tc>
          <w:tcPr>
            <w:tcW w:w="2381" w:type="dxa"/>
            <w:tcBorders>
              <w:left w:val="single" w:sz="6" w:space="0" w:color="000000"/>
            </w:tcBorders>
            <w:vAlign w:val="center"/>
          </w:tcPr>
          <w:p>
            <w:pPr>
              <w:pStyle w:val="24"/>
              <w:rPr>
                <w:rFonts w:ascii="宋体" w:eastAsia="宋体" w:cs="Calibri" w:hAnsi="宋体" w:hint="eastAsia"/>
              </w:rPr>
            </w:pPr>
          </w:p>
        </w:tc>
      </w:tr>
      <w:tr>
        <w:trPr>
          <w:trHeight w:val="567"/>
        </w:trPr>
        <w:tc>
          <w:tcPr>
            <w:tcW w:w="850" w:type="dxa"/>
            <w:tcBorders>
              <w:right w:val="single" w:sz="6" w:space="0" w:color="000000"/>
            </w:tcBorders>
            <w:vAlign w:val="center"/>
          </w:tcPr>
          <w:p>
            <w:pPr>
              <w:pStyle w:val="26"/>
              <w:rPr>
                <w:rFonts w:ascii="宋体" w:eastAsia="宋体" w:hAnsi="宋体"/>
              </w:rPr>
            </w:pPr>
            <w:bookmarkEnd w:id="1"/>
            <w:r>
              <w:rPr>
                <w:rFonts w:ascii="宋体" w:eastAsia="宋体" w:hAnsi="宋体"/>
              </w:rPr>
              <w:t>2</w:t>
            </w:r>
          </w:p>
        </w:tc>
        <w:tc>
          <w:tcPr>
            <w:tcW w:w="3798" w:type="dxa"/>
            <w:tcBorders>
              <w:left w:val="single" w:sz="6" w:space="0" w:color="000000"/>
              <w:right w:val="single" w:sz="6" w:space="0" w:color="000000"/>
            </w:tcBorders>
            <w:vAlign w:val="center"/>
          </w:tcPr>
          <w:p>
            <w:pPr>
              <w:pStyle w:val="25"/>
              <w:rPr>
                <w:rFonts w:ascii="宋体" w:eastAsia="宋体" w:hAnsi="宋体"/>
              </w:rPr>
            </w:pPr>
            <w:r>
              <w:rPr>
                <w:rFonts w:ascii="宋体" w:eastAsia="宋体" w:hAnsi="宋体"/>
              </w:rPr>
              <w:t>一、因公出国（境）费用</w:t>
            </w:r>
          </w:p>
        </w:tc>
        <w:tc>
          <w:tcPr>
            <w:tcW w:w="2381" w:type="dxa"/>
            <w:tcBorders>
              <w:left w:val="single" w:sz="6" w:space="0" w:color="000000"/>
              <w:right w:val="single" w:sz="6" w:space="0" w:color="000000"/>
            </w:tcBorders>
            <w:vAlign w:val="center"/>
          </w:tcPr>
          <w:p>
            <w:pPr>
              <w:pStyle w:val="24"/>
              <w:jc w:val="center"/>
              <w:rPr>
                <w:rFonts w:ascii="宋体" w:eastAsia="宋体" w:hAnsi="宋体"/>
              </w:rPr>
            </w:pPr>
            <w:r>
              <w:rPr>
                <w:rFonts w:ascii="宋体" w:eastAsia="宋体" w:hAnsi="宋体"/>
              </w:rPr>
              <w:t>3.00</w:t>
            </w:r>
          </w:p>
        </w:tc>
        <w:tc>
          <w:tcPr>
            <w:tcW w:w="2381" w:type="dxa"/>
            <w:tcBorders>
              <w:left w:val="single" w:sz="6" w:space="0" w:color="000000"/>
              <w:right w:val="single" w:sz="6" w:space="0" w:color="000000"/>
            </w:tcBorders>
            <w:vAlign w:val="center"/>
          </w:tcPr>
          <w:p>
            <w:pPr>
              <w:pStyle w:val="24"/>
              <w:jc w:val="center"/>
              <w:rPr>
                <w:rFonts w:ascii="宋体" w:eastAsia="宋体" w:hAnsi="宋体"/>
              </w:rPr>
            </w:pPr>
            <w:r>
              <w:rPr>
                <w:rFonts w:ascii="宋体" w:eastAsia="宋体" w:hAnsi="宋体"/>
              </w:rPr>
              <w:t>3.00</w:t>
            </w:r>
          </w:p>
        </w:tc>
        <w:tc>
          <w:tcPr>
            <w:tcW w:w="2381" w:type="dxa"/>
            <w:tcBorders>
              <w:left w:val="single" w:sz="6" w:space="0" w:color="000000"/>
              <w:right w:val="single" w:sz="6" w:space="0" w:color="000000"/>
            </w:tcBorders>
            <w:vAlign w:val="center"/>
          </w:tcPr>
          <w:p>
            <w:pPr>
              <w:pStyle w:val="24"/>
              <w:rPr>
                <w:rFonts w:ascii="宋体" w:eastAsia="宋体" w:hAnsi="宋体"/>
              </w:rPr>
            </w:pPr>
          </w:p>
        </w:tc>
        <w:tc>
          <w:tcPr>
            <w:tcW w:w="2381" w:type="dxa"/>
            <w:tcBorders>
              <w:left w:val="single" w:sz="6" w:space="0" w:color="000000"/>
            </w:tcBorders>
            <w:vAlign w:val="center"/>
          </w:tcPr>
          <w:p>
            <w:pPr>
              <w:pStyle w:val="24"/>
              <w:rPr>
                <w:rFonts w:ascii="宋体" w:eastAsia="宋体" w:cs="Calibri" w:hAnsi="宋体"/>
              </w:rPr>
            </w:pPr>
          </w:p>
        </w:tc>
      </w:tr>
      <w:tr>
        <w:trPr>
          <w:trHeight w:val="567"/>
        </w:trPr>
        <w:tc>
          <w:tcPr>
            <w:tcW w:w="850" w:type="dxa"/>
            <w:tcBorders>
              <w:right w:val="single" w:sz="6" w:space="0" w:color="000000"/>
            </w:tcBorders>
            <w:vAlign w:val="center"/>
          </w:tcPr>
          <w:p>
            <w:pPr>
              <w:pStyle w:val="26"/>
              <w:rPr>
                <w:rFonts w:ascii="宋体" w:eastAsia="宋体" w:hAnsi="宋体"/>
              </w:rPr>
            </w:pPr>
            <w:r>
              <w:rPr>
                <w:rFonts w:ascii="宋体" w:eastAsia="宋体" w:hAnsi="宋体"/>
              </w:rPr>
              <w:t>3</w:t>
            </w:r>
          </w:p>
        </w:tc>
        <w:tc>
          <w:tcPr>
            <w:tcW w:w="3798" w:type="dxa"/>
            <w:tcBorders>
              <w:left w:val="single" w:sz="6" w:space="0" w:color="000000"/>
              <w:right w:val="single" w:sz="6" w:space="0" w:color="000000"/>
            </w:tcBorders>
            <w:vAlign w:val="center"/>
          </w:tcPr>
          <w:p>
            <w:pPr>
              <w:pStyle w:val="25"/>
              <w:rPr>
                <w:rFonts w:ascii="宋体" w:eastAsia="宋体" w:hAnsi="宋体"/>
              </w:rPr>
            </w:pPr>
            <w:r>
              <w:rPr>
                <w:rFonts w:ascii="宋体" w:eastAsia="宋体" w:hAnsi="宋体"/>
              </w:rPr>
              <w:t>二、</w:t>
            </w:r>
            <w:r>
              <w:rPr>
                <w:rFonts w:ascii="宋体" w:eastAsia="宋体" w:hAnsi="宋体" w:hint="eastAsia"/>
                <w:lang w:eastAsia="zh-CN"/>
              </w:rPr>
              <w:t>公务用车购置及运维费</w:t>
            </w:r>
          </w:p>
        </w:tc>
        <w:tc>
          <w:tcPr>
            <w:tcW w:w="2381" w:type="dxa"/>
            <w:tcBorders>
              <w:left w:val="single" w:sz="6" w:space="0" w:color="000000"/>
              <w:right w:val="single" w:sz="6" w:space="0" w:color="000000"/>
            </w:tcBorders>
            <w:vAlign w:val="center"/>
          </w:tcPr>
          <w:p>
            <w:pPr>
              <w:pStyle w:val="24"/>
              <w:jc w:val="center"/>
              <w:rPr>
                <w:rFonts w:ascii="宋体" w:eastAsia="宋体" w:hAnsi="宋体"/>
              </w:rPr>
            </w:pPr>
            <w:r>
              <w:rPr>
                <w:rFonts w:ascii="宋体" w:eastAsia="宋体" w:hAnsi="宋体"/>
              </w:rPr>
              <w:t>63.00</w:t>
            </w:r>
          </w:p>
        </w:tc>
        <w:tc>
          <w:tcPr>
            <w:tcW w:w="2381" w:type="dxa"/>
            <w:tcBorders>
              <w:left w:val="single" w:sz="6" w:space="0" w:color="000000"/>
              <w:right w:val="single" w:sz="6" w:space="0" w:color="000000"/>
            </w:tcBorders>
            <w:vAlign w:val="center"/>
          </w:tcPr>
          <w:p>
            <w:pPr>
              <w:pStyle w:val="24"/>
              <w:jc w:val="center"/>
              <w:rPr>
                <w:rFonts w:ascii="宋体" w:eastAsia="宋体" w:hAnsi="宋体"/>
              </w:rPr>
            </w:pPr>
            <w:r>
              <w:rPr>
                <w:rFonts w:ascii="宋体" w:eastAsia="宋体" w:hAnsi="宋体"/>
              </w:rPr>
              <w:t>63.00</w:t>
            </w:r>
          </w:p>
        </w:tc>
        <w:tc>
          <w:tcPr>
            <w:tcW w:w="2381" w:type="dxa"/>
            <w:tcBorders>
              <w:left w:val="single" w:sz="6" w:space="0" w:color="000000"/>
              <w:right w:val="single" w:sz="6" w:space="0" w:color="000000"/>
            </w:tcBorders>
            <w:vAlign w:val="center"/>
          </w:tcPr>
          <w:p>
            <w:pPr>
              <w:pStyle w:val="24"/>
              <w:rPr>
                <w:rFonts w:ascii="宋体" w:eastAsia="宋体" w:hAnsi="宋体"/>
              </w:rPr>
            </w:pPr>
          </w:p>
        </w:tc>
        <w:tc>
          <w:tcPr>
            <w:tcW w:w="2381" w:type="dxa"/>
            <w:tcBorders>
              <w:left w:val="single" w:sz="6" w:space="0" w:color="000000"/>
            </w:tcBorders>
            <w:vAlign w:val="center"/>
          </w:tcPr>
          <w:p>
            <w:pPr>
              <w:pStyle w:val="24"/>
              <w:rPr>
                <w:rFonts w:ascii="宋体" w:eastAsia="宋体" w:cs="Calibri" w:hAnsi="宋体"/>
              </w:rPr>
            </w:pPr>
          </w:p>
        </w:tc>
      </w:tr>
      <w:tr>
        <w:trPr>
          <w:trHeight w:val="567"/>
        </w:trPr>
        <w:tc>
          <w:tcPr>
            <w:tcW w:w="850" w:type="dxa"/>
            <w:tcBorders>
              <w:right w:val="single" w:sz="6" w:space="0" w:color="000000"/>
            </w:tcBorders>
            <w:vAlign w:val="center"/>
          </w:tcPr>
          <w:p>
            <w:pPr>
              <w:pStyle w:val="26"/>
              <w:rPr>
                <w:rFonts w:ascii="宋体" w:eastAsia="宋体" w:hAnsi="宋体"/>
              </w:rPr>
            </w:pPr>
            <w:r>
              <w:rPr>
                <w:rFonts w:ascii="宋体" w:eastAsia="宋体" w:hAnsi="宋体"/>
              </w:rPr>
              <w:t>4</w:t>
            </w:r>
          </w:p>
        </w:tc>
        <w:tc>
          <w:tcPr>
            <w:tcW w:w="3798" w:type="dxa"/>
            <w:tcBorders>
              <w:left w:val="single" w:sz="6" w:space="0" w:color="000000"/>
              <w:right w:val="single" w:sz="6" w:space="0" w:color="000000"/>
            </w:tcBorders>
            <w:vAlign w:val="center"/>
          </w:tcPr>
          <w:p>
            <w:pPr>
              <w:pStyle w:val="25"/>
              <w:rPr>
                <w:rFonts w:ascii="宋体" w:eastAsia="宋体" w:hAnsi="宋体" w:hint="eastAsia"/>
                <w:lang w:eastAsia="zh-CN"/>
              </w:rPr>
            </w:pPr>
            <w:r>
              <w:rPr>
                <w:rFonts w:ascii="宋体" w:eastAsia="宋体" w:hAnsi="宋体" w:hint="eastAsia"/>
                <w:lang w:eastAsia="zh-CN"/>
              </w:rPr>
              <w:t>其中：公务用车购置费</w:t>
            </w:r>
          </w:p>
        </w:tc>
        <w:tc>
          <w:tcPr>
            <w:tcW w:w="2381" w:type="dxa"/>
            <w:tcBorders>
              <w:left w:val="single" w:sz="6" w:space="0" w:color="000000"/>
              <w:right w:val="single" w:sz="6" w:space="0" w:color="000000"/>
            </w:tcBorders>
            <w:vAlign w:val="center"/>
          </w:tcPr>
          <w:p>
            <w:pPr>
              <w:pStyle w:val="24"/>
              <w:jc w:val="center"/>
              <w:rPr>
                <w:rFonts w:ascii="宋体" w:eastAsia="宋体" w:hAnsi="宋体"/>
              </w:rPr>
            </w:pPr>
          </w:p>
        </w:tc>
        <w:tc>
          <w:tcPr>
            <w:tcW w:w="2381" w:type="dxa"/>
            <w:tcBorders>
              <w:left w:val="single" w:sz="6" w:space="0" w:color="000000"/>
              <w:right w:val="single" w:sz="6" w:space="0" w:color="000000"/>
            </w:tcBorders>
            <w:vAlign w:val="center"/>
          </w:tcPr>
          <w:p>
            <w:pPr>
              <w:pStyle w:val="24"/>
              <w:jc w:val="center"/>
              <w:rPr>
                <w:rFonts w:ascii="宋体" w:eastAsia="宋体" w:hAnsi="宋体"/>
              </w:rPr>
            </w:pPr>
          </w:p>
        </w:tc>
        <w:tc>
          <w:tcPr>
            <w:tcW w:w="2381" w:type="dxa"/>
            <w:tcBorders>
              <w:left w:val="single" w:sz="6" w:space="0" w:color="000000"/>
              <w:right w:val="single" w:sz="6" w:space="0" w:color="000000"/>
            </w:tcBorders>
            <w:vAlign w:val="center"/>
          </w:tcPr>
          <w:p>
            <w:pPr>
              <w:pStyle w:val="24"/>
              <w:rPr>
                <w:rFonts w:ascii="宋体" w:eastAsia="宋体" w:hAnsi="宋体"/>
              </w:rPr>
            </w:pPr>
          </w:p>
        </w:tc>
        <w:tc>
          <w:tcPr>
            <w:tcW w:w="2381" w:type="dxa"/>
            <w:tcBorders>
              <w:left w:val="single" w:sz="6" w:space="0" w:color="000000"/>
            </w:tcBorders>
            <w:vAlign w:val="center"/>
          </w:tcPr>
          <w:p>
            <w:pPr>
              <w:pStyle w:val="24"/>
              <w:rPr>
                <w:rFonts w:ascii="宋体" w:eastAsia="宋体" w:cs="Calibri" w:hAnsi="宋体"/>
              </w:rPr>
            </w:pPr>
          </w:p>
        </w:tc>
      </w:tr>
      <w:tr>
        <w:trPr>
          <w:trHeight w:val="567"/>
        </w:trPr>
        <w:tc>
          <w:tcPr>
            <w:tcW w:w="850" w:type="dxa"/>
            <w:tcBorders>
              <w:right w:val="single" w:sz="6" w:space="0" w:color="000000"/>
            </w:tcBorders>
            <w:vAlign w:val="center"/>
          </w:tcPr>
          <w:p>
            <w:pPr>
              <w:pStyle w:val="26"/>
              <w:rPr>
                <w:rFonts w:ascii="宋体" w:eastAsia="宋体" w:hAnsi="宋体"/>
              </w:rPr>
            </w:pPr>
            <w:r>
              <w:rPr>
                <w:rFonts w:ascii="宋体" w:eastAsia="宋体" w:hAnsi="宋体"/>
              </w:rPr>
              <w:t>5</w:t>
            </w:r>
          </w:p>
        </w:tc>
        <w:tc>
          <w:tcPr>
            <w:tcW w:w="3798" w:type="dxa"/>
            <w:tcBorders>
              <w:left w:val="single" w:sz="6" w:space="0" w:color="000000"/>
              <w:right w:val="single" w:sz="6" w:space="0" w:color="000000"/>
            </w:tcBorders>
            <w:vAlign w:val="center"/>
          </w:tcPr>
          <w:p>
            <w:pPr>
              <w:pStyle w:val="25"/>
              <w:ind w:firstLineChars="300" w:firstLine="630"/>
              <w:rPr>
                <w:rFonts w:ascii="宋体" w:eastAsia="宋体" w:hAnsi="宋体" w:hint="eastAsia"/>
                <w:lang w:eastAsia="zh-CN"/>
              </w:rPr>
            </w:pPr>
            <w:r>
              <w:rPr>
                <w:rFonts w:ascii="宋体" w:eastAsia="宋体" w:hAnsi="宋体" w:hint="eastAsia"/>
                <w:lang w:eastAsia="zh-CN"/>
              </w:rPr>
              <w:t>公务用车运行维护费</w:t>
            </w:r>
          </w:p>
        </w:tc>
        <w:tc>
          <w:tcPr>
            <w:tcW w:w="2381" w:type="dxa"/>
            <w:tcBorders>
              <w:left w:val="single" w:sz="6" w:space="0" w:color="000000"/>
              <w:right w:val="single" w:sz="6" w:space="0" w:color="000000"/>
            </w:tcBorders>
            <w:vAlign w:val="center"/>
          </w:tcPr>
          <w:p>
            <w:pPr>
              <w:pStyle w:val="24"/>
              <w:jc w:val="center"/>
              <w:rPr>
                <w:rFonts w:ascii="宋体" w:eastAsia="宋体" w:hAnsi="宋体"/>
              </w:rPr>
            </w:pPr>
            <w:r>
              <w:rPr>
                <w:rFonts w:ascii="宋体" w:eastAsia="宋体" w:hAnsi="宋体"/>
              </w:rPr>
              <w:t>63.00</w:t>
            </w:r>
          </w:p>
        </w:tc>
        <w:tc>
          <w:tcPr>
            <w:tcW w:w="2381" w:type="dxa"/>
            <w:tcBorders>
              <w:left w:val="single" w:sz="6" w:space="0" w:color="000000"/>
              <w:right w:val="single" w:sz="6" w:space="0" w:color="000000"/>
            </w:tcBorders>
            <w:vAlign w:val="center"/>
          </w:tcPr>
          <w:p>
            <w:pPr>
              <w:pStyle w:val="24"/>
              <w:jc w:val="center"/>
              <w:rPr>
                <w:rFonts w:ascii="宋体" w:eastAsia="宋体" w:hAnsi="宋体"/>
              </w:rPr>
            </w:pPr>
            <w:r>
              <w:rPr>
                <w:rFonts w:ascii="宋体" w:eastAsia="宋体" w:hAnsi="宋体"/>
              </w:rPr>
              <w:t>63.00</w:t>
            </w:r>
          </w:p>
        </w:tc>
        <w:tc>
          <w:tcPr>
            <w:tcW w:w="2381" w:type="dxa"/>
            <w:tcBorders>
              <w:left w:val="single" w:sz="6" w:space="0" w:color="000000"/>
              <w:right w:val="single" w:sz="6" w:space="0" w:color="000000"/>
            </w:tcBorders>
            <w:vAlign w:val="center"/>
          </w:tcPr>
          <w:p>
            <w:pPr>
              <w:pStyle w:val="24"/>
              <w:rPr>
                <w:rFonts w:ascii="宋体" w:eastAsia="宋体" w:hAnsi="宋体"/>
              </w:rPr>
            </w:pPr>
          </w:p>
        </w:tc>
        <w:tc>
          <w:tcPr>
            <w:tcW w:w="2381" w:type="dxa"/>
            <w:tcBorders>
              <w:left w:val="single" w:sz="6" w:space="0" w:color="000000"/>
            </w:tcBorders>
            <w:vAlign w:val="center"/>
          </w:tcPr>
          <w:p>
            <w:pPr>
              <w:pStyle w:val="24"/>
              <w:rPr>
                <w:rFonts w:ascii="宋体" w:eastAsia="宋体" w:cs="Calibri" w:hAnsi="宋体"/>
              </w:rPr>
            </w:pPr>
          </w:p>
        </w:tc>
      </w:tr>
      <w:tr>
        <w:trPr>
          <w:trHeight w:val="567"/>
        </w:trPr>
        <w:tc>
          <w:tcPr>
            <w:tcW w:w="850" w:type="dxa"/>
            <w:tcBorders>
              <w:right w:val="single" w:sz="6" w:space="0" w:color="000000"/>
            </w:tcBorders>
            <w:vAlign w:val="center"/>
          </w:tcPr>
          <w:p>
            <w:pPr>
              <w:pStyle w:val="26"/>
              <w:rPr>
                <w:rFonts w:ascii="宋体" w:eastAsia="宋体" w:hAnsi="宋体"/>
              </w:rPr>
            </w:pPr>
            <w:r>
              <w:rPr>
                <w:rFonts w:ascii="宋体" w:eastAsia="宋体" w:hAnsi="宋体"/>
              </w:rPr>
              <w:t>6</w:t>
            </w:r>
          </w:p>
        </w:tc>
        <w:tc>
          <w:tcPr>
            <w:tcW w:w="3798" w:type="dxa"/>
            <w:tcBorders>
              <w:left w:val="single" w:sz="6" w:space="0" w:color="000000"/>
              <w:right w:val="single" w:sz="6" w:space="0" w:color="000000"/>
            </w:tcBorders>
            <w:vAlign w:val="center"/>
          </w:tcPr>
          <w:p>
            <w:pPr>
              <w:pStyle w:val="25"/>
              <w:rPr>
                <w:rFonts w:ascii="宋体" w:eastAsia="宋体" w:hAnsi="宋体"/>
              </w:rPr>
            </w:pPr>
            <w:r>
              <w:rPr>
                <w:rFonts w:ascii="宋体" w:eastAsia="宋体" w:hAnsi="宋体"/>
              </w:rPr>
              <w:t>三、公务接待费</w:t>
            </w:r>
          </w:p>
        </w:tc>
        <w:tc>
          <w:tcPr>
            <w:tcW w:w="2381" w:type="dxa"/>
            <w:tcBorders>
              <w:left w:val="single" w:sz="6" w:space="0" w:color="000000"/>
              <w:right w:val="single" w:sz="6" w:space="0" w:color="000000"/>
            </w:tcBorders>
            <w:vAlign w:val="center"/>
          </w:tcPr>
          <w:p>
            <w:pPr>
              <w:pStyle w:val="24"/>
              <w:jc w:val="center"/>
              <w:rPr>
                <w:rFonts w:ascii="宋体" w:eastAsia="宋体" w:hAnsi="宋体"/>
              </w:rPr>
            </w:pPr>
            <w:r>
              <w:rPr>
                <w:rFonts w:ascii="宋体" w:eastAsia="宋体" w:hAnsi="宋体"/>
              </w:rPr>
              <w:t>12.00</w:t>
            </w:r>
          </w:p>
        </w:tc>
        <w:tc>
          <w:tcPr>
            <w:tcW w:w="2381" w:type="dxa"/>
            <w:tcBorders>
              <w:left w:val="single" w:sz="6" w:space="0" w:color="000000"/>
              <w:right w:val="single" w:sz="6" w:space="0" w:color="000000"/>
            </w:tcBorders>
            <w:vAlign w:val="center"/>
          </w:tcPr>
          <w:p>
            <w:pPr>
              <w:pStyle w:val="24"/>
              <w:jc w:val="center"/>
              <w:rPr>
                <w:rFonts w:ascii="宋体" w:eastAsia="宋体" w:hAnsi="宋体"/>
              </w:rPr>
            </w:pPr>
            <w:r>
              <w:rPr>
                <w:rFonts w:ascii="宋体" w:eastAsia="宋体" w:hAnsi="宋体"/>
              </w:rPr>
              <w:t>12.00</w:t>
            </w:r>
          </w:p>
        </w:tc>
        <w:tc>
          <w:tcPr>
            <w:tcW w:w="2381" w:type="dxa"/>
            <w:tcBorders>
              <w:left w:val="single" w:sz="6" w:space="0" w:color="000000"/>
              <w:right w:val="single" w:sz="6" w:space="0" w:color="000000"/>
            </w:tcBorders>
            <w:vAlign w:val="center"/>
          </w:tcPr>
          <w:p>
            <w:pPr>
              <w:pStyle w:val="24"/>
              <w:rPr>
                <w:rFonts w:ascii="宋体" w:eastAsia="宋体" w:hAnsi="宋体"/>
              </w:rPr>
            </w:pPr>
          </w:p>
        </w:tc>
        <w:tc>
          <w:tcPr>
            <w:tcW w:w="2381" w:type="dxa"/>
            <w:tcBorders>
              <w:left w:val="single" w:sz="6" w:space="0" w:color="000000"/>
            </w:tcBorders>
            <w:vAlign w:val="center"/>
          </w:tcPr>
          <w:p>
            <w:pPr>
              <w:pStyle w:val="24"/>
              <w:rPr>
                <w:rFonts w:ascii="宋体" w:eastAsia="宋体" w:cs="Calibri" w:hAnsi="宋体"/>
              </w:rPr>
            </w:pPr>
          </w:p>
        </w:tc>
      </w:tr>
    </w:tbl>
    <w:p>
      <w:pPr>
        <w:jc w:val="center"/>
        <w:outlineLvl w:val="4"/>
        <w:rPr>
          <w:rFonts w:ascii="宋体" w:eastAsia="宋体" w:cs="Calibri" w:hAnsi="宋体"/>
          <w:color w:val="000000"/>
          <w:sz w:val="44"/>
        </w:rPr>
      </w:pPr>
    </w:p>
    <w:p>
      <w:pPr>
        <w:jc w:val="center"/>
        <w:outlineLvl w:val="4"/>
        <w:rPr>
          <w:rFonts w:ascii="宋体" w:eastAsia="宋体" w:cs="Calibri" w:hAnsi="宋体"/>
          <w:color w:val="000000"/>
          <w:sz w:val="44"/>
        </w:rPr>
      </w:pPr>
    </w:p>
    <w:p>
      <w:pPr>
        <w:jc w:val="center"/>
        <w:outlineLvl w:val="4"/>
        <w:rPr>
          <w:rFonts w:ascii="宋体" w:eastAsia="宋体" w:cs="Calibri" w:hAnsi="宋体"/>
          <w:color w:val="000000"/>
          <w:sz w:val="44"/>
        </w:rPr>
      </w:pPr>
    </w:p>
    <w:p>
      <w:pPr>
        <w:jc w:val="center"/>
        <w:outlineLvl w:val="4"/>
        <w:rPr>
          <w:rFonts w:ascii="宋体" w:eastAsia="宋体" w:cs="Calibri" w:hAnsi="宋体"/>
          <w:color w:val="000000"/>
          <w:sz w:val="44"/>
        </w:rPr>
      </w:pPr>
    </w:p>
    <w:p>
      <w:pPr>
        <w:jc w:val="center"/>
        <w:outlineLvl w:val="4"/>
        <w:rPr>
          <w:rFonts w:ascii="宋体" w:eastAsia="宋体" w:cs="Calibri" w:hAnsi="宋体"/>
          <w:color w:val="000000"/>
          <w:sz w:val="44"/>
        </w:rPr>
      </w:pPr>
    </w:p>
    <w:p>
      <w:pPr>
        <w:jc w:val="both"/>
        <w:outlineLvl w:val="4"/>
        <w:rPr>
          <w:rFonts w:ascii="宋体" w:eastAsia="宋体" w:cs="Calibri" w:hAnsi="宋体"/>
          <w:color w:val="000000"/>
          <w:sz w:val="44"/>
        </w:rPr>
      </w:pPr>
    </w:p>
    <w:p>
      <w:pPr>
        <w:jc w:val="center"/>
        <w:outlineLvl w:val="4"/>
        <w:rPr>
          <w:rFonts w:ascii="宋体" w:eastAsia="宋体" w:cs="Calibri" w:hAnsi="宋体" w:hint="eastAsia"/>
        </w:rPr>
      </w:pPr>
      <w:r>
        <w:rPr>
          <w:rFonts w:ascii="宋体" w:eastAsia="宋体" w:cs="Calibri" w:hAnsi="宋体"/>
          <w:color w:val="000000"/>
          <w:sz w:val="44"/>
        </w:rPr>
        <w:t>涞源县自然资源和规划局本级2023年单位预算信息公开情况说明</w:t>
      </w:r>
    </w:p>
    <w:p>
      <w:pPr>
        <w:spacing w:line="500" w:lineRule="exact"/>
        <w:ind w:firstLine="560"/>
        <w:rPr>
          <w:rFonts w:ascii="宋体" w:eastAsia="宋体" w:cs="Calibri" w:hAnsi="宋体" w:hint="eastAsia"/>
        </w:rPr>
      </w:pPr>
      <w:r>
        <w:rPr>
          <w:rFonts w:ascii="宋体" w:eastAsia="宋体" w:cs="Calibri" w:hAnsi="宋体"/>
          <w:color w:val="000000"/>
          <w:sz w:val="28"/>
        </w:rPr>
        <w:t>按照《</w:t>
      </w:r>
      <w:r>
        <w:rPr>
          <w:rFonts w:ascii="宋体" w:eastAsia="宋体" w:cs="Calibri" w:hAnsi="宋体" w:hint="eastAsia"/>
          <w:color w:val="000000"/>
          <w:sz w:val="28"/>
          <w:lang w:val="uk-UA" w:eastAsia="zh-CN"/>
        </w:rPr>
        <w:t>中华人民共和国</w:t>
      </w:r>
      <w:r>
        <w:rPr>
          <w:rFonts w:ascii="宋体" w:eastAsia="宋体" w:cs="Calibri" w:hAnsi="宋体"/>
          <w:color w:val="000000"/>
          <w:sz w:val="28"/>
        </w:rPr>
        <w:t>预算法》、《地方预决算公开操作规程》和《关于进一步推进预算公开工作的实施意见》规定，现将涞源县自然资源和规划局本级2023年单位预算公开如下：</w:t>
      </w:r>
    </w:p>
    <w:p>
      <w:pPr>
        <w:spacing w:before="10" w:after="10"/>
        <w:ind w:firstLine="640"/>
        <w:outlineLvl w:val="5"/>
        <w:rPr>
          <w:rFonts w:ascii="宋体" w:eastAsia="宋体" w:cs="Calibri" w:hAnsi="宋体" w:hint="eastAsia"/>
        </w:rPr>
      </w:pPr>
      <w:r>
        <w:rPr>
          <w:rFonts w:ascii="宋体" w:eastAsia="宋体" w:cs="Calibri" w:hAnsi="宋体"/>
          <w:color w:val="000000"/>
          <w:sz w:val="32"/>
        </w:rPr>
        <w:t>一、单位职责及机构设置情况</w:t>
      </w:r>
    </w:p>
    <w:p>
      <w:pPr>
        <w:ind w:firstLine="640"/>
        <w:rPr>
          <w:rFonts w:ascii="宋体" w:eastAsia="宋体" w:cs="Calibri" w:hAnsi="宋体" w:hint="eastAsia"/>
        </w:rPr>
      </w:pPr>
      <w:r>
        <w:rPr>
          <w:rFonts w:ascii="宋体" w:eastAsia="宋体" w:cs="Calibri" w:hAnsi="宋体"/>
          <w:b/>
          <w:color w:val="000000"/>
          <w:sz w:val="32"/>
        </w:rPr>
        <w:t>单位职责：</w:t>
      </w:r>
    </w:p>
    <w:p>
      <w:pPr>
        <w:pStyle w:val="38"/>
        <w:rPr>
          <w:rFonts w:ascii="宋体" w:eastAsia="宋体" w:cs="Calibri" w:hAnsi="宋体" w:hint="eastAsia"/>
        </w:rPr>
      </w:pPr>
      <w:r>
        <w:rPr>
          <w:rFonts w:ascii="宋体" w:eastAsia="宋体" w:cs="Calibri" w:hAnsi="宋体"/>
        </w:rPr>
        <w:t>一、办公室（信访股）</w:t>
      </w:r>
    </w:p>
    <w:p>
      <w:pPr>
        <w:pStyle w:val="38"/>
        <w:rPr>
          <w:rFonts w:ascii="宋体" w:eastAsia="宋体" w:cs="Calibri" w:hAnsi="宋体" w:hint="eastAsia"/>
        </w:rPr>
      </w:pPr>
      <w:r>
        <w:rPr>
          <w:rFonts w:ascii="宋体" w:eastAsia="宋体" w:cs="Calibri" w:hAnsi="宋体"/>
        </w:rPr>
        <w:t>（一）办公室：组织协调局机关日常政务，负责机关日常运转工作；负责承办机关综合性会议的会务工作，承办局务会、局长办公会议、局党组会议的组织工作；负责上传下达、文电处理、印鉴管理、档案管理、机要保密、公务接待、计划生育等事务。</w:t>
      </w:r>
    </w:p>
    <w:p>
      <w:pPr>
        <w:pStyle w:val="38"/>
        <w:rPr>
          <w:rFonts w:ascii="宋体" w:eastAsia="宋体" w:cs="Calibri" w:hAnsi="宋体" w:hint="eastAsia"/>
        </w:rPr>
      </w:pPr>
      <w:r>
        <w:rPr>
          <w:rFonts w:ascii="宋体" w:eastAsia="宋体" w:cs="Calibri" w:hAnsi="宋体"/>
        </w:rPr>
        <w:t>（二）综合部门：统筹协调推进全局重点和年度工作，组织起草综合汇报材料，负责起草局重要文件文稿；负责局机关综合信息、政务公开、新闻宣传及网络舆情处置工作；负责与省厅、市局的网络视频并网和操作事项；开展政务信息发布、信息资料管理、信息查询及信息业务培训；做好全局网络及办公信息设备的日常维护；严守网上资料保密工作；承担全系统权责清单的编制、修改及监督运行工作；牵头组织、承办优化营商环境工作。</w:t>
      </w:r>
    </w:p>
    <w:p>
      <w:pPr>
        <w:pStyle w:val="38"/>
        <w:rPr>
          <w:rFonts w:ascii="宋体" w:eastAsia="宋体" w:cs="Calibri" w:hAnsi="宋体" w:hint="eastAsia"/>
        </w:rPr>
      </w:pPr>
      <w:r>
        <w:rPr>
          <w:rFonts w:ascii="宋体" w:eastAsia="宋体" w:cs="Calibri" w:hAnsi="宋体"/>
        </w:rPr>
        <w:t>（三）财务部门：负责制定财务会计制度，编制年度各项费用预决算和固定资产投资计划；负责对本局各项规费的统一收缴、管理和使用及工资福利发放；承担局机关编制人员养老保险、医疗保险、住房公积金的管理、申报、缴纳及发放；做好机关经费及专项资金管理工作；承担固定资产购置及阶段性采购；负责自然资源林业统计工作；负责机关财务和所属事业单位、国有林场财务、国有资产监管等工作；对公务出差报销严格把关；协助办公室做好接待工作。</w:t>
      </w:r>
    </w:p>
    <w:p>
      <w:pPr>
        <w:pStyle w:val="38"/>
        <w:rPr>
          <w:rFonts w:ascii="宋体" w:eastAsia="宋体" w:cs="Calibri" w:hAnsi="宋体" w:hint="eastAsia"/>
        </w:rPr>
      </w:pPr>
      <w:r>
        <w:rPr>
          <w:rFonts w:ascii="宋体" w:eastAsia="宋体" w:cs="Calibri" w:hAnsi="宋体"/>
        </w:rPr>
        <w:t>（四）人事部门：承担全局机构编制、干部选拔培养、人事管理、职称评定、技术等级考核、劳动工资、教育培训、编制人员考核与奖惩；配合做好县委组织部对局领导干部和同级非领导职务干部的考核、考察、奖惩工作，做好老干部工作。</w:t>
      </w:r>
    </w:p>
    <w:p>
      <w:pPr>
        <w:pStyle w:val="38"/>
        <w:rPr>
          <w:rFonts w:ascii="宋体" w:eastAsia="宋体" w:cs="Calibri" w:hAnsi="宋体" w:hint="eastAsia"/>
        </w:rPr>
      </w:pPr>
      <w:r>
        <w:rPr>
          <w:rFonts w:ascii="宋体" w:eastAsia="宋体" w:cs="Calibri" w:hAnsi="宋体"/>
        </w:rPr>
        <w:t>（五）纪检监察室：负责对中央</w:t>
      </w:r>
      <w:bookmarkStart w:id="2" w:name="突出显示"/>
      <w:bookmarkStart w:id="3" w:name="_GoBack"/>
      <w:r>
        <w:rPr>
          <w:rFonts w:ascii="宋体" w:eastAsia="宋体" w:cs="Calibri" w:hAnsi="宋体"/>
        </w:rPr>
        <w:t>八项规定</w:t>
      </w:r>
      <w:bookmarkEnd w:id="2"/>
      <w:bookmarkEnd w:id="3"/>
      <w:r>
        <w:rPr>
          <w:rFonts w:ascii="宋体" w:eastAsia="宋体" w:cs="Calibri" w:hAnsi="宋体"/>
        </w:rPr>
        <w:t>、六项禁令的执行督查和宣传教育工作；承担全局党风廉政建设的开展和行风、政风评议活动；牵头承办“放管服”工作；及时掌握廉政信息，接到相关举报认真调查核实并对违纪人员提出处理意见。</w:t>
      </w:r>
    </w:p>
    <w:p>
      <w:pPr>
        <w:pStyle w:val="38"/>
        <w:rPr>
          <w:rFonts w:ascii="宋体" w:eastAsia="宋体" w:cs="Calibri" w:hAnsi="宋体" w:hint="eastAsia"/>
        </w:rPr>
      </w:pPr>
      <w:r>
        <w:rPr>
          <w:rFonts w:ascii="宋体" w:eastAsia="宋体" w:cs="Calibri" w:hAnsi="宋体"/>
        </w:rPr>
        <w:t>（六）乡村振兴办公室：宣传贯彻中央、省、市、县乡村振兴精神及相关政策，对接县乡村振兴有关工作；牵头负责推进扶贫成果后评估工作，做好各级评估检查；协调有关股室推进乡村振兴用地、林业产业扶贫等相关工作；配合县组织部管理推进驻村工作队相关工作；承办局党组交办的其他工作。</w:t>
      </w:r>
    </w:p>
    <w:p>
      <w:pPr>
        <w:pStyle w:val="38"/>
        <w:rPr>
          <w:rFonts w:ascii="宋体" w:eastAsia="宋体" w:cs="Calibri" w:hAnsi="宋体" w:hint="eastAsia"/>
        </w:rPr>
      </w:pPr>
      <w:r>
        <w:rPr>
          <w:rFonts w:ascii="宋体" w:eastAsia="宋体" w:cs="Calibri" w:hAnsi="宋体"/>
        </w:rPr>
        <w:t>（七）效能督查室：负责组织全局重点工作的督导检查、跟踪问效，落实上级机关和局党组督办事项并及时反馈；负责重要事项、重点工作进度的督查督办，对全系统作风建设开展情况进行督查；不定期对全局组织纪律、工作纪律执行情况开展检查，随时向局主要领导反馈相关信息；并根据全年工作督导检查情况年终做出效能工作考评；承办局党组交办的其他工作。</w:t>
      </w:r>
    </w:p>
    <w:p>
      <w:pPr>
        <w:pStyle w:val="38"/>
        <w:rPr>
          <w:rFonts w:ascii="宋体" w:eastAsia="宋体" w:cs="Calibri" w:hAnsi="宋体" w:hint="eastAsia"/>
        </w:rPr>
      </w:pPr>
      <w:r>
        <w:rPr>
          <w:rFonts w:ascii="宋体" w:eastAsia="宋体" w:cs="Calibri" w:hAnsi="宋体"/>
        </w:rPr>
        <w:t>（八）工会委员会：依照《</w:t>
      </w:r>
      <w:r>
        <w:rPr>
          <w:rFonts w:ascii="宋体" w:eastAsia="宋体" w:cs="Calibri" w:hAnsi="宋体"/>
          <w:lang w:eastAsia="zh-CN"/>
        </w:rPr>
        <w:t>中华人民共和国</w:t>
      </w:r>
      <w:r>
        <w:rPr>
          <w:rFonts w:ascii="宋体" w:eastAsia="宋体" w:cs="Calibri" w:hAnsi="宋体"/>
        </w:rPr>
        <w:t>工会法》和《工会章程》独立自主开展工作；积极参与局行政事务管理和民主政治建设；围绕局中心工作组织职工开展劳动竞赛、提合理化建议，维护职工合法权益；开展群众性宣传、教育活动，组织健康文明的文体活动；承办局交办的其他工作。</w:t>
      </w:r>
    </w:p>
    <w:p>
      <w:pPr>
        <w:pStyle w:val="38"/>
        <w:rPr>
          <w:rFonts w:ascii="宋体" w:eastAsia="宋体" w:cs="Calibri" w:hAnsi="宋体" w:hint="eastAsia"/>
        </w:rPr>
      </w:pPr>
      <w:r>
        <w:rPr>
          <w:rFonts w:ascii="宋体" w:eastAsia="宋体" w:cs="Calibri" w:hAnsi="宋体"/>
        </w:rPr>
        <w:t>（九）信访办：负责接待、受理、协调有关自然资源的来信、来访等信访事项，建立来信来访登记台帐；积极协调有关股室对全县的土地权属争议和矿业、林业纠纷案件进行调查、处理和调解；及时组织排查各类信访隐患和苗头，对群众反映的热点、难点问题要快查快办，依法按程序出具答复意见书，杜绝发生群体访和越级访；协助执法大队、林业执法的信访调处工作；承办“12345”热线受理、批转和反馈工作；承办局党组交办的其他工作。</w:t>
      </w:r>
    </w:p>
    <w:p>
      <w:pPr>
        <w:pStyle w:val="38"/>
        <w:rPr>
          <w:rFonts w:ascii="宋体" w:eastAsia="宋体" w:cs="Calibri" w:hAnsi="宋体" w:hint="eastAsia"/>
        </w:rPr>
      </w:pPr>
      <w:r>
        <w:rPr>
          <w:rFonts w:ascii="宋体" w:eastAsia="宋体" w:cs="Calibri" w:hAnsi="宋体"/>
        </w:rPr>
        <w:t>（十）政策法规部门：负责参与拟定县级自然资源政策性文件；负责起草政策法规部门综合性文件；负责实施自然资源法律法规的宣传和培训教育；负责指导全系统依法行政工作，承担重大行政决策合法性审查，重大行政执法决定法制审核工作；承办错案及执法过错追究工作；做好行政复议和诉讼事项；负责“两法衔接”工作；负责与办案部门对强制执行案件的移送工作；牵头组织有关部门开展听证工作；承办人大、政协建议、提案工作；承办局党组交办的其它他工作。</w:t>
      </w:r>
    </w:p>
    <w:p>
      <w:pPr>
        <w:pStyle w:val="38"/>
        <w:rPr>
          <w:rFonts w:ascii="宋体" w:eastAsia="宋体" w:cs="Calibri" w:hAnsi="宋体" w:hint="eastAsia"/>
        </w:rPr>
      </w:pPr>
      <w:r>
        <w:rPr>
          <w:rFonts w:ascii="宋体" w:eastAsia="宋体" w:cs="Calibri" w:hAnsi="宋体"/>
        </w:rPr>
        <w:t>（十一）公车管理部门：对接县公车办，做好车辆日常调度、使用、维修、保养和管理，保证各部门公务、日常工作和接待用车；保持车容整洁、车况良好，按交警部门要求定期进行车辆年检年审工作，并注重加强对驾驶员的业务培训、职业道德和安全行车、优质服务教育，确保安全行车；做好车辆用油计划，努力降低油耗，每月油耗要认真结算并向主管报告；必须及时消除车辆事故隐患，若发生事故协助交警部门进行处理；根据车辆实际情况，提出淘汰、更新车辆建议；承办局党组交办的其他工作。</w:t>
      </w:r>
    </w:p>
    <w:p>
      <w:pPr>
        <w:pStyle w:val="38"/>
        <w:rPr>
          <w:rFonts w:ascii="宋体" w:eastAsia="宋体" w:cs="Calibri" w:hAnsi="宋体" w:hint="eastAsia"/>
        </w:rPr>
      </w:pPr>
      <w:r>
        <w:rPr>
          <w:rFonts w:ascii="宋体" w:eastAsia="宋体" w:cs="Calibri" w:hAnsi="宋体"/>
        </w:rPr>
        <w:t>（十二）后勤保障部门：拟订后勤管理方面的规章制度以及年度办公用品购置计划并组织实施；根据计划和实际需求组织一般性办公用品、办公耗材、低值易耗品采购和发放；负责物资库存和出入库登记台帐；负责废旧物资的日常管理和处理；负责应急、突发事件、集中行动的后勤保障工作；负责机关安全保卫；负责机关大楼及配属房屋的管理和维修；负责机关办公楼清扫保洁；承办局交办的其他工作。二、自然资源确权登记股（测绘地理信息管理股）</w:t>
      </w:r>
    </w:p>
    <w:p>
      <w:pPr>
        <w:pStyle w:val="38"/>
        <w:rPr>
          <w:rFonts w:ascii="宋体" w:eastAsia="宋体" w:cs="Calibri" w:hAnsi="宋体" w:hint="eastAsia"/>
        </w:rPr>
      </w:pPr>
      <w:r>
        <w:rPr>
          <w:rFonts w:ascii="宋体" w:eastAsia="宋体" w:cs="Calibri" w:hAnsi="宋体"/>
        </w:rPr>
        <w:t>（十三）自然资源确权登记部门。贯彻实施国家各类自然资源和不动产统一确权登记、权籍调查、不动产测绘、争议调处、成果应用的制度、标准、规范。负责拟定全县不动产权属争议的调处政策和不动产登记的相关工作办法。负责权籍调查、权属争议调处工作；指导监督自然资源和不动产确权登记；负责不动产产权证书与证明的采购、监督管理；建立健全全县自然资源和不动产登记信息管理基础平台；组织全县不动产权籍调查工作，负责不动产权籍数据库建设、更新、管理及维护等工作；承办局党组交办的其他工作。</w:t>
      </w:r>
    </w:p>
    <w:p>
      <w:pPr>
        <w:pStyle w:val="38"/>
        <w:rPr>
          <w:rFonts w:ascii="宋体" w:eastAsia="宋体" w:cs="Calibri" w:hAnsi="宋体" w:hint="eastAsia"/>
        </w:rPr>
      </w:pPr>
      <w:r>
        <w:rPr>
          <w:rFonts w:ascii="宋体" w:eastAsia="宋体" w:cs="Calibri" w:hAnsi="宋体"/>
        </w:rPr>
        <w:t xml:space="preserve">（十四）测绘地理信息管理部门：拟订全县地理信息发展规划、计划及行业管理政策，指导地理信息产业发展；承担测绘资质、资格和地理信息成果质量的监督管理工作，负责测绘地理信息项目备案登记、测绘作业证管理；管理和维护全县地理信息基础设施和测量标志；指导地理信息行业队伍建设；负责组织地理信息法制宣传教育工作；组织管理基础测绘、地籍测绘和其他重大测绘项目，管理地方测绘基准；承担地理信息公共服务和应急保障的职责；负责数字城市基础建设和管理；负责地理国情监测的管理；组织协调地理信息资源开发利用和科技推广工作；负责涉密地理信息成果的监督管理；管理基础测绘成果，组织、指导地理信息社会化服务；积极对接相关科研单位、公司，开创信息共享平台，负责全县地理信息成果资料的汇交使用工作，负责依法依规对外提供地理信息成果；承办局党组交办的其他工作。    </w:t>
      </w:r>
    </w:p>
    <w:p>
      <w:pPr>
        <w:pStyle w:val="38"/>
        <w:rPr>
          <w:rFonts w:ascii="宋体" w:eastAsia="宋体" w:cs="Calibri" w:hAnsi="宋体" w:hint="eastAsia"/>
        </w:rPr>
      </w:pPr>
      <w:r>
        <w:rPr>
          <w:rFonts w:ascii="宋体" w:eastAsia="宋体" w:cs="Calibri" w:hAnsi="宋体"/>
        </w:rPr>
        <w:t>三、自然资源空间规划和用途管制股</w:t>
      </w:r>
    </w:p>
    <w:p>
      <w:pPr>
        <w:pStyle w:val="38"/>
        <w:rPr>
          <w:rFonts w:ascii="宋体" w:eastAsia="宋体" w:cs="Calibri" w:hAnsi="宋体" w:hint="eastAsia"/>
        </w:rPr>
      </w:pPr>
      <w:r>
        <w:rPr>
          <w:rFonts w:ascii="宋体" w:eastAsia="宋体" w:cs="Calibri" w:hAnsi="宋体"/>
        </w:rPr>
        <w:t>（十五）国土空间用途管制部门：执行国土空间用途管制制度规范和技术标准；负责全县土地年度利用计划管理工作；执行耕地、林地、草地、湿地等自然资源国土空间用地转用政策；负责建设项目用地预审与选址意见书核发工作；承办局党组交办的其他工作。</w:t>
      </w:r>
    </w:p>
    <w:p>
      <w:pPr>
        <w:pStyle w:val="38"/>
        <w:rPr>
          <w:rFonts w:ascii="宋体" w:eastAsia="宋体" w:cs="Calibri" w:hAnsi="宋体" w:hint="eastAsia"/>
        </w:rPr>
      </w:pPr>
      <w:r>
        <w:rPr>
          <w:rFonts w:ascii="宋体" w:eastAsia="宋体" w:cs="Calibri" w:hAnsi="宋体"/>
        </w:rPr>
        <w:t>（十六）国土空间规划部门：贯彻执行国土空间规划相关政策，承担建立空间规划体系工作。开展国土空间开发适宜性评价；负责全县国土空间规划编制计划的制定。组织编制全县国土空间规划和实施主体功能区规划及特定地区规划和城市近期建设规划。承担上报审批的国土空间规划和相关规划审核、报批工作。负责全县各类国土空间规划的公布工作。指导相关专项规划的编制。负责中心城区建设用地的核定，提出建设用地条件，建设工程规划要求提出设计条件。组织建筑设计方案技术审查，组织建设工程规划核实。承办局党组交办的其他工作。 （十七）建设用地规划部门：负责受理建设用地项目的用地规划审批手续，核发《建设用地规划许可证》；负责镇区规划区内各项永久项目的建设工程，按规划要求提出设计条件，并负责初步设计方案审查，组织建设工程规划核实；核发在国有建设用地上建设的建设项目《建设工程规划许可证》；牵头负责在建项目的跟踪管理工作；负责对规划区内市政公用设施工程进行规划管理，核发市政《建设工程规划许可证》；承办局党组交办的其他工作。承办局党组交办的其他工作四、自然资源开发利用股</w:t>
      </w:r>
    </w:p>
    <w:p>
      <w:pPr>
        <w:pStyle w:val="38"/>
        <w:rPr>
          <w:rFonts w:ascii="宋体" w:eastAsia="宋体" w:cs="Calibri" w:hAnsi="宋体" w:hint="eastAsia"/>
        </w:rPr>
      </w:pPr>
      <w:r>
        <w:rPr>
          <w:rFonts w:ascii="宋体" w:eastAsia="宋体" w:cs="Calibri" w:hAnsi="宋体"/>
        </w:rPr>
        <w:t>（十八）自然资源调查监测部门：负责实施国家自然资源调查监测评价的指标体系和统计标准；定期组织实施自然资源基础调查、变更调查、动态监测和分析评价；负责开展全县土地资源调查、变更调查、地籍调查等专项调查工作；拟定并组织实施年度变更调查工作方案；组织开展土地动态监测工作；负责组织协调相关股室实施勘测定界及勘测定界报告的专家评审工作；承担自然资源调查监测评价成果的汇交、管理、维护、发布、共享和利用监督等工作；负责农用地转用（征用）审批中有关地类、面积的确认工作；承办局党组交办的其他工作。</w:t>
      </w:r>
    </w:p>
    <w:p>
      <w:pPr>
        <w:pStyle w:val="38"/>
        <w:rPr>
          <w:rFonts w:ascii="宋体" w:eastAsia="宋体" w:cs="Calibri" w:hAnsi="宋体" w:hint="eastAsia"/>
        </w:rPr>
      </w:pPr>
      <w:r>
        <w:rPr>
          <w:rFonts w:ascii="宋体" w:eastAsia="宋体" w:cs="Calibri" w:hAnsi="宋体"/>
        </w:rPr>
        <w:t>（十九）自然资源开发利用部门：负责自然资源市场监督管理和指导执法队动态监测。负责全县土地利用和土地市场管理工作。承担全县城乡建设用地和土地市场管理工作；负责国有土地使用权出让、划拨、转让、租赁；负责国有土地使用权供地方案的编制和实施；负责编制年度国有土地使用权供应计划；负责全县基准地价更新工作；负责城乡建设用地增减挂钩报批、监管工作；负责全县国有土地使用权划拨和全县乡镇企业、乡（镇）村公共设施、公益事业建设用地备案工作；编制上报并实施管理低效用地规划；承办局党组交办的其他工作。</w:t>
      </w:r>
    </w:p>
    <w:p>
      <w:pPr>
        <w:pStyle w:val="38"/>
        <w:rPr>
          <w:rFonts w:ascii="宋体" w:eastAsia="宋体" w:cs="Calibri" w:hAnsi="宋体" w:hint="eastAsia"/>
        </w:rPr>
      </w:pPr>
      <w:r>
        <w:rPr>
          <w:rFonts w:ascii="宋体" w:eastAsia="宋体" w:cs="Calibri" w:hAnsi="宋体"/>
        </w:rPr>
        <w:t>（二十）地质矿产管理部门：负责依法监督管理矿产资源勘查、开发、利用与保护。组织实施国家、省矿产资源管理政策、规划、法规、规范和标准。上报办理矿业权审批登记发证和出让、转让、延续、变更、注销、登记工作；执行地质勘查工作标准、规程、规范，监督探矿权人依法按勘查设计要求完成实物工作量和最低勘查投入；及时检查发现、制止采矿权人不按开发利用方案开采和越层越界违法行为，检查、发现复工勘查项目不按设计勘查、“以采代探”等违法行为，并及时移交执法大队查处；做好全县矿产资源储量年度检测、登统、上报工作；负责对有证复工复产矿山企业的日常监管；负责全县矿产资源整合工作；承担压覆矿产资源管理的事项。依法调处重大矿业权争议、纠纷。负责全县矿产资源储量动态管理、登记、统计、地质资料汇交工作。负责地热勘查评价、开发和保护，监督地热开发动态监测；负责全县矿泉水管理；组织矿产资源调查评价；负责县域地质勘查单位备案工作；负责全县矿产资源总体规划的编制；承办局党组交办的其他工作。</w:t>
      </w:r>
    </w:p>
    <w:p>
      <w:pPr>
        <w:pStyle w:val="38"/>
        <w:rPr>
          <w:rFonts w:ascii="宋体" w:eastAsia="宋体" w:cs="Calibri" w:hAnsi="宋体" w:hint="eastAsia"/>
        </w:rPr>
      </w:pPr>
      <w:r>
        <w:rPr>
          <w:rFonts w:ascii="宋体" w:eastAsia="宋体" w:cs="Calibri" w:hAnsi="宋体"/>
        </w:rPr>
        <w:t xml:space="preserve">（二十一）林政管理部门：拟订全县森林经营、管理、保护等方面的发展规划、年度计划并监督执行；组织指导全县森林资源动态监测与评价；指导监督全县林木采伐、木材经营加工管理工作；组织指导全县森林资源管理工作，负责林地、林权管理，监督林地征用、占用和林地开发利用工作；负责国家、省公益林管理工作；组织指导全县林业改革和农村林业发展工作，指导监督集体林权制度改革方针政策的落实，指导农村林地林木承包经营、流转工作；承办局党组交办的其他工作。   </w:t>
      </w:r>
    </w:p>
    <w:p>
      <w:pPr>
        <w:pStyle w:val="38"/>
        <w:rPr>
          <w:rFonts w:ascii="宋体" w:eastAsia="宋体" w:cs="Calibri" w:hAnsi="宋体" w:hint="eastAsia"/>
        </w:rPr>
      </w:pPr>
      <w:r>
        <w:rPr>
          <w:rFonts w:ascii="宋体" w:eastAsia="宋体" w:cs="Calibri" w:hAnsi="宋体"/>
        </w:rPr>
        <w:t>（二十二）种苗部门：负责宣传执行《中华人民共和国种子法》的各项方针、政策;负责林草种植资源的调查和保护；组织林草良种选育、新品种引进、开发、试验、示范和推广工作；对全县林草种苗质量进行监督、检验、检查，推进苗木标签和检验证书的使用；承担林草种苗质量标准化服务等工作；承担全县林草种苗、种子、花卉的技术培训工作；承担林草种苗、种子、花卉的科研项目；承办局党组交办的其他工作。</w:t>
      </w:r>
    </w:p>
    <w:p>
      <w:pPr>
        <w:pStyle w:val="38"/>
        <w:rPr>
          <w:rFonts w:ascii="宋体" w:eastAsia="宋体" w:cs="Calibri" w:hAnsi="宋体" w:hint="eastAsia"/>
        </w:rPr>
      </w:pPr>
      <w:r>
        <w:rPr>
          <w:rFonts w:ascii="宋体" w:eastAsia="宋体" w:cs="Calibri" w:hAnsi="宋体"/>
        </w:rPr>
        <w:t>（二十三）局林长办：承担县林长制日常工作。负责组织、协调、督察、指导全县林长制工作；负责传达贯彻上级林长办出台的文件、政策、措施等；负责拟定林长制管理、考核、宣传等制度和办法;提请研究、协调、解决林长制推进过程中的重点难点问题；督促县级各林长开展巡林工作；负责组织林长制监督检查和年度考核；负责承办县级林长会议、林长联席会议等会务工作；负责落实县级林长、上级林长制办公室交办的工作事项；承办局党组交办的其他工作。</w:t>
      </w:r>
    </w:p>
    <w:p>
      <w:pPr>
        <w:pStyle w:val="38"/>
        <w:rPr>
          <w:rFonts w:ascii="宋体" w:eastAsia="宋体" w:cs="Calibri" w:hAnsi="宋体" w:hint="eastAsia"/>
        </w:rPr>
      </w:pPr>
      <w:r>
        <w:rPr>
          <w:rFonts w:ascii="宋体" w:eastAsia="宋体" w:cs="Calibri" w:hAnsi="宋体"/>
        </w:rPr>
        <w:t>（二十四）耕地保护监督部门：负责宣传国家有关耕地保护和建设用地管理的法律、法规、方针、政策；贯彻落实耕地保护政策，组织实施耕地保护责任目标考核和永久基本农田特殊保护，负责全县基本农田保护和划定工作；负责全县征地区片价调整工作；负责全县农用地分等定级工作；负责全县耕地取土审核报批、设施农用地备案工作；负责临时占地审核工作；承担全县土地征收征用审核报批工作；负责全县重点建设项目有关用地事项的协调和报批；负责耕地保护政策与林地、草地、湿地等土地资源保护政策的衔接等工作；承办局党组交办的其他工作。</w:t>
      </w:r>
    </w:p>
    <w:p>
      <w:pPr>
        <w:pStyle w:val="38"/>
        <w:rPr>
          <w:rFonts w:ascii="宋体" w:eastAsia="宋体" w:cs="Calibri" w:hAnsi="宋体" w:hint="eastAsia"/>
        </w:rPr>
      </w:pPr>
      <w:r>
        <w:rPr>
          <w:rFonts w:ascii="宋体" w:eastAsia="宋体" w:cs="Calibri" w:hAnsi="宋体"/>
        </w:rPr>
        <w:t>（二十五）生态修复部门：承担全县国土空间生态修复政策研究工作，拟订国土空间生态修复规划；承担国土空间综合整治、矿山地质环境恢复治理等工作；承担生态保护补偿相关工作；参与全县矿产资源总体规划的编制；组织全县采矿企业《矿山地质环境保护与土地复垦方案》的编制和督导检查；负责地质灾害防治工作的组织、协调、指导、监督。组织编制全县地质灾害防治规划，指导建立地质灾害检查体系和群测群防网络，指导、监督属地政府落实防灾责任和群测群防责任制，做好地质灾害防治工作的检查预警、地灾知识的宣传、培训、演练等工作，监督项目建设单位做好地质灾害危险性评估工作并落实，组织实施政府出资的地质灾害隐患甸治理工程。承办局党组交办的其他工作。</w:t>
      </w:r>
    </w:p>
    <w:p>
      <w:pPr>
        <w:pStyle w:val="38"/>
        <w:rPr>
          <w:rFonts w:ascii="宋体" w:eastAsia="宋体" w:cs="Calibri" w:hAnsi="宋体" w:hint="eastAsia"/>
        </w:rPr>
      </w:pPr>
      <w:r>
        <w:rPr>
          <w:rFonts w:ascii="宋体" w:eastAsia="宋体" w:cs="Calibri" w:hAnsi="宋体"/>
        </w:rPr>
        <w:t>（二十六）造林部门：承担全县造林绿化工作；负责全县“三北”防护林工程、中央财政造林补贴等项目建设；负责管理国有林场林业项目；指导监督全民义务植树、村庄绿化、部门绿化等国土绿化工作，负责名木古树的管理保护工作，承担涞源县绿化委员会的具体工作；承办局党组交办的其他工作。</w:t>
      </w:r>
    </w:p>
    <w:p>
      <w:pPr>
        <w:pStyle w:val="38"/>
        <w:rPr>
          <w:rFonts w:ascii="宋体" w:eastAsia="宋体" w:cs="Calibri" w:hAnsi="宋体" w:hint="eastAsia"/>
        </w:rPr>
      </w:pPr>
      <w:r>
        <w:rPr>
          <w:rFonts w:ascii="宋体" w:eastAsia="宋体" w:cs="Calibri" w:hAnsi="宋体"/>
        </w:rPr>
        <w:t>（二十七）项目部门：负责国家储备林等项目建设工作；承办局党组交办的其他工作。</w:t>
      </w:r>
    </w:p>
    <w:p>
      <w:pPr>
        <w:pStyle w:val="38"/>
        <w:rPr>
          <w:rFonts w:ascii="宋体" w:eastAsia="宋体" w:cs="Calibri" w:hAnsi="宋体" w:hint="eastAsia"/>
        </w:rPr>
      </w:pPr>
      <w:r>
        <w:rPr>
          <w:rFonts w:ascii="宋体" w:eastAsia="宋体" w:cs="Calibri" w:hAnsi="宋体"/>
        </w:rPr>
        <w:t>（二十八）退耕部门：我县退耕还林工程是前一轮退耕项目，到2021年已全部到期，应该发放给农户的补助资金于2023年1月也全部发放到位。</w:t>
      </w:r>
    </w:p>
    <w:p>
      <w:pPr>
        <w:pStyle w:val="38"/>
        <w:rPr>
          <w:rFonts w:ascii="宋体" w:eastAsia="宋体" w:cs="Calibri" w:hAnsi="宋体" w:hint="eastAsia"/>
        </w:rPr>
      </w:pPr>
      <w:r>
        <w:rPr>
          <w:rFonts w:ascii="宋体" w:eastAsia="宋体" w:cs="Calibri" w:hAnsi="宋体"/>
        </w:rPr>
        <w:t xml:space="preserve">按照2022年10月国家五部门联合发文精神（网上搜文，没有收到纸质红头文件），要求编制省级退耕还林还草巩固成果提质增效方案。目前没有收到省级相关文件；林场中幼林抚育项目的业务2019年已归到造林部门。市局退耕还林业务职责已于2019年机构改革合并到造林处，县局退耕办在市局没有对口科室。鉴于退耕办原来职责，现在只有档案管理，没有具体业务，建议将退耕档案移交后取消、合并或安排其他业务，以合理利用人力资源。   </w:t>
      </w:r>
    </w:p>
    <w:p>
      <w:pPr>
        <w:pStyle w:val="38"/>
        <w:rPr>
          <w:rFonts w:ascii="宋体" w:eastAsia="宋体" w:cs="Calibri" w:hAnsi="宋体" w:hint="eastAsia"/>
        </w:rPr>
      </w:pPr>
      <w:r>
        <w:rPr>
          <w:rFonts w:ascii="宋体" w:eastAsia="宋体" w:cs="Calibri" w:hAnsi="宋体"/>
        </w:rPr>
        <w:t xml:space="preserve">（二十九）野生动植物保护和湿地管理部门：负责野生动物致害政府救助责任保险的相关工作；负责审核上报签发捕猎狩猎许可；负责宣传贯彻执行保护野生动植物的法律法规和方针政策，负责全县野生动植物保护管理；负责全县野生动物驯养繁殖及经营利用审核审批工作；负责实施野生动物疫源疫病监测工作；负责查处本辖区乱捕、滥猎、违反规定猎捕买卖、运输野生动植物及其产品的违法案件；制定并实施湿地生态环境和保护规划；依法监督湿地资源管理，开展湿地资源调查、动态监测、统计及湿地修复相关工作；承办局党组交办的其他工作。 </w:t>
      </w:r>
    </w:p>
    <w:p>
      <w:pPr>
        <w:pStyle w:val="38"/>
        <w:rPr>
          <w:rFonts w:ascii="宋体" w:eastAsia="宋体" w:cs="Calibri" w:hAnsi="宋体" w:hint="eastAsia"/>
        </w:rPr>
      </w:pPr>
      <w:r>
        <w:rPr>
          <w:rFonts w:ascii="宋体" w:eastAsia="宋体" w:cs="Calibri" w:hAnsi="宋体"/>
        </w:rPr>
        <w:t>（三十）自然保护地部门：监督管理全县自然保护区、风景名胜区、地质公园、自然遗产、森林公园等各类自然保护地，组织实施全县各类自然保护地保护建设工作；负责县级以上风景名胜区的审查报批和监督管理；承担白石山国家地质公园管理职能，做好地质遗迹保护工作；承办生物多样性保护相关工作；承担全县保护世界文化和自然遗产审核申报以及国际公约履约工作；承办局党组交办的其他工作。负责国家储备林等项目建设工作；承办局党组交办的其他工作。</w:t>
      </w:r>
    </w:p>
    <w:p>
      <w:pPr>
        <w:pStyle w:val="38"/>
        <w:rPr>
          <w:rFonts w:ascii="宋体" w:eastAsia="宋体" w:cs="Calibri" w:hAnsi="宋体" w:hint="eastAsia"/>
        </w:rPr>
      </w:pPr>
      <w:r>
        <w:rPr>
          <w:rFonts w:ascii="宋体" w:eastAsia="宋体" w:cs="Calibri" w:hAnsi="宋体"/>
        </w:rPr>
        <w:t>（三十一）防火办：承担森林草原防火的宣传工作；负责全县森林防火的宣传和扑火知识的培训；贯彻执行国家、省、市、县有关森林草原防火的法律法规及防灾减灾规划，负责全县森林防火总体规划的编制、年度工程建设的实施及各项防火制度的制定；负责防火档案规范化管理；负责监督、检查、指导全县森林防火工作；承办局党组交办的其他工作。</w:t>
      </w:r>
    </w:p>
    <w:p>
      <w:pPr>
        <w:pStyle w:val="38"/>
        <w:rPr>
          <w:rFonts w:ascii="宋体" w:eastAsia="宋体" w:cs="Calibri" w:hAnsi="宋体" w:hint="eastAsia"/>
        </w:rPr>
      </w:pPr>
      <w:r>
        <w:rPr>
          <w:rFonts w:ascii="宋体" w:eastAsia="宋体" w:cs="Calibri" w:hAnsi="宋体"/>
        </w:rPr>
        <w:t>六、执法监察股</w:t>
      </w:r>
    </w:p>
    <w:p>
      <w:pPr>
        <w:pStyle w:val="38"/>
        <w:rPr>
          <w:rFonts w:ascii="宋体" w:eastAsia="宋体" w:cs="Calibri" w:hAnsi="宋体" w:hint="eastAsia"/>
        </w:rPr>
      </w:pPr>
      <w:r>
        <w:rPr>
          <w:rFonts w:ascii="宋体" w:eastAsia="宋体" w:cs="Calibri" w:hAnsi="宋体"/>
        </w:rPr>
        <w:t>（三十二）执法监察股：负责开展全县自然资源违法案件形势研判。指导协调全县自然资源违法案件调查处理工作。负责联系国家和省、市自然资源督查和执法机构，组织协调交办事项落实，配合国家自然资源督察机构开展督察督办、检查指导、调查研究工作。负责于办案部门对违法案件中涉及党政纪处分、涉嫌刑事犯罪案件的移送工作；组织协调全县土地卫片执法检查工作；负责“双随机、一公开”专项工作。组织协调上级交办事项落实。组织开展自然资源执法系统人员的业务培训。负责自然资源违法案件的立案审查工作；承办局党组交办的其他工作。</w:t>
      </w:r>
    </w:p>
    <w:p>
      <w:pPr>
        <w:pStyle w:val="38"/>
        <w:rPr>
          <w:rFonts w:ascii="宋体" w:eastAsia="宋体" w:cs="Calibri" w:hAnsi="宋体" w:hint="eastAsia"/>
        </w:rPr>
      </w:pPr>
      <w:r>
        <w:rPr>
          <w:rFonts w:ascii="宋体" w:eastAsia="宋体" w:cs="Calibri" w:hAnsi="宋体"/>
        </w:rPr>
        <w:t>二、局属事业单位职责</w:t>
      </w:r>
    </w:p>
    <w:p>
      <w:pPr>
        <w:pStyle w:val="38"/>
        <w:rPr>
          <w:rFonts w:ascii="宋体" w:eastAsia="宋体" w:cs="Calibri" w:hAnsi="宋体" w:hint="eastAsia"/>
        </w:rPr>
      </w:pPr>
      <w:r>
        <w:rPr>
          <w:rFonts w:ascii="宋体" w:eastAsia="宋体" w:cs="Calibri" w:hAnsi="宋体"/>
        </w:rPr>
        <w:t>（一）涞源县自然资源执法大队</w:t>
      </w:r>
    </w:p>
    <w:p>
      <w:pPr>
        <w:pStyle w:val="38"/>
        <w:rPr>
          <w:rFonts w:ascii="宋体" w:eastAsia="宋体" w:cs="Calibri" w:hAnsi="宋体" w:hint="eastAsia"/>
        </w:rPr>
      </w:pPr>
      <w:r>
        <w:rPr>
          <w:rFonts w:ascii="宋体" w:eastAsia="宋体" w:cs="Calibri" w:hAnsi="宋体"/>
        </w:rPr>
        <w:t>1、自然资源执法大队：主要承担未下放乡镇的自然资源领域行政处罚事项，负责查处市级以上重点项目、跨乡镇区域违法案件。对乡镇执法工作进行指导，提供技术支持，履行监管职责，在日常监管过程中发现违法行为属于乡镇管辖的，及承办上级批转的违法案件；承办12345承办局党组交办的其它工作。作；</w:t>
      </w:r>
    </w:p>
    <w:p>
      <w:pPr>
        <w:pStyle w:val="38"/>
        <w:rPr>
          <w:rFonts w:ascii="宋体" w:eastAsia="宋体" w:cs="Calibri" w:hAnsi="宋体" w:hint="eastAsia"/>
        </w:rPr>
      </w:pPr>
      <w:r>
        <w:rPr>
          <w:rFonts w:ascii="宋体" w:eastAsia="宋体" w:cs="Calibri" w:hAnsi="宋体"/>
        </w:rPr>
        <w:t>巡查监管区域责任，对各中队履职情况进行督导。牵头负责全县自然资源专项整治行动；承担年度遥感监测矿产图斑外业核查工作；负责未复工（含过期及整合矿山）采矿企业和勘查项目的巡查和监管工作；承办上级批转的违法案件；承办12345违法案件线索的核实和处理工作；承办局党组交办的其它工作。</w:t>
      </w:r>
    </w:p>
    <w:p>
      <w:pPr>
        <w:pStyle w:val="38"/>
        <w:rPr>
          <w:rFonts w:ascii="宋体" w:eastAsia="宋体" w:cs="Calibri" w:hAnsi="宋体" w:hint="eastAsia"/>
        </w:rPr>
      </w:pPr>
      <w:r>
        <w:rPr>
          <w:rFonts w:ascii="宋体" w:eastAsia="宋体" w:cs="Calibri" w:hAnsi="宋体"/>
        </w:rPr>
        <w:t>2、林业执法大队：负责林业法律法规和政策的贯彻执行；负责林业执法工作；负责执法队伍的教育培训；负责征占用林地案件的查处工作，负责全县封山禁牧工作；承办局党组交办的其他工作。</w:t>
      </w:r>
    </w:p>
    <w:p>
      <w:pPr>
        <w:pStyle w:val="38"/>
        <w:rPr>
          <w:rFonts w:ascii="宋体" w:eastAsia="宋体" w:cs="Calibri" w:hAnsi="宋体" w:hint="eastAsia"/>
        </w:rPr>
      </w:pPr>
      <w:r>
        <w:rPr>
          <w:rFonts w:ascii="宋体" w:eastAsia="宋体" w:cs="Calibri" w:hAnsi="宋体"/>
        </w:rPr>
        <w:t xml:space="preserve">（二）土地整理和收购储备中心 </w:t>
      </w:r>
    </w:p>
    <w:p>
      <w:pPr>
        <w:pStyle w:val="38"/>
        <w:rPr>
          <w:rFonts w:ascii="宋体" w:eastAsia="宋体" w:cs="Calibri" w:hAnsi="宋体" w:hint="eastAsia"/>
        </w:rPr>
      </w:pPr>
      <w:r>
        <w:rPr>
          <w:rFonts w:ascii="宋体" w:eastAsia="宋体" w:cs="Calibri" w:hAnsi="宋体"/>
        </w:rPr>
        <w:t>1、土地整理部门：依据耕地后备资源库梳理可实施土地开发整理项目并建立土地开发储备项目库；及时了解上级项目信息和动态，会同相关股室筛选和申报土地开发整治、增减挂钩项目，协同规划部门和生态修复部门做好国土空间规划和生态修复规划，保障土地开发整理和增减挂钩项目的实施，依据相关文件做好项目的立项、实施及验收工作；承办占补平衡指标流转；承办局党组交办的其他工作。</w:t>
      </w:r>
    </w:p>
    <w:p>
      <w:pPr>
        <w:pStyle w:val="38"/>
        <w:rPr>
          <w:rFonts w:ascii="宋体" w:eastAsia="宋体" w:cs="Calibri" w:hAnsi="宋体" w:hint="eastAsia"/>
        </w:rPr>
      </w:pPr>
      <w:r>
        <w:rPr>
          <w:rFonts w:ascii="宋体" w:eastAsia="宋体" w:cs="Calibri" w:hAnsi="宋体"/>
        </w:rPr>
        <w:t>2、土地收购储备中心：拟定全县土地收购、储备计划，进一步完善土地收购储备运行机制；承担县域内国有土地收购储备工作及收购储备台账建设；做好储备土地投放市场的准备工作；开展市场调查研究，收集和发布土地收购、储备信息，为加强土地市场管理提供决策依据；承办局党组交办的其他工作。</w:t>
      </w:r>
    </w:p>
    <w:p>
      <w:pPr>
        <w:pStyle w:val="38"/>
        <w:rPr>
          <w:rFonts w:ascii="宋体" w:eastAsia="宋体" w:cs="Calibri" w:hAnsi="宋体" w:hint="eastAsia"/>
        </w:rPr>
      </w:pPr>
      <w:r>
        <w:rPr>
          <w:rFonts w:ascii="宋体" w:eastAsia="宋体" w:cs="Calibri" w:hAnsi="宋体"/>
        </w:rPr>
        <w:t>（三）不动产登记中心：按照管理权限，负责县域内不动产登记的申请、受理、审核、登簿、缮证、收费、发证（电子证照）；负责不动产登记信息系统建设运维、信息共享工作；负责不动产信息查询出证工作；负责根据相关政策规定收取不动产登记费；负责不动产登记数据的统计、分析工作；负责不动产登记法律、法规和政策的咨询宣传工作；承办局党组交办的其他工作。</w:t>
      </w:r>
    </w:p>
    <w:p>
      <w:pPr>
        <w:pStyle w:val="38"/>
        <w:rPr>
          <w:rFonts w:ascii="宋体" w:eastAsia="宋体" w:cs="Calibri" w:hAnsi="宋体" w:hint="eastAsia"/>
        </w:rPr>
      </w:pPr>
      <w:r>
        <w:rPr>
          <w:rFonts w:ascii="宋体" w:eastAsia="宋体" w:cs="Calibri" w:hAnsi="宋体"/>
        </w:rPr>
        <w:t>（四）涞源县林果技术推广中心（林业技术推广站）：负责全县林果技术推广和普及，对林农果农进行技术培训；负责果树管理，提供技术服务，提高果品产量及品质；负责新品种、新技术的引进、试验、示范和推广；负责全县林业产业发展和林业产业项目建设；承办局党组交办的其他工作。</w:t>
      </w:r>
    </w:p>
    <w:p>
      <w:pPr>
        <w:pStyle w:val="38"/>
        <w:rPr>
          <w:rFonts w:ascii="宋体" w:eastAsia="宋体" w:cs="Calibri" w:hAnsi="宋体" w:hint="eastAsia"/>
        </w:rPr>
      </w:pPr>
    </w:p>
    <w:p>
      <w:pPr>
        <w:pStyle w:val="38"/>
        <w:rPr>
          <w:rFonts w:ascii="宋体" w:eastAsia="宋体" w:cs="Calibri" w:hAnsi="宋体" w:hint="eastAsia"/>
        </w:rPr>
      </w:pPr>
      <w:r>
        <w:rPr>
          <w:rFonts w:ascii="宋体" w:eastAsia="宋体" w:cs="Calibri" w:hAnsi="宋体"/>
        </w:rPr>
        <w:t>（五）涞源县森林病虫害防治检疫站（森防站）：负责认真贯彻落实《森林病虫害防治条例》、《植物检疫条例》，加强全县林业有害生物测报、防治和检疫工作管理，为林业可持续发展提供保障；负责制定林业有害生物防治规划，综合分析各地测报数据，发布本县森林病虫害短、中期预报，并提出防治方案；负责组织实施与监督重点林业有害生物防治工程，组织突发性林业有害生物紧急防治；负责拟定外来林业有害生物灾害应急预案和组织实施；负责开展森林植物产地检疫、调运检疫工作；负责定期组织全县林业有害生物普查工作；负责林业有害生物防治与检疫宣传；负责基层森防机构管理，林业有害生物防治与检疫技术培训及技术指导；承办局党组交办的其他工作。</w:t>
      </w:r>
    </w:p>
    <w:p>
      <w:pPr>
        <w:pStyle w:val="38"/>
        <w:rPr>
          <w:rFonts w:ascii="宋体" w:eastAsia="宋体" w:cs="Calibri" w:hAnsi="宋体" w:hint="eastAsia"/>
        </w:rPr>
      </w:pPr>
    </w:p>
    <w:p>
      <w:pPr>
        <w:pStyle w:val="38"/>
        <w:rPr>
          <w:rFonts w:ascii="宋体" w:eastAsia="宋体" w:cs="Calibri" w:hAnsi="宋体" w:hint="eastAsia"/>
        </w:rPr>
      </w:pPr>
    </w:p>
    <w:p>
      <w:pPr>
        <w:pStyle w:val="38"/>
        <w:rPr>
          <w:rFonts w:ascii="宋体" w:eastAsia="宋体" w:cs="Calibri" w:hAnsi="宋体" w:hint="eastAsia"/>
        </w:rPr>
      </w:pPr>
    </w:p>
    <w:p>
      <w:pPr>
        <w:pStyle w:val="38"/>
        <w:rPr>
          <w:rFonts w:ascii="宋体" w:eastAsia="宋体" w:cs="Calibri" w:hAnsi="宋体" w:hint="eastAsia"/>
        </w:rPr>
      </w:pPr>
    </w:p>
    <w:p>
      <w:pPr>
        <w:pStyle w:val="38"/>
        <w:rPr>
          <w:rFonts w:ascii="宋体" w:eastAsia="宋体" w:cs="Calibri" w:hAnsi="宋体" w:hint="eastAsia"/>
        </w:rPr>
      </w:pPr>
    </w:p>
    <w:p>
      <w:pPr>
        <w:pStyle w:val="38"/>
        <w:rPr>
          <w:rFonts w:ascii="宋体" w:eastAsia="宋体" w:cs="Calibri" w:hAnsi="宋体" w:hint="eastAsia"/>
        </w:rPr>
      </w:pPr>
    </w:p>
    <w:p>
      <w:pPr>
        <w:ind w:firstLine="640"/>
        <w:rPr>
          <w:rFonts w:ascii="宋体" w:eastAsia="宋体" w:cs="Calibri" w:hAnsi="宋体" w:hint="eastAsia"/>
        </w:rPr>
      </w:pPr>
      <w:r>
        <w:rPr>
          <w:rFonts w:ascii="宋体" w:eastAsia="宋体" w:cs="Calibri" w:hAnsi="宋体"/>
          <w:b/>
          <w:color w:val="000000"/>
          <w:sz w:val="32"/>
        </w:rPr>
        <w:t>机构设置：</w:t>
      </w:r>
    </w:p>
    <w:p>
      <w:pPr>
        <w:jc w:val="center"/>
        <w:rPr>
          <w:rFonts w:ascii="宋体" w:eastAsia="宋体" w:cs="Calibri" w:hAnsi="宋体" w:hint="eastAsia"/>
        </w:rPr>
      </w:pPr>
      <w:r>
        <w:rPr>
          <w:rFonts w:ascii="宋体" w:eastAsia="宋体" w:cs="Calibri" w:hAnsi="宋体"/>
          <w:color w:val="000000"/>
          <w:sz w:val="32"/>
        </w:rPr>
        <w:t>单位机构设置情况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5669"/>
        <w:gridCol w:w="1843"/>
        <w:gridCol w:w="2126"/>
        <w:gridCol w:w="3827"/>
      </w:tblGrid>
      <w:tr>
        <w:trPr>
          <w:trHeight w:val="567"/>
          <w:tblHeader/>
        </w:trPr>
        <w:tc>
          <w:tcPr>
            <w:tcW w:w="5669" w:type="dxa"/>
            <w:vAlign w:val="center"/>
          </w:tcPr>
          <w:p>
            <w:pPr>
              <w:pStyle w:val="23"/>
              <w:rPr>
                <w:rFonts w:ascii="宋体" w:eastAsia="宋体" w:cs="Calibri" w:hAnsi="宋体" w:hint="eastAsia"/>
              </w:rPr>
            </w:pPr>
            <w:r>
              <w:rPr>
                <w:rFonts w:ascii="宋体" w:eastAsia="宋体" w:cs="Calibri" w:hAnsi="宋体"/>
              </w:rPr>
              <w:t>单位名称</w:t>
            </w:r>
          </w:p>
        </w:tc>
        <w:tc>
          <w:tcPr>
            <w:tcW w:w="1843" w:type="dxa"/>
            <w:vAlign w:val="center"/>
          </w:tcPr>
          <w:p>
            <w:pPr>
              <w:pStyle w:val="23"/>
              <w:rPr>
                <w:rFonts w:ascii="宋体" w:eastAsia="宋体" w:cs="Calibri" w:hAnsi="宋体" w:hint="eastAsia"/>
              </w:rPr>
            </w:pPr>
            <w:r>
              <w:rPr>
                <w:rFonts w:ascii="宋体" w:eastAsia="宋体" w:cs="Calibri" w:hAnsi="宋体"/>
              </w:rPr>
              <w:t>单位性质</w:t>
            </w:r>
          </w:p>
        </w:tc>
        <w:tc>
          <w:tcPr>
            <w:tcW w:w="2126" w:type="dxa"/>
            <w:vAlign w:val="center"/>
          </w:tcPr>
          <w:p>
            <w:pPr>
              <w:pStyle w:val="23"/>
              <w:rPr>
                <w:rFonts w:ascii="宋体" w:eastAsia="宋体" w:cs="Calibri" w:hAnsi="宋体" w:hint="eastAsia"/>
              </w:rPr>
            </w:pPr>
            <w:r>
              <w:rPr>
                <w:rFonts w:ascii="宋体" w:eastAsia="宋体" w:cs="Calibri" w:hAnsi="宋体"/>
              </w:rPr>
              <w:t>单位规格</w:t>
            </w:r>
          </w:p>
        </w:tc>
        <w:tc>
          <w:tcPr>
            <w:tcW w:w="3827" w:type="dxa"/>
            <w:vAlign w:val="center"/>
          </w:tcPr>
          <w:p>
            <w:pPr>
              <w:pStyle w:val="23"/>
              <w:rPr>
                <w:rFonts w:ascii="宋体" w:eastAsia="宋体" w:cs="Calibri" w:hAnsi="宋体" w:hint="eastAsia"/>
              </w:rPr>
            </w:pPr>
            <w:r>
              <w:rPr>
                <w:rFonts w:ascii="宋体" w:eastAsia="宋体" w:cs="Calibri" w:hAnsi="宋体"/>
              </w:rPr>
              <w:t>经费保障形式</w:t>
            </w:r>
          </w:p>
        </w:tc>
      </w:tr>
      <w:tr>
        <w:trPr>
          <w:trHeight w:val="369"/>
        </w:trPr>
        <w:tc>
          <w:tcPr>
            <w:tcW w:w="5669" w:type="dxa"/>
            <w:vAlign w:val="center"/>
          </w:tcPr>
          <w:p>
            <w:pPr>
              <w:pStyle w:val="25"/>
              <w:rPr>
                <w:rFonts w:ascii="宋体" w:eastAsia="宋体" w:cs="Calibri" w:hAnsi="宋体" w:hint="eastAsia"/>
              </w:rPr>
            </w:pPr>
            <w:r>
              <w:rPr>
                <w:rFonts w:ascii="宋体" w:eastAsia="宋体" w:cs="Calibri" w:hAnsi="宋体"/>
              </w:rPr>
              <w:t>涞源县自然资源和规划局本级</w:t>
            </w:r>
          </w:p>
        </w:tc>
        <w:tc>
          <w:tcPr>
            <w:tcW w:w="1843"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事业</w:t>
            </w:r>
          </w:p>
        </w:tc>
        <w:tc>
          <w:tcPr>
            <w:tcW w:w="2126"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正科级</w:t>
            </w:r>
          </w:p>
        </w:tc>
        <w:tc>
          <w:tcPr>
            <w:tcW w:w="3827"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财政性资金基本保证</w:t>
            </w:r>
          </w:p>
        </w:tc>
      </w:tr>
    </w:tbl>
    <w:p>
      <w:pPr>
        <w:spacing w:before="10" w:after="10"/>
        <w:ind w:firstLine="640"/>
        <w:outlineLvl w:val="5"/>
        <w:rPr>
          <w:rFonts w:ascii="宋体" w:eastAsia="宋体" w:cs="Calibri" w:hAnsi="宋体" w:hint="eastAsia"/>
        </w:rPr>
      </w:pPr>
      <w:r>
        <w:rPr>
          <w:rFonts w:ascii="宋体" w:eastAsia="宋体" w:cs="Calibri" w:hAnsi="宋体"/>
          <w:color w:val="000000"/>
          <w:sz w:val="32"/>
        </w:rPr>
        <w:t>二、单位预算安排的总体情况</w:t>
      </w:r>
    </w:p>
    <w:p>
      <w:pPr>
        <w:spacing w:line="500" w:lineRule="exact"/>
        <w:ind w:firstLine="560"/>
        <w:rPr>
          <w:rFonts w:ascii="宋体" w:eastAsia="宋体" w:cs="Calibri" w:hAnsi="宋体" w:hint="eastAsia"/>
        </w:rPr>
      </w:pPr>
      <w:r>
        <w:rPr>
          <w:rFonts w:ascii="宋体" w:eastAsia="宋体" w:cs="Calibri" w:hAnsi="宋体"/>
          <w:color w:val="000000"/>
          <w:sz w:val="28"/>
        </w:rPr>
        <w:t>按照预算管理有关规定，目前我</w:t>
      </w:r>
      <w:r>
        <w:rPr>
          <w:rFonts w:ascii="宋体" w:eastAsia="宋体" w:cs="Calibri" w:hAnsi="宋体"/>
          <w:color w:val="000000"/>
          <w:sz w:val="28"/>
          <w:lang w:eastAsia="zh-CN"/>
        </w:rPr>
        <w:t>县</w:t>
      </w:r>
      <w:r>
        <w:rPr>
          <w:rFonts w:ascii="宋体" w:eastAsia="宋体" w:cs="Calibri" w:hAnsi="宋体"/>
          <w:color w:val="000000"/>
          <w:sz w:val="28"/>
        </w:rPr>
        <w:t>单位预算的编制实行综合预算管理，即全部收入和支出都反映在预算中。</w:t>
      </w:r>
    </w:p>
    <w:p>
      <w:pPr>
        <w:pStyle w:val="39"/>
        <w:rPr>
          <w:rFonts w:ascii="宋体" w:eastAsia="宋体" w:cs="Calibri" w:hAnsi="宋体" w:hint="eastAsia"/>
        </w:rPr>
      </w:pPr>
      <w:r>
        <w:rPr>
          <w:rFonts w:ascii="宋体" w:eastAsia="宋体" w:cs="Calibri" w:hAnsi="宋体"/>
        </w:rPr>
        <w:t>按照预算管理有关规定，目前我县单位预算的编制实行综合预算管理，即全部收入和支出都反映在预算中。涞源县自然资源和规划局机关及所属事业单位的收支包含在单位预算中。</w:t>
      </w:r>
    </w:p>
    <w:p>
      <w:pPr>
        <w:pStyle w:val="39"/>
        <w:rPr>
          <w:rFonts w:ascii="宋体" w:eastAsia="宋体" w:cs="Calibri" w:hAnsi="宋体" w:hint="eastAsia"/>
        </w:rPr>
      </w:pPr>
      <w:r>
        <w:rPr>
          <w:rFonts w:ascii="宋体" w:eastAsia="宋体" w:cs="Calibri" w:hAnsi="宋体"/>
        </w:rPr>
        <w:t>1、收入说明</w:t>
      </w:r>
    </w:p>
    <w:p>
      <w:pPr>
        <w:pStyle w:val="39"/>
        <w:rPr>
          <w:rFonts w:ascii="宋体" w:eastAsia="宋体" w:cs="Calibri" w:hAnsi="宋体" w:hint="eastAsia"/>
        </w:rPr>
      </w:pPr>
      <w:r>
        <w:rPr>
          <w:rFonts w:ascii="宋体" w:eastAsia="宋体" w:cs="Calibri" w:hAnsi="宋体"/>
        </w:rPr>
        <w:t>反映本单位当年全部收入。2023年预算收入77604.44万元，其中：一般公共预算收入9923.42万元，基金预算收入68146.42万元，国有资本经营预算收入0万元，财政专户核拨收入0万元，单位资金收入0万元，上年结转结余9458.02万元。</w:t>
      </w:r>
    </w:p>
    <w:p>
      <w:pPr>
        <w:pStyle w:val="39"/>
        <w:rPr>
          <w:rFonts w:ascii="宋体" w:eastAsia="宋体" w:cs="Calibri" w:hAnsi="宋体" w:hint="eastAsia"/>
        </w:rPr>
      </w:pPr>
      <w:r>
        <w:rPr>
          <w:rFonts w:ascii="宋体" w:eastAsia="宋体" w:cs="Calibri" w:hAnsi="宋体"/>
        </w:rPr>
        <w:t>2、支出说明</w:t>
      </w:r>
    </w:p>
    <w:p>
      <w:pPr>
        <w:pStyle w:val="39"/>
        <w:rPr>
          <w:rFonts w:ascii="宋体" w:eastAsia="宋体" w:cs="Calibri" w:hAnsi="宋体" w:hint="eastAsia"/>
        </w:rPr>
      </w:pPr>
      <w:r>
        <w:rPr>
          <w:rFonts w:ascii="宋体" w:eastAsia="宋体" w:cs="Calibri" w:hAnsi="宋体"/>
        </w:rPr>
        <w:t>2023年支出预算77604.44万元，其中基本支出3410万元，包括人员经费3135.14万元和日常公用经费274.86万元；项目支出74194.44万元主要为土地整治项目支出和地质灾害恢复治理、矿山地质环境恢复治理等。</w:t>
      </w:r>
    </w:p>
    <w:p>
      <w:pPr>
        <w:pStyle w:val="39"/>
        <w:rPr>
          <w:rFonts w:ascii="宋体" w:eastAsia="宋体" w:cs="Calibri" w:hAnsi="宋体" w:hint="eastAsia"/>
        </w:rPr>
      </w:pPr>
      <w:r>
        <w:rPr>
          <w:rFonts w:ascii="宋体" w:eastAsia="宋体" w:cs="Calibri" w:hAnsi="宋体"/>
        </w:rPr>
        <w:t>3、比上年增减情况</w:t>
      </w:r>
    </w:p>
    <w:p>
      <w:pPr>
        <w:pStyle w:val="39"/>
        <w:rPr>
          <w:rFonts w:ascii="宋体" w:eastAsia="宋体" w:cs="Calibri" w:hAnsi="宋体" w:hint="eastAsia"/>
        </w:rPr>
      </w:pPr>
      <w:r>
        <w:rPr>
          <w:rFonts w:ascii="宋体" w:eastAsia="宋体" w:cs="Calibri" w:hAnsi="宋体"/>
        </w:rPr>
        <w:t>2023年预算收支安排77604.44万元，较2022年预算增加14125.68万元，其中：基本支出增加195.21万元，主要为增加人员经费支出；项目支出增加13930.47万元，主要为土地整治项目、地质灾害及矿山环境恢复治理等项目增多。</w:t>
      </w:r>
    </w:p>
    <w:p>
      <w:pPr>
        <w:spacing w:before="10" w:after="10"/>
        <w:ind w:firstLine="640"/>
        <w:outlineLvl w:val="5"/>
        <w:rPr>
          <w:rFonts w:ascii="宋体" w:eastAsia="宋体" w:cs="Calibri" w:hAnsi="宋体" w:hint="eastAsia"/>
        </w:rPr>
      </w:pPr>
      <w:r>
        <w:rPr>
          <w:rFonts w:ascii="宋体" w:eastAsia="宋体" w:cs="Calibri" w:hAnsi="宋体"/>
          <w:color w:val="000000"/>
          <w:sz w:val="32"/>
        </w:rPr>
        <w:t>三、机关运行经费安排情况</w:t>
      </w:r>
    </w:p>
    <w:p>
      <w:pPr>
        <w:pStyle w:val="40"/>
        <w:rPr>
          <w:rFonts w:ascii="宋体" w:eastAsia="宋体" w:cs="Calibri" w:hAnsi="宋体" w:hint="eastAsia"/>
        </w:rPr>
      </w:pPr>
      <w:r>
        <w:rPr>
          <w:rFonts w:ascii="宋体" w:eastAsia="宋体" w:cs="Calibri" w:hAnsi="宋体"/>
        </w:rPr>
        <w:t>2023年，我单位运行经费共计安排266.32万元，主要用于日常维修、办公用品采购、水电费、人员差旅费等日常运行支</w:t>
      </w:r>
    </w:p>
    <w:p>
      <w:pPr>
        <w:spacing w:before="10" w:after="10"/>
        <w:ind w:firstLine="640"/>
        <w:outlineLvl w:val="5"/>
        <w:rPr>
          <w:rFonts w:ascii="宋体" w:eastAsia="宋体" w:cs="Calibri" w:hAnsi="宋体" w:hint="eastAsia"/>
        </w:rPr>
      </w:pPr>
      <w:r>
        <w:rPr>
          <w:rFonts w:ascii="宋体" w:eastAsia="宋体" w:cs="Calibri" w:hAnsi="宋体"/>
          <w:color w:val="000000"/>
          <w:sz w:val="32"/>
        </w:rPr>
        <w:t>四、财政拨款“三公”经费预算情况及增减变化原因</w:t>
      </w:r>
    </w:p>
    <w:p>
      <w:pPr>
        <w:pStyle w:val="41"/>
        <w:rPr>
          <w:rFonts w:ascii="宋体" w:eastAsia="宋体" w:cs="Calibri" w:hAnsi="宋体" w:hint="eastAsia"/>
        </w:rPr>
      </w:pPr>
      <w:r>
        <w:rPr>
          <w:rFonts w:ascii="宋体" w:eastAsia="宋体" w:cs="Calibri" w:hAnsi="宋体"/>
        </w:rPr>
        <w:t>2023年，我单位财政拨款“三公”经费预算安排78万元，其中因公出国（境）费3万元；公务用车购置及运维费63万元（其中：公务用车购置费为0万元，公务用车运维费63万元)；公务接待费12万元。与2022年相比增加11.5万元，由于增加原林业局相关经费。</w:t>
      </w:r>
    </w:p>
    <w:p>
      <w:pPr>
        <w:spacing w:before="10" w:after="10"/>
        <w:ind w:firstLine="640"/>
        <w:outlineLvl w:val="5"/>
        <w:rPr>
          <w:rFonts w:ascii="宋体" w:eastAsia="宋体" w:cs="Calibri" w:hAnsi="宋体" w:hint="eastAsia"/>
        </w:rPr>
        <w:sectPr>
          <w:pgSz w:w="16840" w:h="11900" w:orient="landscape"/>
          <w:pgMar w:top="1361" w:right="1020" w:bottom="1361" w:left="1020" w:header="720" w:footer="720" w:gutter="0"/>
          <w:cols w:num="1" w:space="720"/>
          <w:docGrid w:linePitch="326" w:charSpace="0"/>
        </w:sectPr>
      </w:pPr>
      <w:r>
        <w:rPr>
          <w:rFonts w:ascii="宋体" w:eastAsia="宋体" w:cs="Calibri" w:hAnsi="宋体"/>
          <w:color w:val="000000"/>
          <w:sz w:val="32"/>
        </w:rPr>
        <w:t>五、预算绩效信息</w:t>
      </w:r>
    </w:p>
    <w:p>
      <w:pPr>
        <w:ind w:firstLine="560"/>
        <w:rPr>
          <w:rFonts w:ascii="宋体" w:eastAsia="宋体" w:cs="Calibri" w:hAnsi="宋体" w:hint="eastAsia"/>
        </w:rPr>
      </w:pPr>
      <w:r>
        <w:rPr>
          <w:rFonts w:ascii="宋体" w:eastAsia="宋体" w:cs="Calibri" w:hAnsi="宋体"/>
          <w:b/>
          <w:color w:val="000000"/>
          <w:sz w:val="28"/>
        </w:rPr>
        <w:t>1、2023年国营白石山林场人员、公用经费绩效目标表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享受人数</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享受人数</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≥9546人</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人员经费执行率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1</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≥951</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提高效率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提高效率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≥95提高工作效率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森林资源监测任务完成率（%）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森林资源监测任务完成率（%）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≥95监测森林资源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≥95减少</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2、2023年国营甸子梁林场人员、公用经费绩效目标表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享受人数</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享受人数</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≥9546人</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人员经费执行率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1</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≥951</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提高效率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提高效率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≥95提高工作效率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森林资源监测任务完成率（%）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森林资源监测任务完成率（%）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≥95监测森林资源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≥95减少</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3、2023年林业事业机构费绩效目标表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享受人数</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享受人数</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≥9546人</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人员经费执行率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1</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≥951</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提高效率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提高效率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≥95提高工作效率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森林资源监测任务完成率（%）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森林资源监测任务完成率（%）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≥95监测森林资源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≥95减少</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4、2023年农业生产发展支出绩效目标表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1.完成农业生产发展支出。</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付款准确率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及时准确转入付息指定账户</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≥90付款准确率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及时准确转入付息指定账户</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≥90资金支付及时性</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项目资金支付率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≥90项目资金支付率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综合利用率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≥90综合利用率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≥90工作完成率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≥90监测数据合格率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业务办理率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业务办理率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≥90业务办理率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业务办理率</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群众满意度</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≥90群众满意度</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群众满意度</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5、2023年土地开发支出绩效目标表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1.及时支付各项土地整治项目费用，确保土地整治顺利进行</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项目验收合格率</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年度实际验收合格工程量占实际完成量的比率</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≥90项目验收合格率</w:t>
            </w:r>
          </w:p>
          <w:p>
            <w:pPr>
              <w:pStyle w:val="25"/>
              <w:rPr>
                <w:rFonts w:ascii="宋体" w:eastAsia="宋体" w:cs="Calibri" w:hAnsi="宋体" w:hint="eastAsia"/>
              </w:rPr>
            </w:p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年度实际验收合格工程量占实际完成量的比率</w:t>
            </w:r>
          </w:p>
          <w:p>
            <w:pPr>
              <w:pStyle w:val="25"/>
              <w:rPr>
                <w:rFonts w:ascii="宋体" w:eastAsia="宋体" w:cs="Calibri" w:hAnsi="宋体" w:hint="eastAsia"/>
              </w:rPr>
            </w:pP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项目资金支付率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≥90资金支付及时性</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综合利用率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≥90项目资金支付率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督查项目建档率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年度建立项目督查档案数量占年度任务项目数量的比例</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≥90综合利用率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≥90督查项目建档率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年度建立项目督查档案数量占年度任务项目数量的比例</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基础设施完好率（%）</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设备完好数量市场价值总额占设备总数量市场价值总额的比率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≥90监测数据合格率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≥90服务对象满意度</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6、涞源县自然资源和规划局2023涉军人员工资及保险绩效目标表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1.用于下岗退役士兵岗位补贴及各项社保，确保信访稳定</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支出完成率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按时有序支付</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≥90支出完成率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支出完成率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付款准确率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及时准确转入付息指定账户</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≥90付款准确率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付款准确率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≥90资金支付及时性</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≥90资金支付率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资金支付率</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数据共享率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共享的数据容量占全部数据容量的比率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≥90数据共享率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数据共享率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≥90工作完成率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≥90监测数据合格率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任务计划完成率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任务计划完成率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≥90任务计划完成率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任务计划完成率</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≥90服务对象满意度</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7、2022年新增费返还市县资金31万绩效目标表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1.完成土地评估等项目工作</w:t>
            </w:r>
          </w:p>
          <w:p>
            <w:pPr>
              <w:pStyle w:val="25"/>
              <w:rPr>
                <w:rFonts w:ascii="宋体" w:eastAsia="宋体" w:cs="Calibri" w:hAnsi="宋体" w:hint="eastAsia"/>
              </w:rPr>
            </w:pPr>
            <w:r>
              <w:rPr>
                <w:rFonts w:ascii="宋体" w:eastAsia="宋体" w:cs="Calibri" w:hAnsi="宋体"/>
              </w:rPr>
              <w:t>2.完成土地评估等项目工作</w:t>
            </w:r>
          </w:p>
          <w:p>
            <w:pPr>
              <w:pStyle w:val="25"/>
              <w:rPr>
                <w:rFonts w:ascii="宋体" w:eastAsia="宋体" w:cs="Calibri" w:hAnsi="宋体" w:hint="eastAsia"/>
              </w:rPr>
            </w:pPr>
            <w:r>
              <w:rPr>
                <w:rFonts w:ascii="宋体" w:eastAsia="宋体" w:cs="Calibri" w:hAnsi="宋体"/>
              </w:rPr>
              <w:t>3.完成土地评估等项目工作</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付款准确率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及时准确转入付息指定账户</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≥90付款准确率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及时准确转入付息指定账户</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≥90资金支付及时性</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项目资金支付率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≥90项目资金支付率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综合利用率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≥90综合利用率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≥90工作完成率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≥90监测数据合格率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业务办理率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业务办理率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≥90业务办理率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业务办理率</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群众满意度</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≥90群众满意度</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群众满意度</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8、2022年新增费返还资金（25%部分，第一批）绩效目标表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1.完成土地评估等项目工作。</w:t>
            </w:r>
          </w:p>
          <w:p>
            <w:pPr>
              <w:pStyle w:val="25"/>
              <w:rPr>
                <w:rFonts w:ascii="宋体" w:eastAsia="宋体" w:cs="Calibri" w:hAnsi="宋体" w:hint="eastAsia"/>
              </w:rPr>
            </w:pPr>
            <w:r>
              <w:rPr>
                <w:rFonts w:ascii="宋体" w:eastAsia="宋体" w:cs="Calibri" w:hAnsi="宋体"/>
              </w:rPr>
              <w:t>2.完成土地评估等项目工作。</w:t>
            </w:r>
          </w:p>
          <w:p>
            <w:pPr>
              <w:pStyle w:val="25"/>
              <w:rPr>
                <w:rFonts w:ascii="宋体" w:eastAsia="宋体" w:cs="Calibri" w:hAnsi="宋体" w:hint="eastAsia"/>
              </w:rPr>
            </w:pPr>
            <w:r>
              <w:rPr>
                <w:rFonts w:ascii="宋体" w:eastAsia="宋体" w:cs="Calibri" w:hAnsi="宋体"/>
              </w:rPr>
              <w:t>3.完成土地评估等项目工作。</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付款准确率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及时准确转入付息指定账户</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≥90付款准确率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及时准确转入付息指定账户</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≥90资金支付及时性</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项目资金支付率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≥90项目资金支付率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综合利用率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≥90综合利用率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≥90工作完成率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≥90监测数据合格率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业务办理率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业务办理率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≥90业务办理率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业务办理率</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群众满意度</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≥90群众满意度</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群众满意度</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9、2022年中央财政林业草原生态保护修复资金 冀财资环（2022）108号，56.02万元绩效目标表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项目投资完成率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项目投资完成率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按时完成项目</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按时完成项目</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≥95按时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林业和草原重点工作任务计划完成</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林业和草原重点工作任务计划完成率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10、2022年中央重点生态保护修复治理资金4483万元绩效目标表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1.完成地质环境修复治理等工作。</w:t>
            </w:r>
          </w:p>
          <w:p>
            <w:pPr>
              <w:pStyle w:val="25"/>
              <w:rPr>
                <w:rFonts w:ascii="宋体" w:eastAsia="宋体" w:cs="Calibri" w:hAnsi="宋体" w:hint="eastAsia"/>
              </w:rPr>
            </w:pPr>
            <w:r>
              <w:rPr>
                <w:rFonts w:ascii="宋体" w:eastAsia="宋体" w:cs="Calibri" w:hAnsi="宋体"/>
              </w:rPr>
              <w:t>2.完成地质环境修复治理等工作。</w:t>
            </w:r>
          </w:p>
          <w:p>
            <w:pPr>
              <w:pStyle w:val="25"/>
              <w:rPr>
                <w:rFonts w:ascii="宋体" w:eastAsia="宋体" w:cs="Calibri" w:hAnsi="宋体" w:hint="eastAsia"/>
              </w:rPr>
            </w:pPr>
            <w:r>
              <w:rPr>
                <w:rFonts w:ascii="宋体" w:eastAsia="宋体" w:cs="Calibri" w:hAnsi="宋体"/>
              </w:rPr>
              <w:t>3.完成地质环境修复治理等工作。</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支出完成率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按时有序支付</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≥90支出完成率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按时有序支付</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项目验收合格率</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年度实际验收合格工程量占实际完成量的比率</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≥90项目验收合格率</w:t>
            </w:r>
          </w:p>
          <w:p>
            <w:pPr>
              <w:pStyle w:val="25"/>
              <w:rPr>
                <w:rFonts w:ascii="宋体" w:eastAsia="宋体" w:cs="Calibri" w:hAnsi="宋体" w:hint="eastAsia"/>
              </w:rPr>
            </w:p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年度实际验收合格工程量占实际完成量的比率</w:t>
            </w:r>
          </w:p>
          <w:p>
            <w:pPr>
              <w:pStyle w:val="25"/>
              <w:rPr>
                <w:rFonts w:ascii="宋体" w:eastAsia="宋体" w:cs="Calibri" w:hAnsi="宋体" w:hint="eastAsia"/>
              </w:rPr>
            </w:pP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≥90资金支付及时性</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采购节支率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采购产品节约资金比率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≥90采购节支率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采购产品节约资金比率</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设施完好率(％)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设施完好率(％)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≥90设施完好率(％)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设施完好率(％)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数据共享率（%）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数据共享率（%）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≥90数据共享率（%）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数据共享率（%）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≥90监测数据合格率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综合利用率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综合利用率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≥90综合利用率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综合利用率</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群众满意度</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群众满意数量占总数的比例。</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≥90群众满意度</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群众满意数量占总数的比例。</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11、2023林业局防火经费绩效目标表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完成项目数量</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完成项目数量</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≥95全县森林防火</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森林防火督导任务完成率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森林防火督导任务完成率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≥951</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≥95.99</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森林火灾受害控制率（%）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森林火灾受害控制率（%）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12、2023年林长制建设资金绩效目标表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13、2023年林业发展改革补助资金32万绩效目标表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14、2023年林业发展改革补助资金524.7万元绩效目标表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15、2023年林业改革发展补助资金绩效目标表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16、2023年林业局2022年创建森林城市总体规划、验收报告、宣传、专题制作绩效目标表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17、2023年林业局创建森林城市宣传及工作经费绩效目标表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支持项目个数（个）</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支持项目个数（个）</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≥955</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≥95.99</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按时完成项目</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按时完成项目</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≥95按时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项目实现功能</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项目实现功能</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≥95生态提升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项目对生态效益提升比</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项目对生态效益提升比值</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≥95提高</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项目建成效果</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项目建成效果</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≥95生态提升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18、2023年林业局村庄绿化苗木费绩效目标表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19、2023年林业局国家跳台滑雪训练科研基地2020年度造林绿化绩效目标表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20、2023年林业局横岭子自然保护区项目绩效目标表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21、2023年林业局农业保险保费林业林木保险绩效目标表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22、2023年林业局荣乌高速两侧绿化项目绩效目标表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23、2023年林业局松材线虫病普查和监测绩效目标表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24、2023年林业局野生动物致害赔偿金绩效目标表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25、2023年林业局造林设计验收监理费绩效目标表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26、2023年林业有害生物国家级中心测报点绩效目标表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27、2023年森林草原防火视频监控省级补助274万元绩效目标表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28、2023年省级风景名胜资源保护资金50万元绩效目标表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29、2023年湿地保护修复绩效目标表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30、2023年中央财政林业草原生态保护恢复资金1068万元绩效目标表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31、2023年中央财政林业草原生态保护恢复资金83.64万元绩效目标表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32、2023年中央财政林业改革发展资金350万元绩效目标表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33、2023年中央财政林业改革发展资金473.9万元绩效目标表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34、2023年中央财政林业改革发展资金50万元绩效目标表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35、2023年中央林业草原生态保护恢复资金130.95万元绩效目标表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36、2023年自然资源局森林防火宣传10万元绩效目标表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森林防火安全检查覆盖率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森林防火安全检查覆盖率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≥95防火宣传</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森林防火督导任务完成率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森林防火督导任务完成率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≥95防火宣传</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完成及时率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完成及时率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≥95防火宣传</w:t>
            </w:r>
          </w:p>
          <w:p>
            <w:pPr>
              <w:pStyle w:val="25"/>
              <w:rPr>
                <w:rFonts w:ascii="宋体" w:eastAsia="宋体" w:cs="Calibri" w:hAnsi="宋体" w:hint="eastAsia"/>
              </w:rPr>
            </w:p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≥95防火宣传</w:t>
            </w:r>
          </w:p>
          <w:p>
            <w:pPr>
              <w:pStyle w:val="25"/>
              <w:rPr>
                <w:rFonts w:ascii="宋体" w:eastAsia="宋体" w:cs="Calibri" w:hAnsi="宋体" w:hint="eastAsia"/>
              </w:rPr>
            </w:p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提高效率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提高效率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≥95提高</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扩大防火安全宣传效应</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扩大防火安全宣传效应</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≥95防火宣传</w:t>
            </w:r>
          </w:p>
          <w:p>
            <w:pPr>
              <w:pStyle w:val="25"/>
              <w:rPr>
                <w:rFonts w:ascii="宋体" w:eastAsia="宋体" w:cs="Calibri" w:hAnsi="宋体" w:hint="eastAsia"/>
              </w:rPr>
            </w:p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森林火灾受害率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森林火灾受害率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≥95防火宣传</w:t>
            </w:r>
          </w:p>
          <w:p>
            <w:pPr>
              <w:pStyle w:val="25"/>
              <w:rPr>
                <w:rFonts w:ascii="宋体" w:eastAsia="宋体" w:cs="Calibri" w:hAnsi="宋体" w:hint="eastAsia"/>
              </w:rPr>
            </w:p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p>
            <w:pPr>
              <w:pStyle w:val="25"/>
              <w:rPr>
                <w:rFonts w:ascii="宋体" w:eastAsia="宋体" w:cs="Calibri" w:hAnsi="宋体" w:hint="eastAsia"/>
              </w:rPr>
            </w:p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37、冀财建（2022）73号2022年重点区域生态保护和修复专项（第一批）中央基建投资4510万元绩效目标表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1.用于人工造林。</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项目投资完成率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项目投资完成率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按时完成项目</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按时完成项目</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≥95按时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林业和草原重点工作任务计划完成</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林业和草原重点工作任务计划完成率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38、冀财建（2022）89号2022年第一批省预算内基建支出300万元绩效目标表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1.完成人工造林项目。</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项目投资完成率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项目投资完成率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按时完成项目</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按时完成项目</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≥95按时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成本控制</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林业和草原重点工作任务计划完成</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林业和草原重点工作任务计划完成率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39、林业有害生物防治经费绩效目标表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1.目标内容1</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项目完成情况</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项目验收通过率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≥95通过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资金拨付及时率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≥95及时</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控制成本</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≥95控制成本</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项目工程完成情况</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≥95完成</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林区社会治安稳定得到有效维护</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≥95维护</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森林受害面积</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≥95降低</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可持续性</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≥95可持续</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满意率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≥95满意</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历史依据</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40、自规局规划、测绘、拆违、复垦、绿化、主体灭失矿山修复、地灾防治等各类项目绩效目标表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1.用于规划、测绘、拆违、复垦、绿化、主体灭失矿山修复、地灾防治等各类项目，确保项目顺利进行</w:t>
            </w: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项目验收合格率</w:t>
            </w:r>
          </w:p>
          <w:p>
            <w:pPr>
              <w:pStyle w:val="25"/>
              <w:rPr>
                <w:rFonts w:ascii="宋体" w:eastAsia="宋体" w:cs="Calibri" w:hAnsi="宋体" w:hint="eastAsia"/>
              </w:rPr>
            </w:pP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年度实际验收合格工程量占实际完成量的比率</w:t>
              <w:tab/>
            </w:r>
          </w:p>
          <w:p>
            <w:pPr>
              <w:pStyle w:val="25"/>
              <w:rPr>
                <w:rFonts w:ascii="宋体" w:eastAsia="宋体" w:cs="Calibri" w:hAnsi="宋体" w:hint="eastAsia"/>
              </w:rPr>
            </w:pP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≥90项目验收合格率</w:t>
            </w:r>
          </w:p>
          <w:p>
            <w:pPr>
              <w:pStyle w:val="25"/>
              <w:rPr>
                <w:rFonts w:ascii="宋体" w:eastAsia="宋体" w:cs="Calibri" w:hAnsi="宋体" w:hint="eastAsia"/>
              </w:rPr>
            </w:pPr>
          </w:p>
          <w:p>
            <w:pPr>
              <w:pStyle w:val="25"/>
              <w:rPr>
                <w:rFonts w:ascii="宋体" w:eastAsia="宋体" w:cs="Calibri" w:hAnsi="宋体" w:hint="eastAsia"/>
              </w:rPr>
            </w:p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项目验收合格率</w:t>
            </w:r>
          </w:p>
          <w:p>
            <w:pPr>
              <w:pStyle w:val="25"/>
              <w:rPr>
                <w:rFonts w:ascii="宋体" w:eastAsia="宋体" w:cs="Calibri" w:hAnsi="宋体" w:hint="eastAsia"/>
              </w:rPr>
            </w:pPr>
          </w:p>
          <w:p>
            <w:pPr>
              <w:pStyle w:val="25"/>
              <w:rPr>
                <w:rFonts w:ascii="宋体" w:eastAsia="宋体" w:cs="Calibri" w:hAnsi="宋体" w:hint="eastAsia"/>
              </w:rPr>
            </w:pP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≥90资金支付及时性</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经费使用率(%)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经费使用率(%)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≥90经费使用率(%)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经费使用率(%)</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综合利用率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≥90综合利用率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综合利用率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≥90工作完成率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工作完成率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≥90监测数据合格率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任务计划完成率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任务计划完成率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≥90任务计划完成率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任务计划完成率</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项目完成率</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spacing w:before="10" w:after="10"/>
        <w:ind w:firstLine="640"/>
        <w:outlineLvl w:val="5"/>
        <w:rPr>
          <w:rFonts w:ascii="宋体" w:eastAsia="宋体" w:cs="Calibri" w:hAnsi="宋体" w:hint="eastAsia"/>
        </w:rPr>
      </w:pPr>
      <w:r>
        <w:rPr>
          <w:rFonts w:ascii="宋体" w:eastAsia="宋体" w:cs="Calibri" w:hAnsi="宋体"/>
          <w:color w:val="000000"/>
          <w:sz w:val="32"/>
        </w:rPr>
        <w:t>六、政府采购预算情况</w:t>
      </w:r>
    </w:p>
    <w:p>
      <w:pPr>
        <w:spacing w:line="500" w:lineRule="exact"/>
        <w:ind w:firstLine="560"/>
        <w:rPr>
          <w:rFonts w:ascii="宋体" w:eastAsia="宋体" w:cs="Calibri" w:hAnsi="宋体" w:hint="eastAsia"/>
        </w:rPr>
      </w:pPr>
      <w:r>
        <w:rPr>
          <w:rFonts w:ascii="宋体" w:eastAsia="宋体" w:cs="Calibri" w:hAnsi="宋体"/>
          <w:color w:val="000000"/>
          <w:sz w:val="28"/>
        </w:rPr>
        <w:t>2023年，涞源县自然资源和规划局本级安排政府采购预算754.95万元。具体内容见下表。</w:t>
      </w:r>
    </w:p>
    <w:p>
      <w:pPr>
        <w:jc w:val="center"/>
        <w:rPr>
          <w:rFonts w:ascii="宋体" w:eastAsia="宋体" w:cs="Calibri" w:hAnsi="宋体" w:hint="eastAsia"/>
        </w:rPr>
      </w:pPr>
      <w:r>
        <w:rPr>
          <w:rFonts w:ascii="宋体" w:eastAsia="宋体" w:cs="Calibri" w:hAnsi="宋体"/>
          <w:color w:val="000000"/>
          <w:sz w:val="36"/>
        </w:rPr>
        <w:t>单位政府采购预算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8674" w:type="dxa"/>
            <w:gridSpan w:val="9"/>
            <w:tcBorders>
              <w:top w:val="single" w:sz="6" w:space="0" w:color="FFFFFF"/>
              <w:left w:val="single" w:sz="6" w:space="0" w:color="FFFFFF"/>
              <w:right w:val="single" w:sz="6" w:space="0" w:color="FFFFFF"/>
            </w:tcBorders>
            <w:vAlign w:val="center"/>
          </w:tcPr>
          <w:p>
            <w:pPr>
              <w:pStyle w:val="37"/>
              <w:rPr>
                <w:rFonts w:ascii="宋体" w:eastAsia="宋体" w:cs="Calibri" w:hAnsi="宋体" w:hint="eastAsia"/>
              </w:rPr>
            </w:pPr>
            <w:r>
              <w:rPr>
                <w:rFonts w:ascii="宋体" w:eastAsia="宋体" w:cs="Calibri" w:hAnsi="宋体"/>
              </w:rPr>
              <w:t>单位：万元</w:t>
            </w:r>
          </w:p>
        </w:tc>
      </w:tr>
      <w:tr>
        <w:trPr>
          <w:cantSplit/>
          <w:tblHeader/>
        </w:trPr>
        <w:tc>
          <w:tcPr>
            <w:tcW w:w="2665" w:type="dxa"/>
            <w:gridSpan w:val="2"/>
            <w:vAlign w:val="center"/>
          </w:tcPr>
          <w:p>
            <w:pPr>
              <w:pStyle w:val="23"/>
              <w:rPr>
                <w:rFonts w:ascii="宋体" w:eastAsia="宋体" w:cs="Calibri" w:hAnsi="宋体" w:hint="eastAsia"/>
              </w:rPr>
            </w:pPr>
            <w:r>
              <w:rPr>
                <w:rFonts w:ascii="宋体" w:eastAsia="宋体" w:cs="Calibri" w:hAnsi="宋体"/>
              </w:rPr>
              <w:t>政府采购项目来源</w:t>
            </w:r>
          </w:p>
        </w:tc>
        <w:tc>
          <w:tcPr>
            <w:tcW w:w="1134"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采购物品名称</w:t>
            </w:r>
          </w:p>
        </w:tc>
        <w:tc>
          <w:tcPr>
            <w:tcW w:w="1134"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政府采购目录序号</w:t>
            </w:r>
          </w:p>
        </w:tc>
        <w:tc>
          <w:tcPr>
            <w:tcW w:w="709"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计量  单位</w:t>
            </w:r>
          </w:p>
        </w:tc>
        <w:tc>
          <w:tcPr>
            <w:tcW w:w="850"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数量</w:t>
            </w:r>
          </w:p>
        </w:tc>
        <w:tc>
          <w:tcPr>
            <w:tcW w:w="850"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单价</w:t>
            </w:r>
          </w:p>
        </w:tc>
        <w:tc>
          <w:tcPr>
            <w:tcW w:w="7710" w:type="dxa"/>
            <w:gridSpan w:val="8"/>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政府采购金额（当年部门预算安排资金）</w:t>
            </w:r>
          </w:p>
        </w:tc>
        <w:tc>
          <w:tcPr>
            <w:tcW w:w="964"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2023年  预留中  小微企  业份额</w:t>
            </w:r>
          </w:p>
        </w:tc>
      </w:tr>
      <w:tr>
        <w:trPr>
          <w:cantSplit/>
          <w:tblHeader/>
        </w:trPr>
        <w:tc>
          <w:tcPr>
            <w:tcW w:w="1701" w:type="dxa"/>
            <w:vAlign w:val="center"/>
          </w:tcPr>
          <w:p>
            <w:pPr>
              <w:pStyle w:val="23"/>
              <w:rPr>
                <w:rFonts w:ascii="宋体" w:eastAsia="宋体" w:cs="Calibri" w:hAnsi="宋体" w:hint="eastAsia"/>
              </w:rPr>
            </w:pPr>
            <w:r>
              <w:rPr>
                <w:rFonts w:ascii="宋体" w:eastAsia="宋体" w:cs="Calibri" w:hAnsi="宋体"/>
              </w:rPr>
              <w:t>项目名称</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预算    资金</w:t>
            </w:r>
          </w:p>
        </w:tc>
        <w:tc>
          <w:tcPr>
            <w:tcW w:w="1134" w:type="dxa"/>
            <w:vMerge/>
            <w:tcBorders>
              <w:left w:val="single" w:sz="6" w:space="0" w:color="000000"/>
            </w:tcBorders>
          </w:tcPr>
          <w:p/>
        </w:tc>
        <w:tc>
          <w:tcPr>
            <w:tcW w:w="1134" w:type="dxa"/>
            <w:vMerge/>
            <w:tcBorders>
              <w:left w:val="single" w:sz="6" w:space="0" w:color="000000"/>
            </w:tcBorders>
          </w:tcPr>
          <w:p/>
        </w:tc>
        <w:tc>
          <w:tcPr>
            <w:tcW w:w="709" w:type="dxa"/>
            <w:vMerge/>
            <w:tcBorders>
              <w:left w:val="single" w:sz="6" w:space="0" w:color="000000"/>
            </w:tcBorders>
          </w:tcPr>
          <w:p/>
        </w:tc>
        <w:tc>
          <w:tcPr>
            <w:tcW w:w="850" w:type="dxa"/>
            <w:vMerge/>
            <w:tcBorders>
              <w:left w:val="single" w:sz="6" w:space="0" w:color="000000"/>
            </w:tcBorders>
          </w:tcPr>
          <w:p/>
        </w:tc>
        <w:tc>
          <w:tcPr>
            <w:tcW w:w="850" w:type="dxa"/>
            <w:vMerge/>
            <w:tcBorders>
              <w:left w:val="single" w:sz="6" w:space="0" w:color="000000"/>
            </w:tcBorders>
          </w:tcP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一般公共预算拨款</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基金预算拨款</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国有资本经营预算拨款</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财政专户核拨</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单位    资金</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财政拨    款结转</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非财政    拨款结    转结余</w:t>
            </w:r>
          </w:p>
        </w:tc>
        <w:tc>
          <w:tcPr>
            <w:tcW w:w="964" w:type="dxa"/>
            <w:vMerge/>
            <w:tcBorders>
              <w:left w:val="single" w:sz="6" w:space="0" w:color="000000"/>
            </w:tcBorders>
          </w:tcPr>
          <w:p/>
        </w:tc>
      </w:tr>
      <w:tr>
        <w:trPr>
          <w:cantSplit/>
        </w:trPr>
        <w:tc>
          <w:tcPr>
            <w:tcW w:w="1701" w:type="dxa"/>
            <w:vAlign w:val="center"/>
          </w:tcPr>
          <w:p>
            <w:pPr>
              <w:pStyle w:val="27"/>
              <w:rPr>
                <w:rFonts w:ascii="宋体" w:eastAsia="宋体" w:cs="Calibri" w:hAnsi="宋体" w:hint="eastAsia"/>
              </w:rPr>
            </w:pPr>
            <w:r>
              <w:rPr>
                <w:rFonts w:ascii="宋体" w:eastAsia="宋体" w:cs="Calibri" w:hAnsi="宋体"/>
              </w:rPr>
              <w:t>合  计</w:t>
            </w:r>
          </w:p>
        </w:tc>
        <w:tc>
          <w:tcPr>
            <w:tcW w:w="96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9"/>
              <w:rPr>
                <w:rFonts w:ascii="宋体" w:eastAsia="宋体" w:cs="Calibri" w:hAnsi="宋体" w:hint="eastAsia"/>
              </w:rPr>
            </w:pPr>
          </w:p>
        </w:tc>
        <w:tc>
          <w:tcPr>
            <w:tcW w:w="1134" w:type="dxa"/>
            <w:tcBorders>
              <w:left w:val="single" w:sz="6" w:space="0" w:color="000000"/>
            </w:tcBorders>
            <w:vAlign w:val="center"/>
          </w:tcPr>
          <w:p>
            <w:pPr>
              <w:pStyle w:val="29"/>
              <w:rPr>
                <w:rFonts w:ascii="宋体" w:eastAsia="宋体" w:cs="Calibri" w:hAnsi="宋体" w:hint="eastAsia"/>
              </w:rPr>
            </w:pPr>
          </w:p>
        </w:tc>
        <w:tc>
          <w:tcPr>
            <w:tcW w:w="709" w:type="dxa"/>
            <w:tcBorders>
              <w:left w:val="single" w:sz="6" w:space="0" w:color="000000"/>
            </w:tcBorders>
            <w:vAlign w:val="center"/>
          </w:tcPr>
          <w:p>
            <w:pPr>
              <w:pStyle w:val="27"/>
              <w:rPr>
                <w:rFonts w:ascii="宋体" w:eastAsia="宋体" w:cs="Calibri" w:hAnsi="宋体" w:hint="eastAsia"/>
              </w:rPr>
            </w:pPr>
          </w:p>
        </w:tc>
        <w:tc>
          <w:tcPr>
            <w:tcW w:w="850" w:type="dxa"/>
            <w:tcBorders>
              <w:left w:val="single" w:sz="6" w:space="0" w:color="000000"/>
            </w:tcBorders>
            <w:vAlign w:val="center"/>
          </w:tcPr>
          <w:p>
            <w:pPr>
              <w:pStyle w:val="28"/>
              <w:rPr>
                <w:rFonts w:ascii="宋体" w:eastAsia="宋体" w:cs="Calibri" w:hAnsi="宋体" w:hint="eastAsia"/>
              </w:rPr>
            </w:pPr>
          </w:p>
        </w:tc>
        <w:tc>
          <w:tcPr>
            <w:tcW w:w="850"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754.95</w:t>
            </w:r>
          </w:p>
        </w:tc>
        <w:tc>
          <w:tcPr>
            <w:tcW w:w="96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754.95</w:t>
            </w: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754.95</w:t>
            </w:r>
          </w:p>
        </w:tc>
      </w:tr>
      <w:tr>
        <w:trPr>
          <w:cantSplit/>
        </w:trPr>
        <w:tc>
          <w:tcPr>
            <w:tcW w:w="1701" w:type="dxa"/>
            <w:vAlign w:val="center"/>
          </w:tcPr>
          <w:p>
            <w:pPr>
              <w:pStyle w:val="27"/>
              <w:rPr>
                <w:rFonts w:ascii="宋体" w:eastAsia="宋体" w:cs="Calibri" w:hAnsi="宋体" w:hint="eastAsia"/>
              </w:rPr>
            </w:pPr>
            <w:r>
              <w:rPr>
                <w:rFonts w:ascii="宋体" w:eastAsia="宋体" w:cs="Calibri" w:hAnsi="宋体"/>
              </w:rPr>
              <w:t>涞源县自然资源和规划局本级小计</w:t>
            </w:r>
          </w:p>
        </w:tc>
        <w:tc>
          <w:tcPr>
            <w:tcW w:w="96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9"/>
              <w:rPr>
                <w:rFonts w:ascii="宋体" w:eastAsia="宋体" w:cs="Calibri" w:hAnsi="宋体" w:hint="eastAsia"/>
              </w:rPr>
            </w:pPr>
          </w:p>
        </w:tc>
        <w:tc>
          <w:tcPr>
            <w:tcW w:w="1134" w:type="dxa"/>
            <w:tcBorders>
              <w:left w:val="single" w:sz="6" w:space="0" w:color="000000"/>
            </w:tcBorders>
            <w:vAlign w:val="center"/>
          </w:tcPr>
          <w:p>
            <w:pPr>
              <w:pStyle w:val="29"/>
              <w:rPr>
                <w:rFonts w:ascii="宋体" w:eastAsia="宋体" w:cs="Calibri" w:hAnsi="宋体" w:hint="eastAsia"/>
              </w:rPr>
            </w:pPr>
          </w:p>
        </w:tc>
        <w:tc>
          <w:tcPr>
            <w:tcW w:w="709" w:type="dxa"/>
            <w:tcBorders>
              <w:left w:val="single" w:sz="6" w:space="0" w:color="000000"/>
            </w:tcBorders>
            <w:vAlign w:val="center"/>
          </w:tcPr>
          <w:p>
            <w:pPr>
              <w:pStyle w:val="27"/>
              <w:rPr>
                <w:rFonts w:ascii="宋体" w:eastAsia="宋体" w:cs="Calibri" w:hAnsi="宋体" w:hint="eastAsia"/>
              </w:rPr>
            </w:pPr>
          </w:p>
        </w:tc>
        <w:tc>
          <w:tcPr>
            <w:tcW w:w="850" w:type="dxa"/>
            <w:tcBorders>
              <w:left w:val="single" w:sz="6" w:space="0" w:color="000000"/>
            </w:tcBorders>
            <w:vAlign w:val="center"/>
          </w:tcPr>
          <w:p>
            <w:pPr>
              <w:pStyle w:val="28"/>
              <w:rPr>
                <w:rFonts w:ascii="宋体" w:eastAsia="宋体" w:cs="Calibri" w:hAnsi="宋体" w:hint="eastAsia"/>
              </w:rPr>
            </w:pPr>
          </w:p>
        </w:tc>
        <w:tc>
          <w:tcPr>
            <w:tcW w:w="850"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754.95</w:t>
            </w:r>
          </w:p>
        </w:tc>
        <w:tc>
          <w:tcPr>
            <w:tcW w:w="96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754.95</w:t>
            </w: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p>
        </w:tc>
        <w:tc>
          <w:tcPr>
            <w:tcW w:w="96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754.95</w:t>
            </w:r>
          </w:p>
        </w:tc>
      </w:tr>
      <w:tr>
        <w:trPr>
          <w:cantSplit/>
        </w:trPr>
        <w:tc>
          <w:tcPr>
            <w:tcW w:w="1701" w:type="dxa"/>
            <w:vAlign w:val="center"/>
          </w:tcPr>
          <w:p>
            <w:pPr>
              <w:pStyle w:val="25"/>
              <w:rPr>
                <w:rFonts w:ascii="宋体" w:eastAsia="宋体" w:cs="Calibri" w:hAnsi="宋体" w:hint="eastAsia"/>
              </w:rPr>
            </w:pPr>
            <w:r>
              <w:rPr>
                <w:rFonts w:ascii="宋体" w:eastAsia="宋体" w:cs="Calibri" w:hAnsi="宋体"/>
              </w:rPr>
              <w:t>2023年森林草原防火视频监控省级补助274万元</w:t>
            </w: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274.00</w:t>
            </w:r>
          </w:p>
        </w:tc>
        <w:tc>
          <w:tcPr>
            <w:tcW w:w="1134"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监控系统工程安装</w:t>
            </w:r>
          </w:p>
        </w:tc>
        <w:tc>
          <w:tcPr>
            <w:tcW w:w="1134"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B06010200</w:t>
            </w:r>
          </w:p>
        </w:tc>
        <w:tc>
          <w:tcPr>
            <w:tcW w:w="709"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套</w:t>
            </w:r>
          </w:p>
        </w:tc>
        <w:tc>
          <w:tcPr>
            <w:tcW w:w="850"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274</w:t>
            </w:r>
          </w:p>
        </w:tc>
        <w:tc>
          <w:tcPr>
            <w:tcW w:w="850"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w:t>
            </w: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274.00</w:t>
            </w: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274.00</w:t>
            </w: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274.00</w:t>
            </w:r>
          </w:p>
        </w:tc>
      </w:tr>
      <w:tr>
        <w:trPr>
          <w:cantSplit/>
        </w:trPr>
        <w:tc>
          <w:tcPr>
            <w:tcW w:w="1701" w:type="dxa"/>
            <w:vAlign w:val="center"/>
          </w:tcPr>
          <w:p>
            <w:pPr>
              <w:pStyle w:val="25"/>
              <w:rPr>
                <w:rFonts w:ascii="宋体" w:eastAsia="宋体" w:cs="Calibri" w:hAnsi="宋体" w:hint="eastAsia"/>
              </w:rPr>
            </w:pPr>
            <w:r>
              <w:rPr>
                <w:rFonts w:ascii="宋体" w:eastAsia="宋体" w:cs="Calibri" w:hAnsi="宋体"/>
              </w:rPr>
              <w:t>2023年中央财政林业改革发展资金350万元</w:t>
            </w: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c>
          <w:tcPr>
            <w:tcW w:w="1134"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其他农林牧渔业工程施工</w:t>
            </w:r>
          </w:p>
        </w:tc>
        <w:tc>
          <w:tcPr>
            <w:tcW w:w="1134"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B02129900</w:t>
            </w:r>
          </w:p>
        </w:tc>
        <w:tc>
          <w:tcPr>
            <w:tcW w:w="709"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亩</w:t>
            </w:r>
          </w:p>
        </w:tc>
        <w:tc>
          <w:tcPr>
            <w:tcW w:w="850"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w:t>
            </w:r>
          </w:p>
        </w:tc>
        <w:tc>
          <w:tcPr>
            <w:tcW w:w="850"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1.00</w:t>
            </w: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350.00</w:t>
            </w:r>
          </w:p>
        </w:tc>
      </w:tr>
      <w:tr>
        <w:trPr>
          <w:cantSplit/>
        </w:trPr>
        <w:tc>
          <w:tcPr>
            <w:tcW w:w="1701" w:type="dxa"/>
            <w:vAlign w:val="center"/>
          </w:tcPr>
          <w:p>
            <w:pPr>
              <w:pStyle w:val="25"/>
              <w:rPr>
                <w:rFonts w:ascii="宋体" w:eastAsia="宋体" w:cs="Calibri" w:hAnsi="宋体" w:hint="eastAsia"/>
              </w:rPr>
            </w:pPr>
            <w:r>
              <w:rPr>
                <w:rFonts w:ascii="宋体" w:eastAsia="宋体" w:cs="Calibri" w:hAnsi="宋体"/>
              </w:rPr>
              <w:t>2023年中央林业草原生态保护恢复资金130.95万元</w:t>
            </w: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130.95</w:t>
            </w:r>
          </w:p>
        </w:tc>
        <w:tc>
          <w:tcPr>
            <w:tcW w:w="1134"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其他农林牧渔业工程施工</w:t>
            </w:r>
          </w:p>
        </w:tc>
        <w:tc>
          <w:tcPr>
            <w:tcW w:w="1134"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B02129900</w:t>
            </w:r>
          </w:p>
        </w:tc>
        <w:tc>
          <w:tcPr>
            <w:tcW w:w="709"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套</w:t>
            </w:r>
          </w:p>
        </w:tc>
        <w:tc>
          <w:tcPr>
            <w:tcW w:w="850"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w:t>
            </w:r>
          </w:p>
        </w:tc>
        <w:tc>
          <w:tcPr>
            <w:tcW w:w="850"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65.48</w:t>
            </w: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130.95</w:t>
            </w: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130.95</w:t>
            </w: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130.95</w:t>
            </w:r>
          </w:p>
        </w:tc>
      </w:tr>
    </w:tbl>
    <w:p>
      <w:pPr>
        <w:spacing w:line="500" w:lineRule="exact"/>
        <w:ind w:firstLine="420"/>
        <w:rPr>
          <w:rFonts w:ascii="宋体" w:eastAsia="宋体" w:cs="Calibri" w:hAnsi="宋体" w:hint="eastAsia"/>
        </w:rPr>
      </w:pPr>
      <w:r>
        <w:rPr>
          <w:rFonts w:ascii="宋体" w:eastAsia="宋体" w:cs="Calibri" w:hAnsi="宋体"/>
          <w:color w:val="000000"/>
          <w:sz w:val="21"/>
        </w:rPr>
        <w:t>注：同一采购目录序号的物品，其单价会因配置规格不同而变动，均符合资产配置标准。涉密采购事项按照相关规定执行。</w:t>
      </w:r>
    </w:p>
    <w:p>
      <w:pPr>
        <w:ind w:firstLine="640"/>
        <w:rPr>
          <w:rFonts w:ascii="宋体" w:eastAsia="宋体" w:cs="Calibri" w:hAnsi="宋体" w:hint="eastAsia"/>
        </w:rPr>
      </w:pPr>
      <w:r>
        <w:rPr>
          <w:rFonts w:ascii="宋体" w:eastAsia="宋体" w:cs="Calibri" w:hAnsi="宋体"/>
          <w:color w:val="000000"/>
          <w:sz w:val="32"/>
        </w:rPr>
        <w:t xml:space="preserve"> </w:t>
      </w:r>
    </w:p>
    <w:p>
      <w:pPr>
        <w:spacing w:before="10" w:after="10"/>
        <w:ind w:firstLine="640"/>
        <w:outlineLvl w:val="5"/>
        <w:rPr>
          <w:rFonts w:ascii="宋体" w:eastAsia="宋体" w:cs="Calibri" w:hAnsi="宋体" w:hint="eastAsia"/>
        </w:rPr>
      </w:pPr>
      <w:r>
        <w:rPr>
          <w:rFonts w:ascii="宋体" w:eastAsia="宋体" w:cs="Calibri" w:hAnsi="宋体"/>
          <w:color w:val="000000"/>
          <w:sz w:val="32"/>
        </w:rPr>
        <w:t>七、国有资产信息</w:t>
      </w:r>
    </w:p>
    <w:p>
      <w:pPr>
        <w:spacing w:line="500" w:lineRule="exact"/>
        <w:ind w:firstLine="560"/>
        <w:rPr>
          <w:rFonts w:ascii="宋体" w:eastAsia="宋体" w:cs="Calibri" w:hAnsi="宋体" w:hint="eastAsia"/>
        </w:rPr>
      </w:pPr>
      <w:r>
        <w:rPr>
          <w:rFonts w:ascii="宋体" w:eastAsia="宋体" w:cs="Calibri" w:hAnsi="宋体"/>
          <w:color w:val="000000"/>
          <w:sz w:val="28"/>
        </w:rPr>
        <w:t>涞源县自然资源和规划局本级上年末固定资产金额为1628.81万元（详见下表）。本年度拟购置固定资产总额为35.00万元，已按要求列入政府采购预算，详见政府采购预算表。</w:t>
      </w:r>
    </w:p>
    <w:p>
      <w:pPr>
        <w:jc w:val="center"/>
        <w:rPr>
          <w:rFonts w:ascii="宋体" w:eastAsia="宋体" w:cs="Calibri" w:hAnsi="宋体" w:hint="eastAsia"/>
        </w:rPr>
      </w:pPr>
      <w:r>
        <w:rPr>
          <w:rFonts w:ascii="宋体" w:eastAsia="宋体" w:cs="Calibri" w:hAnsi="宋体"/>
          <w:color w:val="000000"/>
          <w:sz w:val="36"/>
        </w:rPr>
        <w:t>单位固定资产占用情况表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324001涞源县自然资源和规划局本级</w:t>
            </w:r>
          </w:p>
        </w:tc>
        <w:tc>
          <w:tcPr>
            <w:tcW w:w="5669"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截止时间：2022-12-31</w:t>
            </w:r>
          </w:p>
        </w:tc>
      </w:tr>
      <w:tr>
        <w:trPr>
          <w:tblHeader/>
        </w:trPr>
        <w:tc>
          <w:tcPr>
            <w:tcW w:w="7370" w:type="dxa"/>
            <w:vAlign w:val="center"/>
          </w:tcPr>
          <w:p>
            <w:pPr>
              <w:pStyle w:val="23"/>
              <w:rPr>
                <w:rFonts w:ascii="宋体" w:eastAsia="宋体" w:cs="Calibri" w:hAnsi="宋体" w:hint="eastAsia"/>
              </w:rPr>
            </w:pPr>
            <w:r>
              <w:rPr>
                <w:rFonts w:ascii="宋体" w:eastAsia="宋体" w:cs="Calibri" w:hAnsi="宋体"/>
              </w:rPr>
              <w:t>项   目</w:t>
            </w:r>
          </w:p>
        </w:tc>
        <w:tc>
          <w:tcPr>
            <w:tcW w:w="28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数量</w:t>
            </w:r>
          </w:p>
        </w:tc>
        <w:tc>
          <w:tcPr>
            <w:tcW w:w="28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价值（金额单位：万元）</w:t>
            </w:r>
          </w:p>
        </w:tc>
      </w:tr>
      <w:tr>
        <w:tc>
          <w:tcPr>
            <w:tcW w:w="7370" w:type="dxa"/>
            <w:vAlign w:val="center"/>
          </w:tcPr>
          <w:p>
            <w:pPr>
              <w:pStyle w:val="25"/>
              <w:rPr>
                <w:rFonts w:ascii="宋体" w:eastAsia="宋体" w:cs="Calibri" w:hAnsi="宋体" w:hint="eastAsia"/>
              </w:rPr>
            </w:pPr>
            <w:r>
              <w:rPr>
                <w:rFonts w:ascii="宋体" w:eastAsia="宋体" w:cs="Calibri" w:hAnsi="宋体"/>
              </w:rPr>
              <w:t>资产总额</w:t>
            </w:r>
          </w:p>
        </w:tc>
        <w:tc>
          <w:tcPr>
            <w:tcW w:w="2835" w:type="dxa"/>
            <w:tcBorders>
              <w:left w:val="single" w:sz="6" w:space="0" w:color="000000"/>
            </w:tcBorders>
            <w:vAlign w:val="center"/>
          </w:tcPr>
          <w:p>
            <w:pPr>
              <w:pStyle w:val="26"/>
              <w:rPr>
                <w:rFonts w:ascii="宋体" w:eastAsia="宋体" w:cs="Calibri" w:hAnsi="宋体" w:hint="eastAsia"/>
              </w:rPr>
            </w:pPr>
          </w:p>
        </w:tc>
        <w:tc>
          <w:tcPr>
            <w:tcW w:w="2835"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1628.81</w:t>
            </w:r>
          </w:p>
        </w:tc>
      </w:tr>
      <w:tr>
        <w:tc>
          <w:tcPr>
            <w:tcW w:w="7370" w:type="dxa"/>
            <w:vAlign w:val="center"/>
          </w:tcPr>
          <w:p>
            <w:pPr>
              <w:pStyle w:val="25"/>
              <w:rPr>
                <w:rFonts w:ascii="宋体" w:eastAsia="宋体" w:cs="Calibri" w:hAnsi="宋体" w:hint="eastAsia"/>
              </w:rPr>
            </w:pPr>
            <w:r>
              <w:rPr>
                <w:rFonts w:ascii="宋体" w:eastAsia="宋体" w:cs="Calibri" w:hAnsi="宋体"/>
              </w:rPr>
              <w:t>1、房屋（平方米）</w:t>
            </w:r>
          </w:p>
        </w:tc>
        <w:tc>
          <w:tcPr>
            <w:tcW w:w="2835"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6212</w:t>
            </w:r>
          </w:p>
        </w:tc>
        <w:tc>
          <w:tcPr>
            <w:tcW w:w="2835"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960.78</w:t>
            </w:r>
          </w:p>
        </w:tc>
      </w:tr>
      <w:tr>
        <w:tc>
          <w:tcPr>
            <w:tcW w:w="7370" w:type="dxa"/>
            <w:vAlign w:val="center"/>
          </w:tcPr>
          <w:p>
            <w:pPr>
              <w:pStyle w:val="25"/>
              <w:rPr>
                <w:rFonts w:ascii="宋体" w:eastAsia="宋体" w:cs="Calibri" w:hAnsi="宋体" w:hint="eastAsia"/>
              </w:rPr>
            </w:pPr>
            <w:r>
              <w:rPr>
                <w:rFonts w:ascii="宋体" w:eastAsia="宋体" w:cs="Calibri" w:hAnsi="宋体"/>
              </w:rPr>
              <w:t>　　其中：办公用房（平方米）</w:t>
            </w:r>
          </w:p>
        </w:tc>
        <w:tc>
          <w:tcPr>
            <w:tcW w:w="2835"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2714.21</w:t>
            </w:r>
          </w:p>
        </w:tc>
        <w:tc>
          <w:tcPr>
            <w:tcW w:w="2835"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419.79</w:t>
            </w:r>
          </w:p>
        </w:tc>
      </w:tr>
      <w:tr>
        <w:tc>
          <w:tcPr>
            <w:tcW w:w="7370" w:type="dxa"/>
            <w:vAlign w:val="center"/>
          </w:tcPr>
          <w:p>
            <w:pPr>
              <w:pStyle w:val="25"/>
              <w:rPr>
                <w:rFonts w:ascii="宋体" w:eastAsia="宋体" w:cs="Calibri" w:hAnsi="宋体" w:hint="eastAsia"/>
              </w:rPr>
            </w:pPr>
            <w:r>
              <w:rPr>
                <w:rFonts w:ascii="宋体" w:eastAsia="宋体" w:cs="Calibri" w:hAnsi="宋体"/>
              </w:rPr>
              <w:t>2、车辆（台、辆）</w:t>
            </w:r>
          </w:p>
        </w:tc>
        <w:tc>
          <w:tcPr>
            <w:tcW w:w="2835"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18</w:t>
            </w:r>
          </w:p>
        </w:tc>
        <w:tc>
          <w:tcPr>
            <w:tcW w:w="2835"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228.01</w:t>
            </w:r>
          </w:p>
        </w:tc>
      </w:tr>
      <w:tr>
        <w:tc>
          <w:tcPr>
            <w:tcW w:w="7370" w:type="dxa"/>
            <w:vAlign w:val="center"/>
          </w:tcPr>
          <w:p>
            <w:pPr>
              <w:pStyle w:val="25"/>
              <w:rPr>
                <w:rFonts w:ascii="宋体" w:eastAsia="宋体" w:cs="Calibri" w:hAnsi="宋体" w:hint="eastAsia"/>
              </w:rPr>
            </w:pPr>
            <w:r>
              <w:rPr>
                <w:rFonts w:ascii="宋体" w:eastAsia="宋体" w:cs="Calibri" w:hAnsi="宋体"/>
              </w:rPr>
              <w:t>3、单价在20万元以上的设备</w:t>
            </w:r>
          </w:p>
        </w:tc>
        <w:tc>
          <w:tcPr>
            <w:tcW w:w="2835" w:type="dxa"/>
            <w:tcBorders>
              <w:left w:val="single" w:sz="6" w:space="0" w:color="000000"/>
            </w:tcBorders>
            <w:vAlign w:val="center"/>
          </w:tcPr>
          <w:p>
            <w:pPr>
              <w:pStyle w:val="26"/>
              <w:rPr>
                <w:rFonts w:ascii="宋体" w:eastAsia="宋体" w:cs="Calibri" w:hAnsi="宋体" w:hint="eastAsia"/>
              </w:rPr>
            </w:pPr>
          </w:p>
        </w:tc>
        <w:tc>
          <w:tcPr>
            <w:tcW w:w="2835" w:type="dxa"/>
            <w:tcBorders>
              <w:left w:val="single" w:sz="6" w:space="0" w:color="000000"/>
            </w:tcBorders>
            <w:vAlign w:val="center"/>
          </w:tcPr>
          <w:p>
            <w:pPr>
              <w:pStyle w:val="24"/>
              <w:rPr>
                <w:rFonts w:ascii="宋体" w:eastAsia="宋体" w:cs="Calibri" w:hAnsi="宋体" w:hint="eastAsia"/>
              </w:rPr>
            </w:pPr>
          </w:p>
        </w:tc>
      </w:tr>
      <w:tr>
        <w:tc>
          <w:tcPr>
            <w:tcW w:w="7370" w:type="dxa"/>
            <w:vAlign w:val="center"/>
          </w:tcPr>
          <w:p>
            <w:pPr>
              <w:pStyle w:val="25"/>
              <w:rPr>
                <w:rFonts w:ascii="宋体" w:eastAsia="宋体" w:cs="Calibri" w:hAnsi="宋体" w:hint="eastAsia"/>
              </w:rPr>
            </w:pPr>
            <w:r>
              <w:rPr>
                <w:rFonts w:ascii="宋体" w:eastAsia="宋体" w:cs="Calibri" w:hAnsi="宋体"/>
              </w:rPr>
              <w:t>4、其他固定资产</w:t>
            </w:r>
          </w:p>
        </w:tc>
        <w:tc>
          <w:tcPr>
            <w:tcW w:w="2835" w:type="dxa"/>
            <w:tcBorders>
              <w:left w:val="single" w:sz="6" w:space="0" w:color="000000"/>
            </w:tcBorders>
            <w:vAlign w:val="center"/>
          </w:tcPr>
          <w:p>
            <w:pPr>
              <w:pStyle w:val="26"/>
              <w:rPr>
                <w:rFonts w:ascii="宋体" w:eastAsia="宋体" w:cs="Calibri" w:hAnsi="宋体" w:hint="eastAsia"/>
              </w:rPr>
            </w:pPr>
          </w:p>
        </w:tc>
        <w:tc>
          <w:tcPr>
            <w:tcW w:w="2835"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440.02</w:t>
            </w:r>
          </w:p>
        </w:tc>
      </w:tr>
    </w:tbl>
    <w:p>
      <w:pPr>
        <w:ind w:firstLine="640"/>
        <w:rPr>
          <w:rFonts w:ascii="宋体" w:eastAsia="宋体" w:cs="Calibri" w:hAnsi="宋体" w:hint="eastAsia"/>
        </w:rPr>
      </w:pPr>
      <w:r>
        <w:rPr>
          <w:rFonts w:ascii="宋体" w:eastAsia="宋体" w:cs="Calibri" w:hAnsi="宋体"/>
          <w:color w:val="000000"/>
          <w:sz w:val="32"/>
        </w:rPr>
        <w:t xml:space="preserve"> </w:t>
      </w:r>
    </w:p>
    <w:p>
      <w:pPr>
        <w:spacing w:before="10" w:after="10"/>
        <w:ind w:firstLine="640"/>
        <w:outlineLvl w:val="5"/>
        <w:rPr>
          <w:rFonts w:ascii="宋体" w:eastAsia="宋体" w:cs="Calibri" w:hAnsi="宋体" w:hint="eastAsia"/>
        </w:rPr>
      </w:pPr>
      <w:r>
        <w:rPr>
          <w:rFonts w:ascii="宋体" w:eastAsia="宋体" w:cs="Calibri" w:hAnsi="宋体"/>
          <w:color w:val="000000"/>
          <w:sz w:val="32"/>
        </w:rPr>
        <w:t>八、名词解释</w:t>
      </w:r>
    </w:p>
    <w:p>
      <w:pPr>
        <w:spacing w:line="500" w:lineRule="exact"/>
        <w:ind w:firstLine="560"/>
        <w:rPr>
          <w:rFonts w:ascii="宋体" w:eastAsia="宋体" w:cs="Calibri" w:hAnsi="宋体" w:hint="eastAsia"/>
        </w:rPr>
      </w:pPr>
      <w:r>
        <w:rPr>
          <w:rFonts w:ascii="宋体" w:eastAsia="宋体" w:cs="Calibri" w:hAnsi="宋体"/>
          <w:color w:val="000000"/>
          <w:sz w:val="28"/>
        </w:rPr>
        <w:t>1、</w:t>
      </w:r>
      <w:r>
        <w:rPr>
          <w:rFonts w:ascii="宋体" w:eastAsia="宋体" w:cs="Calibri" w:hAnsi="宋体"/>
          <w:b/>
          <w:color w:val="000000"/>
          <w:sz w:val="28"/>
        </w:rPr>
        <w:t>一般公共预算拨款收入：</w:t>
      </w:r>
      <w:r>
        <w:rPr>
          <w:rFonts w:ascii="宋体" w:eastAsia="宋体" w:cs="Calibri" w:hAnsi="宋体"/>
          <w:color w:val="000000"/>
          <w:sz w:val="28"/>
        </w:rPr>
        <w:t>指</w:t>
      </w:r>
      <w:r>
        <w:rPr>
          <w:rFonts w:ascii="宋体" w:eastAsia="宋体" w:cs="Calibri" w:hAnsi="宋体"/>
          <w:color w:val="000000"/>
          <w:sz w:val="28"/>
          <w:lang w:eastAsia="zh-CN"/>
        </w:rPr>
        <w:t>县</w:t>
      </w:r>
      <w:r>
        <w:rPr>
          <w:rFonts w:ascii="宋体" w:eastAsia="宋体" w:cs="Calibri" w:hAnsi="宋体"/>
          <w:color w:val="000000"/>
          <w:sz w:val="28"/>
        </w:rPr>
        <w:t>级财政当年拨付的资金。</w:t>
      </w:r>
    </w:p>
    <w:p>
      <w:pPr>
        <w:spacing w:line="500" w:lineRule="exact"/>
        <w:ind w:firstLine="560"/>
        <w:rPr>
          <w:rFonts w:ascii="宋体" w:eastAsia="宋体" w:cs="Calibri" w:hAnsi="宋体" w:hint="eastAsia"/>
        </w:rPr>
      </w:pPr>
      <w:r>
        <w:rPr>
          <w:rFonts w:ascii="宋体" w:eastAsia="宋体" w:cs="Calibri" w:hAnsi="宋体"/>
          <w:color w:val="000000"/>
          <w:sz w:val="28"/>
        </w:rPr>
        <w:t>2、</w:t>
      </w:r>
      <w:r>
        <w:rPr>
          <w:rFonts w:ascii="宋体" w:eastAsia="宋体" w:cs="Calibri" w:hAnsi="宋体"/>
          <w:b/>
          <w:color w:val="000000"/>
          <w:sz w:val="28"/>
        </w:rPr>
        <w:t>事业收入：</w:t>
      </w:r>
      <w:r>
        <w:rPr>
          <w:rFonts w:ascii="宋体" w:eastAsia="宋体" w:cs="Calibri" w:hAnsi="宋体"/>
          <w:color w:val="000000"/>
          <w:sz w:val="28"/>
        </w:rPr>
        <w:t>指事业单位开展专业业务活动及辅助活动所取得的收入。</w:t>
      </w:r>
    </w:p>
    <w:p>
      <w:pPr>
        <w:spacing w:line="500" w:lineRule="exact"/>
        <w:ind w:firstLine="560"/>
        <w:rPr>
          <w:rFonts w:ascii="宋体" w:eastAsia="宋体" w:cs="Calibri" w:hAnsi="宋体" w:hint="eastAsia"/>
        </w:rPr>
      </w:pPr>
      <w:r>
        <w:rPr>
          <w:rFonts w:ascii="宋体" w:eastAsia="宋体" w:cs="Calibri" w:hAnsi="宋体"/>
          <w:color w:val="000000"/>
          <w:sz w:val="28"/>
        </w:rPr>
        <w:t>3、</w:t>
      </w:r>
      <w:r>
        <w:rPr>
          <w:rFonts w:ascii="宋体" w:eastAsia="宋体" w:cs="Calibri" w:hAnsi="宋体"/>
          <w:b/>
          <w:color w:val="000000"/>
          <w:sz w:val="28"/>
        </w:rPr>
        <w:t>其他收入：</w:t>
      </w:r>
      <w:r>
        <w:rPr>
          <w:rFonts w:ascii="宋体" w:eastAsia="宋体" w:cs="Calibri" w:hAnsi="宋体"/>
          <w:color w:val="000000"/>
          <w:sz w:val="28"/>
        </w:rPr>
        <w:t>指除“一般公共预算拨款收入”、“事业收入”等以外的收入。主要是按规定动用的租房收入、存款利息收入等。</w:t>
      </w:r>
    </w:p>
    <w:p>
      <w:pPr>
        <w:spacing w:line="500" w:lineRule="exact"/>
        <w:ind w:firstLine="560"/>
        <w:rPr>
          <w:rFonts w:ascii="宋体" w:eastAsia="宋体" w:cs="Calibri" w:hAnsi="宋体" w:hint="eastAsia"/>
        </w:rPr>
      </w:pPr>
      <w:r>
        <w:rPr>
          <w:rFonts w:ascii="宋体" w:eastAsia="宋体" w:cs="Calibri" w:hAnsi="宋体"/>
          <w:color w:val="000000"/>
          <w:sz w:val="28"/>
        </w:rPr>
        <w:t>4、</w:t>
      </w:r>
      <w:r>
        <w:rPr>
          <w:rFonts w:ascii="宋体" w:eastAsia="宋体" w:cs="Calibri" w:hAnsi="宋体"/>
          <w:b/>
          <w:color w:val="000000"/>
          <w:sz w:val="28"/>
        </w:rPr>
        <w:t>基本支出：</w:t>
      </w:r>
      <w:r>
        <w:rPr>
          <w:rFonts w:ascii="宋体" w:eastAsia="宋体" w:cs="Calibri" w:hAnsi="宋体"/>
          <w:color w:val="000000"/>
          <w:sz w:val="28"/>
        </w:rPr>
        <w:t>指为保障机构正常运转、完成日常工作任务而发生的人员支出和公用支出。</w:t>
      </w:r>
    </w:p>
    <w:p>
      <w:pPr>
        <w:spacing w:line="500" w:lineRule="exact"/>
        <w:ind w:firstLine="560"/>
        <w:rPr>
          <w:rFonts w:ascii="宋体" w:eastAsia="宋体" w:cs="Calibri" w:hAnsi="宋体" w:hint="eastAsia"/>
        </w:rPr>
      </w:pPr>
      <w:r>
        <w:rPr>
          <w:rFonts w:ascii="宋体" w:eastAsia="宋体" w:cs="Calibri" w:hAnsi="宋体"/>
          <w:color w:val="000000"/>
          <w:sz w:val="28"/>
        </w:rPr>
        <w:t>5、</w:t>
      </w:r>
      <w:r>
        <w:rPr>
          <w:rFonts w:ascii="宋体" w:eastAsia="宋体" w:cs="Calibri" w:hAnsi="宋体"/>
          <w:b/>
          <w:color w:val="000000"/>
          <w:sz w:val="28"/>
        </w:rPr>
        <w:t>项目支出：</w:t>
      </w:r>
      <w:r>
        <w:rPr>
          <w:rFonts w:ascii="宋体" w:eastAsia="宋体" w:cs="Calibri" w:hAnsi="宋体"/>
          <w:color w:val="000000"/>
          <w:sz w:val="28"/>
        </w:rPr>
        <w:t>指在基本支出之外为完成特定行政任务和事业发展目标所发生的支出。</w:t>
      </w:r>
    </w:p>
    <w:p>
      <w:pPr>
        <w:spacing w:line="500" w:lineRule="exact"/>
        <w:ind w:firstLine="560"/>
        <w:rPr>
          <w:rFonts w:ascii="宋体" w:eastAsia="宋体" w:cs="Calibri" w:hAnsi="宋体" w:hint="eastAsia"/>
        </w:rPr>
      </w:pPr>
      <w:r>
        <w:rPr>
          <w:rFonts w:ascii="宋体" w:eastAsia="宋体" w:cs="Calibri" w:hAnsi="宋体"/>
          <w:color w:val="000000"/>
          <w:sz w:val="28"/>
        </w:rPr>
        <w:t>6、</w:t>
      </w:r>
      <w:r>
        <w:rPr>
          <w:rFonts w:ascii="宋体" w:eastAsia="宋体" w:cs="Calibri" w:hAnsi="宋体"/>
          <w:b/>
          <w:color w:val="000000"/>
          <w:sz w:val="28"/>
        </w:rPr>
        <w:t>上缴上级支出：</w:t>
      </w:r>
      <w:r>
        <w:rPr>
          <w:rFonts w:ascii="宋体" w:eastAsia="宋体" w:cs="Calibri" w:hAnsi="宋体"/>
          <w:color w:val="000000"/>
          <w:sz w:val="28"/>
        </w:rPr>
        <w:t>指下级单位上缴上级的支出。</w:t>
      </w:r>
    </w:p>
    <w:p>
      <w:pPr>
        <w:spacing w:line="500" w:lineRule="exact"/>
        <w:ind w:firstLine="560"/>
        <w:rPr>
          <w:rFonts w:ascii="宋体" w:eastAsia="宋体" w:cs="Calibri" w:hAnsi="宋体" w:hint="eastAsia"/>
        </w:rPr>
      </w:pPr>
      <w:r>
        <w:rPr>
          <w:rFonts w:ascii="宋体" w:eastAsia="宋体" w:cs="Calibri" w:hAnsi="宋体"/>
          <w:color w:val="000000"/>
          <w:sz w:val="28"/>
        </w:rPr>
        <w:t>7、</w:t>
      </w:r>
      <w:r>
        <w:rPr>
          <w:rFonts w:ascii="宋体" w:eastAsia="宋体" w:cs="Calibri" w:hAnsi="宋体"/>
          <w:b/>
          <w:color w:val="000000"/>
          <w:sz w:val="28"/>
        </w:rPr>
        <w:t>“三公”经费：</w:t>
      </w:r>
      <w:r>
        <w:rPr>
          <w:rFonts w:ascii="宋体" w:eastAsia="宋体" w:cs="Calibri" w:hAnsi="宋体"/>
          <w:color w:val="000000"/>
          <w:sz w:val="28"/>
        </w:rPr>
        <w:t>纳入</w:t>
      </w:r>
      <w:r>
        <w:rPr>
          <w:rFonts w:ascii="宋体" w:eastAsia="宋体" w:cs="Calibri" w:hAnsi="宋体"/>
          <w:color w:val="000000"/>
          <w:sz w:val="28"/>
          <w:lang w:eastAsia="zh-CN"/>
        </w:rPr>
        <w:t>县</w:t>
      </w:r>
      <w:r>
        <w:rPr>
          <w:rFonts w:ascii="宋体" w:eastAsia="宋体" w:cs="Calibri" w:hAnsi="宋体"/>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宋体" w:eastAsia="宋体" w:cs="Calibri" w:hAnsi="宋体" w:hint="eastAsia"/>
        </w:rPr>
      </w:pPr>
      <w:r>
        <w:rPr>
          <w:rFonts w:ascii="宋体" w:eastAsia="宋体" w:cs="Calibri" w:hAnsi="宋体"/>
          <w:color w:val="000000"/>
          <w:sz w:val="28"/>
        </w:rPr>
        <w:t>8、</w:t>
      </w:r>
      <w:r>
        <w:rPr>
          <w:rFonts w:ascii="宋体" w:eastAsia="宋体" w:cs="Calibri" w:hAnsi="宋体"/>
          <w:b/>
          <w:color w:val="000000"/>
          <w:sz w:val="28"/>
        </w:rPr>
        <w:t>机关运行费：</w:t>
      </w:r>
      <w:r>
        <w:rPr>
          <w:rFonts w:ascii="宋体" w:eastAsia="宋体" w:cs="Calibri" w:hAnsi="宋体"/>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宋体" w:eastAsia="宋体" w:cs="Calibri" w:hAnsi="宋体" w:hint="eastAsia"/>
        </w:rPr>
      </w:pPr>
      <w:r>
        <w:rPr>
          <w:rFonts w:ascii="宋体" w:eastAsia="宋体" w:cs="Calibri" w:hAnsi="宋体"/>
          <w:color w:val="000000"/>
          <w:sz w:val="28"/>
        </w:rPr>
        <w:t>9、</w:t>
      </w:r>
      <w:r>
        <w:rPr>
          <w:rFonts w:ascii="宋体" w:eastAsia="宋体" w:cs="Calibri" w:hAnsi="宋体"/>
          <w:b/>
          <w:color w:val="000000"/>
          <w:sz w:val="28"/>
        </w:rPr>
        <w:t>上年结转：</w:t>
      </w:r>
      <w:r>
        <w:rPr>
          <w:rFonts w:ascii="宋体" w:eastAsia="宋体" w:cs="Calibri" w:hAnsi="宋体"/>
          <w:color w:val="000000"/>
          <w:sz w:val="28"/>
        </w:rPr>
        <w:t>指以前年度尚未完成、结转到本年仍按原规定用途继续使用的资金。</w:t>
      </w:r>
    </w:p>
    <w:p>
      <w:pPr>
        <w:spacing w:line="500" w:lineRule="exact"/>
        <w:ind w:firstLine="560"/>
        <w:rPr>
          <w:rFonts w:ascii="宋体" w:eastAsia="宋体" w:cs="Calibri" w:hAnsi="宋体" w:hint="eastAsia"/>
        </w:rPr>
      </w:pPr>
      <w:r>
        <w:rPr>
          <w:rFonts w:ascii="宋体" w:eastAsia="宋体" w:cs="Calibri" w:hAnsi="宋体"/>
          <w:color w:val="000000"/>
          <w:sz w:val="28"/>
        </w:rPr>
        <w:t>10、</w:t>
      </w:r>
      <w:r>
        <w:rPr>
          <w:rFonts w:ascii="宋体" w:eastAsia="宋体" w:cs="Calibri" w:hAnsi="宋体"/>
          <w:b/>
          <w:color w:val="000000"/>
          <w:sz w:val="28"/>
        </w:rPr>
        <w:t>事业单位经营支出：</w:t>
      </w:r>
      <w:r>
        <w:rPr>
          <w:rFonts w:ascii="宋体" w:eastAsia="宋体" w:cs="Calibri" w:hAnsi="宋体"/>
          <w:color w:val="000000"/>
          <w:sz w:val="28"/>
        </w:rPr>
        <w:t>指事业单位在专业业务活动及其辅助活动之外开展非独立核算经营活动发生的支出。</w:t>
      </w:r>
    </w:p>
    <w:p>
      <w:pPr>
        <w:spacing w:before="10" w:after="10"/>
        <w:ind w:firstLine="640"/>
        <w:outlineLvl w:val="5"/>
        <w:rPr>
          <w:rFonts w:ascii="宋体" w:eastAsia="宋体" w:cs="Calibri" w:hAnsi="宋体" w:hint="eastAsia"/>
        </w:rPr>
      </w:pPr>
      <w:r>
        <w:rPr>
          <w:rFonts w:ascii="宋体" w:eastAsia="宋体" w:cs="Calibri" w:hAnsi="宋体"/>
          <w:color w:val="000000"/>
          <w:sz w:val="32"/>
        </w:rPr>
        <w:t>九、其他需要说明的事项</w:t>
      </w:r>
    </w:p>
    <w:p>
      <w:pPr>
        <w:spacing w:line="500" w:lineRule="exact"/>
        <w:ind w:firstLine="560"/>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r>
        <w:rPr>
          <w:rFonts w:ascii="宋体" w:eastAsia="宋体" w:cs="Calibri" w:hAnsi="宋体"/>
          <w:color w:val="000000"/>
          <w:sz w:val="28"/>
        </w:rPr>
        <w:t>我单位无其他需要说明的事项。</w:t>
      </w:r>
    </w:p>
    <w:p>
      <w:pPr>
        <w:jc w:val="center"/>
        <w:outlineLvl w:val="3"/>
        <w:rPr>
          <w:rFonts w:ascii="宋体" w:eastAsia="宋体" w:cs="Calibri" w:hAnsi="宋体" w:hint="eastAsia"/>
        </w:rPr>
      </w:pPr>
      <w:bookmarkStart w:id="4" w:name="_Toc_4_4_0000000020"/>
      <w:r>
        <w:rPr>
          <w:rFonts w:ascii="宋体" w:eastAsia="宋体" w:cs="Calibri" w:hAnsi="宋体"/>
          <w:color w:val="000000"/>
          <w:sz w:val="44"/>
        </w:rPr>
        <w:t>二、涞源县土地整理和收购储备中心收支预算</w:t>
      </w:r>
      <w:bookmarkEnd w:id="4"/>
    </w:p>
    <w:p>
      <w:pPr>
        <w:jc w:val="center"/>
        <w:outlineLvl w:val="4"/>
        <w:rPr>
          <w:rFonts w:ascii="宋体" w:eastAsia="宋体" w:cs="Calibri" w:hAnsi="宋体" w:hint="eastAsia"/>
        </w:rPr>
      </w:pPr>
      <w:r>
        <w:rPr>
          <w:rFonts w:ascii="宋体" w:eastAsia="宋体" w:cs="Calibri" w:hAnsi="宋体"/>
          <w:color w:val="000000"/>
          <w:sz w:val="36"/>
        </w:rPr>
        <w:t>单位预算收支总表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4536"/>
        <w:gridCol w:w="2126"/>
        <w:gridCol w:w="4535"/>
        <w:gridCol w:w="2126"/>
      </w:tblGrid>
      <w:tr>
        <w:trPr>
          <w:trHeight w:val="369"/>
          <w:tblHeader/>
        </w:trPr>
        <w:tc>
          <w:tcPr>
            <w:tcW w:w="5386" w:type="dxa"/>
            <w:gridSpan w:val="2"/>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2126"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6661"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6661"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收入</w:t>
            </w:r>
          </w:p>
        </w:tc>
        <w:tc>
          <w:tcPr>
            <w:tcW w:w="6661"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支出</w:t>
            </w:r>
          </w:p>
        </w:tc>
      </w:tr>
      <w:tr>
        <w:trPr>
          <w:trHeight w:val="369"/>
          <w:tblHeader/>
        </w:trPr>
        <w:tc>
          <w:tcPr>
            <w:tcW w:w="850" w:type="dxa"/>
            <w:vMerge/>
          </w:tcP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  目</w:t>
            </w:r>
          </w:p>
        </w:tc>
        <w:tc>
          <w:tcPr>
            <w:tcW w:w="2126"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预算数</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  目</w:t>
            </w:r>
          </w:p>
        </w:tc>
        <w:tc>
          <w:tcPr>
            <w:tcW w:w="2126"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预算数</w:t>
            </w: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2126"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126"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一、一般公共预算拨款收入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一、一般公共服务支出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二、政府性基金预算拨款收入</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二、外交支出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三、国有资本经营预算拨款收入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三、国防支出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四、财政专户管理资金收入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四、公共安全支出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5</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五、事业收入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五、教育支出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6</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六、事业单位经营收入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六、科学技术支出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7</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七、上级补助收入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七、文化旅游体育与传媒支出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八、附属单位上缴收入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八、社会保障和就业支出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9</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九、其他收入</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九、社会保险基金支出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10</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十、卫生健康支出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11</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十一、节能环保支出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12</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十二、城乡社区支出</w:t>
            </w:r>
          </w:p>
        </w:tc>
        <w:tc>
          <w:tcPr>
            <w:tcW w:w="2126"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13</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十三、农林水支出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14</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十四、交通运输支出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15</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十五、资源勘探工业信息等支出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16</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十六、商业服务业等支出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17</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十七、金融支出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18</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十八、援助其他地区支出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19</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十九、自然资源海洋气象等支出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20</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二十、住房保障支出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21</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二十一、粮油物资储备支出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22</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二十二、国有资本经营预算支出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23</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二十三、灾害防治及应急管理支出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24</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二十四、预备费</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25</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二十五、其他支出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26</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二十六、转移性支出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27</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二十七、债务还本支出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28</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二十八、债务付息支出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29</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二十九、债务发行费用支出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30</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三十、抗疫特别国债安排的支出</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31</w:t>
            </w:r>
          </w:p>
        </w:tc>
        <w:tc>
          <w:tcPr>
            <w:tcW w:w="4535" w:type="dxa"/>
            <w:tcBorders>
              <w:left w:val="single" w:sz="6" w:space="0" w:color="000000"/>
            </w:tcBorders>
            <w:vAlign w:val="center"/>
          </w:tcPr>
          <w:p>
            <w:pPr>
              <w:pStyle w:val="25"/>
              <w:rPr>
                <w:rFonts w:ascii="宋体" w:eastAsia="宋体" w:cs="Calibri" w:hAnsi="宋体" w:hint="eastAsia"/>
              </w:rPr>
            </w:pP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三十一、人行科目</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32</w:t>
            </w: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本年收入合计</w:t>
            </w:r>
          </w:p>
        </w:tc>
        <w:tc>
          <w:tcPr>
            <w:tcW w:w="2126"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本年支出合计</w:t>
            </w:r>
          </w:p>
        </w:tc>
        <w:tc>
          <w:tcPr>
            <w:tcW w:w="2126"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33</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上年结转结余</w:t>
            </w:r>
          </w:p>
        </w:tc>
        <w:tc>
          <w:tcPr>
            <w:tcW w:w="2126" w:type="dxa"/>
            <w:tcBorders>
              <w:left w:val="single" w:sz="6" w:space="0" w:color="000000"/>
            </w:tcBorders>
            <w:vAlign w:val="center"/>
          </w:tcPr>
          <w:p>
            <w:pPr>
              <w:pStyle w:val="24"/>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年终结转结余</w:t>
            </w:r>
          </w:p>
        </w:tc>
        <w:tc>
          <w:tcPr>
            <w:tcW w:w="2126"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34</w:t>
            </w: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收入总计</w:t>
            </w:r>
          </w:p>
        </w:tc>
        <w:tc>
          <w:tcPr>
            <w:tcW w:w="2126"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支出总计</w:t>
            </w:r>
          </w:p>
        </w:tc>
        <w:tc>
          <w:tcPr>
            <w:tcW w:w="2126"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单位预算收入总表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3402" w:type="dxa"/>
            <w:gridSpan w:val="3"/>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669" w:type="dxa"/>
            <w:gridSpan w:val="5"/>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68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2551"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功能分类科目</w:t>
            </w:r>
          </w:p>
        </w:tc>
        <w:tc>
          <w:tcPr>
            <w:tcW w:w="1134"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9071" w:type="dxa"/>
            <w:gridSpan w:val="8"/>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本年收入</w:t>
            </w:r>
          </w:p>
        </w:tc>
        <w:tc>
          <w:tcPr>
            <w:tcW w:w="1134"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上年结转</w:t>
            </w:r>
          </w:p>
        </w:tc>
      </w:tr>
      <w:tr>
        <w:trPr>
          <w:trHeight w:val="369"/>
          <w:tblHeader/>
        </w:trPr>
        <w:tc>
          <w:tcPr>
            <w:tcW w:w="680" w:type="dxa"/>
            <w:vMerge/>
          </w:tcPr>
          <w:p/>
        </w:tc>
        <w:tc>
          <w:tcPr>
            <w:tcW w:w="99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    编码</w:t>
            </w:r>
          </w:p>
        </w:tc>
        <w:tc>
          <w:tcPr>
            <w:tcW w:w="1559"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1134" w:type="dxa"/>
            <w:vMerge/>
            <w:tcBorders>
              <w:left w:val="single" w:sz="6" w:space="0" w:color="000000"/>
            </w:tcBorders>
          </w:tcP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小计</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财政拨款 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财政专户 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事业收入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经营收入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上级补助收入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附属单位上缴收入</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其他收入</w:t>
            </w:r>
          </w:p>
        </w:tc>
        <w:tc>
          <w:tcPr>
            <w:tcW w:w="1134" w:type="dxa"/>
            <w:vMerge/>
            <w:tcBorders>
              <w:left w:val="single" w:sz="6" w:space="0" w:color="000000"/>
            </w:tcBorders>
          </w:tcPr>
          <w:p/>
        </w:tc>
      </w:tr>
      <w:tr>
        <w:trPr>
          <w:trHeight w:val="369"/>
          <w:tblHeader/>
        </w:trPr>
        <w:tc>
          <w:tcPr>
            <w:tcW w:w="680" w:type="dxa"/>
            <w:vAlign w:val="center"/>
          </w:tcPr>
          <w:p>
            <w:pPr>
              <w:pStyle w:val="23"/>
              <w:rPr>
                <w:rFonts w:ascii="宋体" w:eastAsia="宋体" w:cs="Calibri" w:hAnsi="宋体" w:hint="eastAsia"/>
              </w:rPr>
            </w:pPr>
            <w:r>
              <w:rPr>
                <w:rFonts w:ascii="宋体" w:eastAsia="宋体" w:cs="Calibri" w:hAnsi="宋体"/>
              </w:rPr>
              <w:t>栏次</w:t>
            </w:r>
          </w:p>
        </w:tc>
        <w:tc>
          <w:tcPr>
            <w:tcW w:w="99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1559"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6</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7</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8</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9</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10</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11</w:t>
            </w:r>
          </w:p>
        </w:tc>
        <w:tc>
          <w:tcPr>
            <w:tcW w:w="113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12</w:t>
            </w: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1</w:t>
            </w:r>
          </w:p>
        </w:tc>
        <w:tc>
          <w:tcPr>
            <w:tcW w:w="992" w:type="dxa"/>
            <w:tcBorders>
              <w:left w:val="single" w:sz="6" w:space="0" w:color="000000"/>
            </w:tcBorders>
            <w:vAlign w:val="center"/>
          </w:tcPr>
          <w:p>
            <w:pPr>
              <w:pStyle w:val="29"/>
              <w:rPr>
                <w:rFonts w:ascii="宋体" w:eastAsia="宋体" w:cs="Calibri" w:hAnsi="宋体" w:hint="eastAsia"/>
              </w:rPr>
            </w:pPr>
          </w:p>
        </w:tc>
        <w:tc>
          <w:tcPr>
            <w:tcW w:w="1559"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合计</w:t>
            </w:r>
          </w:p>
        </w:tc>
        <w:tc>
          <w:tcPr>
            <w:tcW w:w="113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113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113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c>
          <w:tcPr>
            <w:tcW w:w="1134" w:type="dxa"/>
            <w:tcBorders>
              <w:left w:val="single" w:sz="6" w:space="0" w:color="000000"/>
            </w:tcBorders>
            <w:vAlign w:val="center"/>
          </w:tcPr>
          <w:p>
            <w:pPr>
              <w:pStyle w:val="28"/>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城乡社区支出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国有土地使用权出让收入安排的支出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2120801</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征地和拆迁补偿支出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21210</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国有土地收益基金安排的支出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r>
        <w:trPr>
          <w:trHeight w:val="369"/>
        </w:trPr>
        <w:tc>
          <w:tcPr>
            <w:tcW w:w="680" w:type="dxa"/>
            <w:vAlign w:val="center"/>
          </w:tcPr>
          <w:p>
            <w:pPr>
              <w:pStyle w:val="26"/>
              <w:rPr>
                <w:rFonts w:ascii="宋体" w:eastAsia="宋体" w:cs="Calibri" w:hAnsi="宋体" w:hint="eastAsia"/>
              </w:rPr>
            </w:pPr>
            <w:r>
              <w:rPr>
                <w:rFonts w:ascii="宋体" w:eastAsia="宋体" w:cs="Calibri" w:hAnsi="宋体"/>
              </w:rPr>
              <w:t>6</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2121001</w:t>
            </w:r>
          </w:p>
        </w:tc>
        <w:tc>
          <w:tcPr>
            <w:tcW w:w="1559"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征地和拆迁补偿支出</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113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4"/>
              <w:rPr>
                <w:rFonts w:ascii="宋体" w:eastAsia="宋体" w:cs="Calibri" w:hAnsi="宋体" w:hint="eastAsia"/>
              </w:rPr>
            </w:pP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单位预算支出总表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992"/>
        <w:gridCol w:w="4536"/>
        <w:gridCol w:w="1361"/>
        <w:gridCol w:w="1361"/>
        <w:gridCol w:w="1361"/>
        <w:gridCol w:w="1361"/>
        <w:gridCol w:w="1361"/>
        <w:gridCol w:w="1361"/>
      </w:tblGrid>
      <w:tr>
        <w:trPr>
          <w:trHeight w:val="369"/>
          <w:tblHeader/>
        </w:trPr>
        <w:tc>
          <w:tcPr>
            <w:tcW w:w="6378"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2721" w:type="dxa"/>
            <w:gridSpan w:val="2"/>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443" w:type="dxa"/>
            <w:gridSpan w:val="4"/>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5528"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功能分类科目</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基本支出</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项目支出</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经营支出</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上解上级     支出</w:t>
            </w:r>
          </w:p>
        </w:tc>
        <w:tc>
          <w:tcPr>
            <w:tcW w:w="136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对附属单位补助支出</w:t>
            </w:r>
          </w:p>
        </w:tc>
      </w:tr>
      <w:tr>
        <w:trPr>
          <w:trHeight w:val="369"/>
          <w:tblHeader/>
        </w:trPr>
        <w:tc>
          <w:tcPr>
            <w:tcW w:w="850" w:type="dxa"/>
            <w:vMerge/>
          </w:tcPr>
          <w:p/>
        </w:tc>
        <w:tc>
          <w:tcPr>
            <w:tcW w:w="99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    编码</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c>
          <w:tcPr>
            <w:tcW w:w="1361" w:type="dxa"/>
            <w:vMerge/>
            <w:tcBorders>
              <w:left w:val="single" w:sz="6" w:space="0" w:color="000000"/>
            </w:tcBorders>
          </w:tcP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99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6</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7</w:t>
            </w:r>
          </w:p>
        </w:tc>
        <w:tc>
          <w:tcPr>
            <w:tcW w:w="136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8</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w:t>
            </w:r>
          </w:p>
        </w:tc>
        <w:tc>
          <w:tcPr>
            <w:tcW w:w="992" w:type="dxa"/>
            <w:tcBorders>
              <w:left w:val="single" w:sz="6" w:space="0" w:color="000000"/>
            </w:tcBorders>
            <w:vAlign w:val="center"/>
          </w:tcPr>
          <w:p>
            <w:pPr>
              <w:pStyle w:val="29"/>
              <w:rPr>
                <w:rFonts w:ascii="宋体" w:eastAsia="宋体" w:cs="Calibri" w:hAnsi="宋体" w:hint="eastAsia"/>
              </w:rPr>
            </w:pP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合计</w:t>
            </w:r>
          </w:p>
        </w:tc>
        <w:tc>
          <w:tcPr>
            <w:tcW w:w="136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1361" w:type="dxa"/>
            <w:tcBorders>
              <w:left w:val="single" w:sz="6" w:space="0" w:color="000000"/>
            </w:tcBorders>
            <w:vAlign w:val="center"/>
          </w:tcPr>
          <w:p>
            <w:pPr>
              <w:pStyle w:val="28"/>
              <w:rPr>
                <w:rFonts w:ascii="宋体" w:eastAsia="宋体" w:cs="Calibri" w:hAnsi="宋体" w:hint="eastAsia"/>
              </w:rPr>
            </w:pPr>
          </w:p>
        </w:tc>
        <w:tc>
          <w:tcPr>
            <w:tcW w:w="136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1361" w:type="dxa"/>
            <w:tcBorders>
              <w:left w:val="single" w:sz="6" w:space="0" w:color="000000"/>
            </w:tcBorders>
            <w:vAlign w:val="center"/>
          </w:tcPr>
          <w:p>
            <w:pPr>
              <w:pStyle w:val="28"/>
              <w:rPr>
                <w:rFonts w:ascii="宋体" w:eastAsia="宋体" w:cs="Calibri" w:hAnsi="宋体" w:hint="eastAsia"/>
              </w:rPr>
            </w:pPr>
          </w:p>
        </w:tc>
        <w:tc>
          <w:tcPr>
            <w:tcW w:w="1361" w:type="dxa"/>
            <w:tcBorders>
              <w:left w:val="single" w:sz="6" w:space="0" w:color="000000"/>
            </w:tcBorders>
            <w:vAlign w:val="center"/>
          </w:tcPr>
          <w:p>
            <w:pPr>
              <w:pStyle w:val="28"/>
              <w:rPr>
                <w:rFonts w:ascii="宋体" w:eastAsia="宋体" w:cs="Calibri" w:hAnsi="宋体" w:hint="eastAsia"/>
              </w:rPr>
            </w:pPr>
          </w:p>
        </w:tc>
        <w:tc>
          <w:tcPr>
            <w:tcW w:w="1361" w:type="dxa"/>
            <w:tcBorders>
              <w:left w:val="single" w:sz="6" w:space="0" w:color="000000"/>
            </w:tcBorders>
            <w:vAlign w:val="center"/>
          </w:tcPr>
          <w:p>
            <w:pPr>
              <w:pStyle w:val="28"/>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城乡社区支出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国有土地使用权出让收入安排的支出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征地和拆迁补偿支出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5</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21210</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国有土地收益基金安排的支出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6</w:t>
            </w:r>
          </w:p>
        </w:tc>
        <w:tc>
          <w:tcPr>
            <w:tcW w:w="99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2121001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征地和拆迁补偿支出</w:t>
            </w: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c>
          <w:tcPr>
            <w:tcW w:w="1361" w:type="dxa"/>
            <w:tcBorders>
              <w:left w:val="single" w:sz="6" w:space="0" w:color="000000"/>
            </w:tcBorders>
            <w:vAlign w:val="center"/>
          </w:tcPr>
          <w:p>
            <w:pPr>
              <w:pStyle w:val="24"/>
              <w:rPr>
                <w:rFonts w:ascii="宋体" w:eastAsia="宋体" w:cs="Calibri" w:hAnsi="宋体" w:hint="eastAsia"/>
              </w:rPr>
            </w:pP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单位预算财政拨款收支总表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3402"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896" w:type="dxa"/>
            <w:gridSpan w:val="4"/>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4876"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收入</w:t>
            </w:r>
          </w:p>
        </w:tc>
        <w:tc>
          <w:tcPr>
            <w:tcW w:w="9298" w:type="dxa"/>
            <w:gridSpan w:val="5"/>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支出</w:t>
            </w:r>
          </w:p>
        </w:tc>
      </w:tr>
      <w:tr>
        <w:trPr>
          <w:trHeight w:val="369"/>
          <w:tblHeader/>
        </w:trPr>
        <w:tc>
          <w:tcPr>
            <w:tcW w:w="850" w:type="dxa"/>
            <w:vMerge/>
          </w:tcPr>
          <w:p/>
        </w:tc>
        <w:tc>
          <w:tcPr>
            <w:tcW w:w="340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  目</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金额</w:t>
            </w:r>
          </w:p>
        </w:tc>
        <w:tc>
          <w:tcPr>
            <w:tcW w:w="340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  目</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一般公共预算财政拨款</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政府性基金预算财政    拨款</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国有资本经营预算财政拨款</w:t>
            </w: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340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3402"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6</w:t>
            </w:r>
          </w:p>
        </w:tc>
        <w:tc>
          <w:tcPr>
            <w:tcW w:w="147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7</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一、一般公共预算拨款</w:t>
            </w: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一、一般公共服务支出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二、政府性基金预算拨款</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二、外交支出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三、国有资本经营预算拨款</w:t>
            </w: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三、国防支出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四、公共安全支出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5</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五、教育支出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6</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六、科学技术支出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7</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七、文化旅游体育与传媒支出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8</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八、社会保障和就业支出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9</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九、社会保险基金支出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10</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十、卫生健康支出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11</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十一、节能环保支出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12</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十二、城乡社区支出</w:t>
            </w: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13</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十三、农林水支出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14</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十四、交通运输支出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15</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十五、资源勘探工业信息等支出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16</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十六、商业服务业等支出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17</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十七、金融支出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18</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十八、援助其他地区支出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19</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十九、自然资源海洋气象等支出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20</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二十、住房保障支出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21</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二十一、粮油物资储备支出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22</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二十二、国有资本经营预算支出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23</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二十三、灾害防治及应急管理支出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24</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二十四、预备费</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25</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二十五、其他支出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26</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二十六、转移性支出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27</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二十七、债务还本支出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28</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二十八、债务付息支出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29</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二十九、债务发行费用支出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30</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三十、抗疫特别国债安排的支出</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31</w:t>
            </w: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三十一、人行科目</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32</w:t>
            </w:r>
          </w:p>
        </w:tc>
        <w:tc>
          <w:tcPr>
            <w:tcW w:w="3402"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本年收入合计</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3402"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本年支出合计</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1474" w:type="dxa"/>
            <w:tcBorders>
              <w:left w:val="single" w:sz="6" w:space="0" w:color="000000"/>
            </w:tcBorders>
            <w:vAlign w:val="center"/>
          </w:tcPr>
          <w:p>
            <w:pPr>
              <w:pStyle w:val="28"/>
              <w:rPr>
                <w:rFonts w:ascii="宋体" w:eastAsia="宋体" w:cs="Calibri" w:hAnsi="宋体" w:hint="eastAsia"/>
              </w:rPr>
            </w:pP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1474" w:type="dxa"/>
            <w:tcBorders>
              <w:left w:val="single" w:sz="6" w:space="0" w:color="000000"/>
            </w:tcBorders>
            <w:vAlign w:val="center"/>
          </w:tcPr>
          <w:p>
            <w:pPr>
              <w:pStyle w:val="28"/>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33</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年初财政拨款结转和结余</w:t>
            </w: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年末财政拨款结转和结余</w:t>
            </w: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34</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一、一般公共预算拨款</w:t>
            </w: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35</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二、政府性基金预算拨款</w:t>
            </w: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36</w:t>
            </w:r>
          </w:p>
        </w:tc>
        <w:tc>
          <w:tcPr>
            <w:tcW w:w="3402"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三、国有资本经营预算拨款</w:t>
            </w:r>
          </w:p>
        </w:tc>
        <w:tc>
          <w:tcPr>
            <w:tcW w:w="1474" w:type="dxa"/>
            <w:tcBorders>
              <w:left w:val="single" w:sz="6" w:space="0" w:color="000000"/>
            </w:tcBorders>
            <w:vAlign w:val="center"/>
          </w:tcPr>
          <w:p>
            <w:pPr>
              <w:pStyle w:val="24"/>
              <w:rPr>
                <w:rFonts w:ascii="宋体" w:eastAsia="宋体" w:cs="Calibri" w:hAnsi="宋体" w:hint="eastAsia"/>
              </w:rPr>
            </w:pPr>
          </w:p>
        </w:tc>
        <w:tc>
          <w:tcPr>
            <w:tcW w:w="3402" w:type="dxa"/>
            <w:tcBorders>
              <w:left w:val="single" w:sz="6" w:space="0" w:color="000000"/>
            </w:tcBorders>
            <w:vAlign w:val="center"/>
          </w:tcPr>
          <w:p>
            <w:pPr>
              <w:pStyle w:val="25"/>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c>
          <w:tcPr>
            <w:tcW w:w="1474" w:type="dxa"/>
            <w:tcBorders>
              <w:left w:val="single" w:sz="6" w:space="0" w:color="000000"/>
            </w:tcBorders>
            <w:vAlign w:val="center"/>
          </w:tcPr>
          <w:p>
            <w:pPr>
              <w:pStyle w:val="24"/>
              <w:rPr>
                <w:rFonts w:ascii="宋体" w:eastAsia="宋体" w:cs="Calibri" w:hAnsi="宋体" w:hint="eastAsia"/>
              </w:rPr>
            </w:pP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37</w:t>
            </w:r>
          </w:p>
        </w:tc>
        <w:tc>
          <w:tcPr>
            <w:tcW w:w="3402"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收入总计</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3402"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支出总计</w:t>
            </w: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1474" w:type="dxa"/>
            <w:tcBorders>
              <w:left w:val="single" w:sz="6" w:space="0" w:color="000000"/>
            </w:tcBorders>
            <w:vAlign w:val="center"/>
          </w:tcPr>
          <w:p>
            <w:pPr>
              <w:pStyle w:val="28"/>
              <w:rPr>
                <w:rFonts w:ascii="宋体" w:eastAsia="宋体" w:cs="Calibri" w:hAnsi="宋体" w:hint="eastAsia"/>
              </w:rPr>
            </w:pPr>
          </w:p>
        </w:tc>
        <w:tc>
          <w:tcPr>
            <w:tcW w:w="1474"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1474" w:type="dxa"/>
            <w:tcBorders>
              <w:left w:val="single" w:sz="6" w:space="0" w:color="000000"/>
            </w:tcBorders>
            <w:vAlign w:val="center"/>
          </w:tcPr>
          <w:p>
            <w:pPr>
              <w:pStyle w:val="28"/>
              <w:rPr>
                <w:rFonts w:ascii="宋体" w:eastAsia="宋体" w:cs="Calibri" w:hAnsi="宋体" w:hint="eastAsia"/>
              </w:rPr>
            </w:pP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单位预算一般公共预算财政拨款支出表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2551"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102"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5726"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功能分类科目</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基本支出</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项目支出</w:t>
            </w:r>
          </w:p>
        </w:tc>
      </w:tr>
      <w:tr>
        <w:trPr>
          <w:trHeight w:val="369"/>
          <w:tblHeader/>
        </w:trPr>
        <w:tc>
          <w:tcPr>
            <w:tcW w:w="850" w:type="dxa"/>
            <w:vMerge/>
          </w:tcP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科目编码</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2551" w:type="dxa"/>
            <w:vMerge/>
            <w:tcBorders>
              <w:left w:val="single" w:sz="6" w:space="0" w:color="000000"/>
            </w:tcBorders>
          </w:tcPr>
          <w:p/>
        </w:tc>
        <w:tc>
          <w:tcPr>
            <w:tcW w:w="2551" w:type="dxa"/>
            <w:vMerge/>
            <w:tcBorders>
              <w:left w:val="single" w:sz="6" w:space="0" w:color="000000"/>
            </w:tcBorders>
          </w:tcPr>
          <w:p/>
        </w:tc>
        <w:tc>
          <w:tcPr>
            <w:tcW w:w="2551" w:type="dxa"/>
            <w:vMerge/>
            <w:tcBorders>
              <w:left w:val="single" w:sz="6" w:space="0" w:color="000000"/>
            </w:tcBorders>
          </w:tcP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r>
      <w:tr>
        <w:trPr>
          <w:trHeight w:val="369"/>
        </w:trPr>
        <w:tc>
          <w:tcPr>
            <w:tcW w:w="850" w:type="dxa"/>
            <w:vAlign w:val="center"/>
          </w:tcPr>
          <w:p>
            <w:pPr>
              <w:pStyle w:val="26"/>
              <w:rPr>
                <w:rFonts w:ascii="宋体" w:eastAsia="宋体" w:cs="Calibri" w:hAnsi="宋体" w:hint="eastAsia"/>
              </w:rPr>
            </w:pPr>
          </w:p>
        </w:tc>
        <w:tc>
          <w:tcPr>
            <w:tcW w:w="1191" w:type="dxa"/>
            <w:tcBorders>
              <w:left w:val="single" w:sz="6" w:space="0" w:color="000000"/>
            </w:tcBorders>
            <w:vAlign w:val="center"/>
          </w:tcPr>
          <w:p>
            <w:pPr>
              <w:pStyle w:val="25"/>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r>
    </w:tbl>
    <w:p>
      <w:pPr>
        <w:ind w:firstLine="420"/>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r>
        <w:rPr>
          <w:rFonts w:ascii="宋体" w:eastAsia="宋体" w:cs="Calibri" w:hAnsi="宋体"/>
          <w:color w:val="000000"/>
          <w:sz w:val="21"/>
        </w:rPr>
        <w:t>注：无一般公共预算财政拨款支出预算，空表列示。</w:t>
      </w:r>
    </w:p>
    <w:p>
      <w:pPr>
        <w:jc w:val="center"/>
        <w:outlineLvl w:val="4"/>
        <w:rPr>
          <w:rFonts w:ascii="宋体" w:eastAsia="宋体" w:cs="Calibri" w:hAnsi="宋体" w:hint="eastAsia"/>
        </w:rPr>
      </w:pPr>
      <w:r>
        <w:rPr>
          <w:rFonts w:ascii="宋体" w:eastAsia="宋体" w:cs="Calibri" w:hAnsi="宋体"/>
          <w:color w:val="000000"/>
          <w:sz w:val="36"/>
        </w:rPr>
        <w:t>单位预算一般公共预算财政拨款基本支出表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2"/>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2551"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102"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5726"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支出部门经济分类科目</w:t>
            </w:r>
          </w:p>
        </w:tc>
        <w:tc>
          <w:tcPr>
            <w:tcW w:w="7654" w:type="dxa"/>
            <w:gridSpan w:val="3"/>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一般公共预算基本支出</w:t>
            </w:r>
          </w:p>
        </w:tc>
      </w:tr>
      <w:tr>
        <w:trPr>
          <w:trHeight w:val="369"/>
          <w:tblHeader/>
        </w:trPr>
        <w:tc>
          <w:tcPr>
            <w:tcW w:w="850" w:type="dxa"/>
            <w:vMerge/>
          </w:tcP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科目编码</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人员经费</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公用经费</w:t>
            </w: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r>
      <w:tr>
        <w:trPr>
          <w:trHeight w:val="369"/>
        </w:trPr>
        <w:tc>
          <w:tcPr>
            <w:tcW w:w="850" w:type="dxa"/>
            <w:vAlign w:val="center"/>
          </w:tcPr>
          <w:p>
            <w:pPr>
              <w:pStyle w:val="26"/>
              <w:rPr>
                <w:rFonts w:ascii="宋体" w:eastAsia="宋体" w:cs="Calibri" w:hAnsi="宋体" w:hint="eastAsia"/>
              </w:rPr>
            </w:pPr>
          </w:p>
        </w:tc>
        <w:tc>
          <w:tcPr>
            <w:tcW w:w="1191" w:type="dxa"/>
            <w:tcBorders>
              <w:left w:val="single" w:sz="6" w:space="0" w:color="000000"/>
            </w:tcBorders>
            <w:vAlign w:val="center"/>
          </w:tcPr>
          <w:p>
            <w:pPr>
              <w:pStyle w:val="25"/>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r>
    </w:tbl>
    <w:p>
      <w:pPr>
        <w:ind w:firstLine="420"/>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r>
        <w:rPr>
          <w:rFonts w:ascii="宋体" w:eastAsia="宋体" w:cs="Calibri" w:hAnsi="宋体"/>
          <w:color w:val="000000"/>
          <w:sz w:val="21"/>
        </w:rPr>
        <w:t>注：无一般公共预算财政拨款基本支出预算，空表列示。</w:t>
      </w:r>
    </w:p>
    <w:p>
      <w:pPr>
        <w:jc w:val="center"/>
        <w:outlineLvl w:val="4"/>
        <w:rPr>
          <w:rFonts w:ascii="宋体" w:eastAsia="宋体" w:cs="Calibri" w:hAnsi="宋体" w:hint="eastAsia"/>
        </w:rPr>
      </w:pPr>
      <w:r>
        <w:rPr>
          <w:rFonts w:ascii="宋体" w:eastAsia="宋体" w:cs="Calibri" w:hAnsi="宋体"/>
          <w:color w:val="000000"/>
          <w:sz w:val="36"/>
        </w:rPr>
        <w:t>单位预算政府基金预算财政拨款支出表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2551"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102"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5726"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功能分类科目</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基本支出</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项目支出</w:t>
            </w:r>
          </w:p>
        </w:tc>
      </w:tr>
      <w:tr>
        <w:trPr>
          <w:trHeight w:val="369"/>
          <w:tblHeader/>
        </w:trPr>
        <w:tc>
          <w:tcPr>
            <w:tcW w:w="850" w:type="dxa"/>
            <w:vMerge/>
          </w:tcP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科目编码</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2551" w:type="dxa"/>
            <w:vMerge/>
            <w:tcBorders>
              <w:left w:val="single" w:sz="6" w:space="0" w:color="000000"/>
            </w:tcBorders>
          </w:tcPr>
          <w:p/>
        </w:tc>
        <w:tc>
          <w:tcPr>
            <w:tcW w:w="2551" w:type="dxa"/>
            <w:vMerge/>
            <w:tcBorders>
              <w:left w:val="single" w:sz="6" w:space="0" w:color="000000"/>
            </w:tcBorders>
          </w:tcPr>
          <w:p/>
        </w:tc>
        <w:tc>
          <w:tcPr>
            <w:tcW w:w="2551" w:type="dxa"/>
            <w:vMerge/>
            <w:tcBorders>
              <w:left w:val="single" w:sz="6" w:space="0" w:color="000000"/>
            </w:tcBorders>
          </w:tcP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1</w:t>
            </w:r>
          </w:p>
        </w:tc>
        <w:tc>
          <w:tcPr>
            <w:tcW w:w="1191" w:type="dxa"/>
            <w:tcBorders>
              <w:left w:val="single" w:sz="6" w:space="0" w:color="000000"/>
            </w:tcBorders>
            <w:vAlign w:val="center"/>
          </w:tcPr>
          <w:p>
            <w:pPr>
              <w:pStyle w:val="29"/>
              <w:rPr>
                <w:rFonts w:ascii="宋体" w:eastAsia="宋体" w:cs="Calibri" w:hAnsi="宋体" w:hint="eastAsia"/>
              </w:rPr>
            </w:pPr>
          </w:p>
        </w:tc>
        <w:tc>
          <w:tcPr>
            <w:tcW w:w="4535" w:type="dxa"/>
            <w:tcBorders>
              <w:left w:val="single" w:sz="6" w:space="0" w:color="000000"/>
            </w:tcBorders>
            <w:vAlign w:val="center"/>
          </w:tcPr>
          <w:p>
            <w:pPr>
              <w:pStyle w:val="27"/>
              <w:rPr>
                <w:rFonts w:ascii="宋体" w:eastAsia="宋体" w:cs="Calibri" w:hAnsi="宋体" w:hint="eastAsia"/>
              </w:rPr>
            </w:pPr>
            <w:r>
              <w:rPr>
                <w:rFonts w:ascii="宋体" w:eastAsia="宋体" w:cs="Calibri" w:hAnsi="宋体"/>
              </w:rPr>
              <w:t>合计</w:t>
            </w:r>
          </w:p>
        </w:tc>
        <w:tc>
          <w:tcPr>
            <w:tcW w:w="255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c>
          <w:tcPr>
            <w:tcW w:w="2551" w:type="dxa"/>
            <w:tcBorders>
              <w:left w:val="single" w:sz="6" w:space="0" w:color="000000"/>
            </w:tcBorders>
            <w:vAlign w:val="center"/>
          </w:tcPr>
          <w:p>
            <w:pPr>
              <w:pStyle w:val="28"/>
              <w:rPr>
                <w:rFonts w:ascii="宋体" w:eastAsia="宋体" w:cs="Calibri" w:hAnsi="宋体" w:hint="eastAsia"/>
              </w:rPr>
            </w:pPr>
          </w:p>
        </w:tc>
        <w:tc>
          <w:tcPr>
            <w:tcW w:w="2551" w:type="dxa"/>
            <w:tcBorders>
              <w:left w:val="single" w:sz="6" w:space="0" w:color="000000"/>
            </w:tcBorders>
            <w:vAlign w:val="center"/>
          </w:tcPr>
          <w:p>
            <w:pPr>
              <w:pStyle w:val="28"/>
              <w:rPr>
                <w:rFonts w:ascii="宋体" w:eastAsia="宋体" w:cs="Calibri" w:hAnsi="宋体" w:hint="eastAsia"/>
              </w:rPr>
            </w:pPr>
            <w:r>
              <w:rPr>
                <w:rFonts w:ascii="宋体" w:eastAsia="宋体" w:cs="Calibri" w:hAnsi="宋体"/>
              </w:rPr>
              <w:t>18627.00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2</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城乡社区支出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18627.00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3</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国有土地使用权出让收入安排的支出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4</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2120801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征地和拆迁补偿支出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17127.00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5</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21210</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国有土地收益基金安排的支出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r>
      <w:tr>
        <w:trPr>
          <w:trHeight w:val="369"/>
        </w:trPr>
        <w:tc>
          <w:tcPr>
            <w:tcW w:w="850" w:type="dxa"/>
            <w:vAlign w:val="center"/>
          </w:tcPr>
          <w:p>
            <w:pPr>
              <w:pStyle w:val="26"/>
              <w:rPr>
                <w:rFonts w:ascii="宋体" w:eastAsia="宋体" w:cs="Calibri" w:hAnsi="宋体" w:hint="eastAsia"/>
              </w:rPr>
            </w:pPr>
            <w:r>
              <w:rPr>
                <w:rFonts w:ascii="宋体" w:eastAsia="宋体" w:cs="Calibri" w:hAnsi="宋体"/>
              </w:rPr>
              <w:t>6</w:t>
            </w:r>
          </w:p>
        </w:tc>
        <w:tc>
          <w:tcPr>
            <w:tcW w:w="119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2121001</w:t>
            </w:r>
          </w:p>
        </w:tc>
        <w:tc>
          <w:tcPr>
            <w:tcW w:w="45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征地和拆迁补偿支出</w:t>
            </w: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r>
              <w:rPr>
                <w:rFonts w:ascii="宋体" w:eastAsia="宋体" w:cs="Calibri" w:hAnsi="宋体"/>
              </w:rPr>
              <w:t>1500.00</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jc w:val="center"/>
        <w:outlineLvl w:val="4"/>
        <w:rPr>
          <w:rFonts w:ascii="宋体" w:eastAsia="宋体" w:cs="Calibri" w:hAnsi="宋体" w:hint="eastAsia"/>
        </w:rPr>
      </w:pPr>
      <w:r>
        <w:rPr>
          <w:rFonts w:ascii="宋体" w:eastAsia="宋体" w:cs="Calibri" w:hAnsi="宋体"/>
          <w:color w:val="000000"/>
          <w:sz w:val="36"/>
        </w:rPr>
        <w:t>单位预算国有资本经营预算财政拨款支出表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2551"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5102"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5726" w:type="dxa"/>
            <w:gridSpan w:val="2"/>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功能分类科目</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基本支出</w:t>
            </w:r>
          </w:p>
        </w:tc>
        <w:tc>
          <w:tcPr>
            <w:tcW w:w="2551"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项目支出</w:t>
            </w:r>
          </w:p>
        </w:tc>
      </w:tr>
      <w:tr>
        <w:trPr>
          <w:trHeight w:val="369"/>
          <w:tblHeader/>
        </w:trPr>
        <w:tc>
          <w:tcPr>
            <w:tcW w:w="850" w:type="dxa"/>
            <w:vMerge/>
          </w:tcP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科目编码</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科目名称</w:t>
            </w:r>
          </w:p>
        </w:tc>
        <w:tc>
          <w:tcPr>
            <w:tcW w:w="2551" w:type="dxa"/>
            <w:vMerge/>
            <w:tcBorders>
              <w:left w:val="single" w:sz="6" w:space="0" w:color="000000"/>
            </w:tcBorders>
          </w:tcPr>
          <w:p/>
        </w:tc>
        <w:tc>
          <w:tcPr>
            <w:tcW w:w="2551" w:type="dxa"/>
            <w:vMerge/>
            <w:tcBorders>
              <w:left w:val="single" w:sz="6" w:space="0" w:color="000000"/>
            </w:tcBorders>
          </w:tcPr>
          <w:p/>
        </w:tc>
        <w:tc>
          <w:tcPr>
            <w:tcW w:w="2551" w:type="dxa"/>
            <w:vMerge/>
            <w:tcBorders>
              <w:left w:val="single" w:sz="6" w:space="0" w:color="000000"/>
            </w:tcBorders>
          </w:tcPr>
          <w:p/>
        </w:tc>
      </w:tr>
      <w:tr>
        <w:trPr>
          <w:trHeight w:val="369"/>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119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45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255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r>
      <w:tr>
        <w:trPr>
          <w:trHeight w:val="369"/>
        </w:trPr>
        <w:tc>
          <w:tcPr>
            <w:tcW w:w="850" w:type="dxa"/>
            <w:vAlign w:val="center"/>
          </w:tcPr>
          <w:p>
            <w:pPr>
              <w:pStyle w:val="26"/>
              <w:rPr>
                <w:rFonts w:ascii="宋体" w:eastAsia="宋体" w:cs="Calibri" w:hAnsi="宋体" w:hint="eastAsia"/>
              </w:rPr>
            </w:pPr>
          </w:p>
        </w:tc>
        <w:tc>
          <w:tcPr>
            <w:tcW w:w="1191" w:type="dxa"/>
            <w:tcBorders>
              <w:left w:val="single" w:sz="6" w:space="0" w:color="000000"/>
            </w:tcBorders>
            <w:vAlign w:val="center"/>
          </w:tcPr>
          <w:p>
            <w:pPr>
              <w:pStyle w:val="25"/>
              <w:rPr>
                <w:rFonts w:ascii="宋体" w:eastAsia="宋体" w:cs="Calibri" w:hAnsi="宋体" w:hint="eastAsia"/>
              </w:rPr>
            </w:pPr>
          </w:p>
        </w:tc>
        <w:tc>
          <w:tcPr>
            <w:tcW w:w="4535" w:type="dxa"/>
            <w:tcBorders>
              <w:left w:val="single" w:sz="6" w:space="0" w:color="000000"/>
            </w:tcBorders>
            <w:vAlign w:val="center"/>
          </w:tcPr>
          <w:p>
            <w:pPr>
              <w:pStyle w:val="25"/>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c>
          <w:tcPr>
            <w:tcW w:w="2551" w:type="dxa"/>
            <w:tcBorders>
              <w:left w:val="single" w:sz="6" w:space="0" w:color="000000"/>
            </w:tcBorders>
            <w:vAlign w:val="center"/>
          </w:tcPr>
          <w:p>
            <w:pPr>
              <w:pStyle w:val="24"/>
              <w:rPr>
                <w:rFonts w:ascii="宋体" w:eastAsia="宋体" w:cs="Calibri" w:hAnsi="宋体" w:hint="eastAsia"/>
              </w:rPr>
            </w:pPr>
          </w:p>
        </w:tc>
      </w:tr>
    </w:tbl>
    <w:p>
      <w:pPr>
        <w:ind w:firstLine="420"/>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r>
        <w:rPr>
          <w:rFonts w:ascii="宋体" w:eastAsia="宋体" w:cs="Calibri" w:hAnsi="宋体"/>
          <w:color w:val="000000"/>
          <w:sz w:val="21"/>
        </w:rPr>
        <w:t>注：无国有资本经营预算财政拨款预算，空表列示。</w:t>
      </w:r>
    </w:p>
    <w:p>
      <w:pPr>
        <w:jc w:val="center"/>
        <w:outlineLvl w:val="4"/>
        <w:rPr>
          <w:rFonts w:ascii="宋体" w:eastAsia="宋体" w:cs="Calibri" w:hAnsi="宋体" w:hint="eastAsia"/>
        </w:rPr>
      </w:pPr>
      <w:r>
        <w:rPr>
          <w:rFonts w:ascii="宋体" w:eastAsia="宋体" w:cs="Calibri" w:hAnsi="宋体"/>
          <w:color w:val="000000"/>
          <w:sz w:val="36"/>
        </w:rPr>
        <w:t>单位预算财政拨款“三公”经费支出表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850"/>
        <w:gridCol w:w="3798"/>
        <w:gridCol w:w="2382"/>
        <w:gridCol w:w="2381"/>
        <w:gridCol w:w="2381"/>
        <w:gridCol w:w="2381"/>
      </w:tblGrid>
      <w:tr>
        <w:trPr>
          <w:trHeight w:val="369"/>
          <w:tblHeader/>
        </w:trPr>
        <w:tc>
          <w:tcPr>
            <w:tcW w:w="7030" w:type="dxa"/>
            <w:gridSpan w:val="3"/>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2381" w:type="dxa"/>
            <w:tcBorders>
              <w:top w:val="single" w:sz="6" w:space="0" w:color="FFFFFF"/>
              <w:left w:val="single" w:sz="6" w:space="0" w:color="FFFFFF"/>
              <w:right w:val="single" w:sz="6" w:space="0" w:color="FFFFFF"/>
            </w:tcBorders>
            <w:vAlign w:val="center"/>
          </w:tcPr>
          <w:p>
            <w:pPr>
              <w:pStyle w:val="21"/>
              <w:rPr>
                <w:rFonts w:ascii="宋体" w:eastAsia="宋体" w:cs="Calibri" w:hAnsi="宋体" w:hint="eastAsia"/>
              </w:rPr>
            </w:pPr>
            <w:r>
              <w:rPr>
                <w:rFonts w:ascii="宋体" w:eastAsia="宋体" w:cs="Calibri" w:hAnsi="宋体"/>
              </w:rPr>
              <w:t>预算年度：2023</w:t>
            </w:r>
          </w:p>
        </w:tc>
        <w:tc>
          <w:tcPr>
            <w:tcW w:w="4762"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单位：万元</w:t>
            </w:r>
          </w:p>
        </w:tc>
      </w:tr>
      <w:tr>
        <w:trPr>
          <w:trHeight w:val="369"/>
          <w:tblHeader/>
        </w:trPr>
        <w:tc>
          <w:tcPr>
            <w:tcW w:w="850" w:type="dxa"/>
            <w:vMerge w:val="restart"/>
            <w:vAlign w:val="center"/>
          </w:tcPr>
          <w:p>
            <w:pPr>
              <w:pStyle w:val="23"/>
              <w:rPr>
                <w:rFonts w:ascii="宋体" w:eastAsia="宋体" w:cs="Calibri" w:hAnsi="宋体" w:hint="eastAsia"/>
              </w:rPr>
            </w:pPr>
            <w:r>
              <w:rPr>
                <w:rFonts w:ascii="宋体" w:eastAsia="宋体" w:cs="Calibri" w:hAnsi="宋体"/>
              </w:rPr>
              <w:t>序号</w:t>
            </w:r>
          </w:p>
        </w:tc>
        <w:tc>
          <w:tcPr>
            <w:tcW w:w="3798"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项  目</w:t>
            </w:r>
          </w:p>
        </w:tc>
        <w:tc>
          <w:tcPr>
            <w:tcW w:w="9524" w:type="dxa"/>
            <w:gridSpan w:val="4"/>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资 金 性 质</w:t>
            </w:r>
          </w:p>
        </w:tc>
      </w:tr>
      <w:tr>
        <w:trPr>
          <w:trHeight w:val="567"/>
          <w:tblHeader/>
        </w:trPr>
        <w:tc>
          <w:tcPr>
            <w:tcW w:w="850" w:type="dxa"/>
            <w:vMerge/>
          </w:tcPr>
          <w:p/>
        </w:tc>
        <w:tc>
          <w:tcPr>
            <w:tcW w:w="3798" w:type="dxa"/>
            <w:vMerge/>
            <w:tcBorders>
              <w:left w:val="single" w:sz="6" w:space="0" w:color="000000"/>
            </w:tcBorders>
          </w:tcP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一般公共预算              财政拨款</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政府性基金                  预算拨款</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国有资本经营              预算财政拨款</w:t>
            </w:r>
          </w:p>
        </w:tc>
      </w:tr>
      <w:tr>
        <w:trPr>
          <w:trHeight w:val="567"/>
          <w:tblHeader/>
        </w:trPr>
        <w:tc>
          <w:tcPr>
            <w:tcW w:w="850" w:type="dxa"/>
            <w:vAlign w:val="center"/>
          </w:tcPr>
          <w:p>
            <w:pPr>
              <w:pStyle w:val="23"/>
              <w:rPr>
                <w:rFonts w:ascii="宋体" w:eastAsia="宋体" w:cs="Calibri" w:hAnsi="宋体" w:hint="eastAsia"/>
              </w:rPr>
            </w:pPr>
            <w:r>
              <w:rPr>
                <w:rFonts w:ascii="宋体" w:eastAsia="宋体" w:cs="Calibri" w:hAnsi="宋体"/>
              </w:rPr>
              <w:t>栏次</w:t>
            </w:r>
          </w:p>
        </w:tc>
        <w:tc>
          <w:tcPr>
            <w:tcW w:w="3798"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1</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3</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4</w:t>
            </w:r>
          </w:p>
        </w:tc>
        <w:tc>
          <w:tcPr>
            <w:tcW w:w="2381"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5</w:t>
            </w:r>
          </w:p>
        </w:tc>
      </w:tr>
      <w:tr>
        <w:trPr>
          <w:trHeight w:val="567"/>
        </w:trPr>
        <w:tc>
          <w:tcPr>
            <w:tcW w:w="850" w:type="dxa"/>
            <w:vAlign w:val="center"/>
          </w:tcPr>
          <w:p>
            <w:pPr>
              <w:pStyle w:val="26"/>
              <w:rPr>
                <w:rFonts w:ascii="宋体" w:eastAsia="宋体" w:cs="Calibri" w:hAnsi="宋体" w:hint="eastAsia"/>
              </w:rPr>
            </w:pPr>
          </w:p>
        </w:tc>
        <w:tc>
          <w:tcPr>
            <w:tcW w:w="3798" w:type="dxa"/>
            <w:tcBorders>
              <w:left w:val="single" w:sz="6" w:space="0" w:color="000000"/>
            </w:tcBorders>
            <w:vAlign w:val="center"/>
          </w:tcPr>
          <w:p>
            <w:pPr>
              <w:pStyle w:val="25"/>
              <w:rPr>
                <w:rFonts w:ascii="宋体" w:eastAsia="宋体" w:cs="Calibri" w:hAnsi="宋体" w:hint="eastAsia"/>
              </w:rPr>
            </w:pPr>
          </w:p>
        </w:tc>
        <w:tc>
          <w:tcPr>
            <w:tcW w:w="2381" w:type="dxa"/>
            <w:tcBorders>
              <w:left w:val="single" w:sz="6" w:space="0" w:color="000000"/>
            </w:tcBorders>
            <w:vAlign w:val="center"/>
          </w:tcPr>
          <w:p>
            <w:pPr>
              <w:pStyle w:val="24"/>
              <w:rPr>
                <w:rFonts w:ascii="宋体" w:eastAsia="宋体" w:cs="Calibri" w:hAnsi="宋体" w:hint="eastAsia"/>
              </w:rPr>
            </w:pPr>
          </w:p>
        </w:tc>
        <w:tc>
          <w:tcPr>
            <w:tcW w:w="2381" w:type="dxa"/>
            <w:tcBorders>
              <w:left w:val="single" w:sz="6" w:space="0" w:color="000000"/>
            </w:tcBorders>
            <w:vAlign w:val="center"/>
          </w:tcPr>
          <w:p>
            <w:pPr>
              <w:pStyle w:val="24"/>
              <w:rPr>
                <w:rFonts w:ascii="宋体" w:eastAsia="宋体" w:cs="Calibri" w:hAnsi="宋体" w:hint="eastAsia"/>
              </w:rPr>
            </w:pPr>
          </w:p>
        </w:tc>
        <w:tc>
          <w:tcPr>
            <w:tcW w:w="2381" w:type="dxa"/>
            <w:tcBorders>
              <w:left w:val="single" w:sz="6" w:space="0" w:color="000000"/>
            </w:tcBorders>
            <w:vAlign w:val="center"/>
          </w:tcPr>
          <w:p>
            <w:pPr>
              <w:pStyle w:val="24"/>
              <w:rPr>
                <w:rFonts w:ascii="宋体" w:eastAsia="宋体" w:cs="Calibri" w:hAnsi="宋体" w:hint="eastAsia"/>
              </w:rPr>
            </w:pPr>
          </w:p>
        </w:tc>
        <w:tc>
          <w:tcPr>
            <w:tcW w:w="2381" w:type="dxa"/>
            <w:tcBorders>
              <w:left w:val="single" w:sz="6" w:space="0" w:color="000000"/>
            </w:tcBorders>
            <w:vAlign w:val="center"/>
          </w:tcPr>
          <w:p>
            <w:pPr>
              <w:pStyle w:val="24"/>
              <w:rPr>
                <w:rFonts w:ascii="宋体" w:eastAsia="宋体" w:cs="Calibri" w:hAnsi="宋体" w:hint="eastAsia"/>
              </w:rPr>
            </w:pPr>
          </w:p>
        </w:tc>
      </w:tr>
    </w:tbl>
    <w:p>
      <w:pPr>
        <w:ind w:firstLine="420"/>
        <w:rPr>
          <w:rFonts w:ascii="宋体" w:eastAsia="宋体" w:cs="Calibri" w:hAnsi="宋体" w:hint="eastAsia"/>
        </w:rPr>
        <w:sectPr>
          <w:pgSz w:w="16840" w:h="11900" w:orient="landscape"/>
          <w:pgMar w:top="1361" w:right="1020" w:bottom="1361" w:left="1020" w:header="720" w:footer="720" w:gutter="0"/>
          <w:cols w:num="1" w:space="720"/>
          <w:docGrid w:linePitch="326" w:charSpace="0"/>
        </w:sectPr>
      </w:pPr>
      <w:r>
        <w:rPr>
          <w:rFonts w:ascii="宋体" w:eastAsia="宋体" w:cs="Calibri" w:hAnsi="宋体"/>
          <w:color w:val="000000"/>
          <w:sz w:val="21"/>
        </w:rPr>
        <w:t>注：无财政拨款“三公”经费支出表预算，空表列示。</w:t>
      </w:r>
    </w:p>
    <w:p>
      <w:pPr>
        <w:jc w:val="center"/>
        <w:outlineLvl w:val="4"/>
        <w:rPr>
          <w:rFonts w:ascii="宋体" w:eastAsia="宋体" w:cs="Calibri" w:hAnsi="宋体" w:hint="eastAsia"/>
        </w:rPr>
      </w:pPr>
      <w:r>
        <w:rPr>
          <w:rFonts w:ascii="宋体" w:eastAsia="宋体" w:cs="Calibri" w:hAnsi="宋体"/>
          <w:color w:val="000000"/>
          <w:sz w:val="44"/>
        </w:rPr>
        <w:t>涞源县土地整理和收购储备中心2023年单位预算信息公开情况说明</w:t>
      </w:r>
    </w:p>
    <w:p>
      <w:pPr>
        <w:spacing w:line="500" w:lineRule="exact"/>
        <w:ind w:firstLine="560"/>
        <w:rPr>
          <w:rFonts w:ascii="宋体" w:eastAsia="宋体" w:cs="Calibri" w:hAnsi="宋体" w:hint="eastAsia"/>
        </w:rPr>
      </w:pPr>
      <w:r>
        <w:rPr>
          <w:rFonts w:ascii="宋体" w:eastAsia="宋体" w:cs="Calibri" w:hAnsi="宋体"/>
          <w:color w:val="000000"/>
          <w:sz w:val="28"/>
        </w:rPr>
        <w:t>按照《预算法》、《地方预决算公开操作规程》和《关于进一步推进预算公开工作的实施意见》规定，现将涞源县土地整理和收购储备中心2023年单位预算公开如下：</w:t>
      </w:r>
    </w:p>
    <w:p>
      <w:pPr>
        <w:spacing w:before="10" w:after="10"/>
        <w:ind w:firstLine="640"/>
        <w:outlineLvl w:val="5"/>
        <w:rPr>
          <w:rFonts w:ascii="宋体" w:eastAsia="宋体" w:cs="Calibri" w:hAnsi="宋体" w:hint="eastAsia"/>
        </w:rPr>
      </w:pPr>
      <w:r>
        <w:rPr>
          <w:rFonts w:ascii="宋体" w:eastAsia="宋体" w:cs="Calibri" w:hAnsi="宋体"/>
          <w:color w:val="000000"/>
          <w:sz w:val="32"/>
        </w:rPr>
        <w:t>一、单位职责及机构设置情况</w:t>
      </w:r>
    </w:p>
    <w:p>
      <w:pPr>
        <w:pStyle w:val="30"/>
        <w:rPr>
          <w:rFonts w:ascii="宋体" w:eastAsia="宋体" w:cs="Calibri" w:hAnsi="宋体" w:hint="eastAsia"/>
          <w:b/>
          <w:color w:val="000000"/>
          <w:sz w:val="32"/>
        </w:rPr>
      </w:pPr>
      <w:r>
        <w:rPr>
          <w:rFonts w:ascii="宋体" w:eastAsia="宋体" w:cs="Calibri" w:hAnsi="宋体"/>
          <w:b/>
          <w:color w:val="000000"/>
          <w:sz w:val="32"/>
        </w:rPr>
        <w:t>单位职责：</w:t>
      </w:r>
    </w:p>
    <w:p>
      <w:pPr>
        <w:pStyle w:val="30"/>
        <w:rPr>
          <w:rFonts w:ascii="宋体" w:eastAsia="宋体" w:cs="Calibri" w:hAnsi="宋体" w:hint="eastAsia"/>
        </w:rPr>
      </w:pPr>
      <w:r>
        <w:rPr>
          <w:rFonts w:ascii="宋体" w:eastAsia="宋体" w:cs="Calibri" w:hAnsi="宋体"/>
        </w:rPr>
        <w:t>1、土地整理部门：依据耕地后备资源库梳理可实施土地开发整理项目并建立土地开发储备项目库；及时了解上级项目信息和动态，会同相关股室筛选和申报土地开发整治、增减挂钩项目，协同规划部门和生态修复部门做好国土空间规划和生态修复规划，保障土地开发整理和增减挂钩项目的实施，依据相关文件做好项目的立项、实施及验收工作；承办占补平衡指标流转；承办局党组交办的其他工作。</w:t>
      </w:r>
    </w:p>
    <w:p>
      <w:pPr>
        <w:pStyle w:val="38"/>
        <w:ind w:firstLineChars="200" w:firstLine="560"/>
        <w:rPr>
          <w:rFonts w:ascii="宋体" w:eastAsia="宋体" w:cs="Calibri" w:hAnsi="宋体" w:hint="eastAsia"/>
        </w:rPr>
      </w:pPr>
      <w:r>
        <w:rPr>
          <w:rFonts w:ascii="宋体" w:eastAsia="宋体" w:cs="Calibri" w:hAnsi="宋体"/>
        </w:rPr>
        <w:t>2、土地收购储备中心：拟定全县土地收购、储备计划，进一步完善土地收购储备运行机制；承担县域内国有土地收购储备工作及收购储备台账建设；做好储备土地投放市场的准备工作；开展市场调查研究，收集和发布土地收购、储备信息，为加强土地市场管理提供决策依据；承办局党组交办的其他工作。</w:t>
      </w:r>
    </w:p>
    <w:p>
      <w:pPr>
        <w:ind w:firstLine="640"/>
        <w:rPr>
          <w:rFonts w:ascii="宋体" w:eastAsia="宋体" w:cs="Calibri" w:hAnsi="宋体" w:hint="eastAsia"/>
        </w:rPr>
      </w:pPr>
      <w:r>
        <w:rPr>
          <w:rFonts w:ascii="宋体" w:eastAsia="宋体" w:cs="Calibri" w:hAnsi="宋体"/>
          <w:b/>
          <w:color w:val="000000"/>
          <w:sz w:val="32"/>
        </w:rPr>
        <w:t>机构设置：</w:t>
      </w:r>
    </w:p>
    <w:p>
      <w:pPr>
        <w:jc w:val="center"/>
        <w:rPr>
          <w:rFonts w:ascii="宋体" w:eastAsia="宋体" w:cs="Calibri" w:hAnsi="宋体" w:hint="eastAsia"/>
        </w:rPr>
      </w:pPr>
      <w:r>
        <w:rPr>
          <w:rFonts w:ascii="宋体" w:eastAsia="宋体" w:cs="Calibri" w:hAnsi="宋体"/>
          <w:color w:val="000000"/>
          <w:sz w:val="32"/>
        </w:rPr>
        <w:t>单位机构设置情况</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5669"/>
        <w:gridCol w:w="1843"/>
        <w:gridCol w:w="2126"/>
        <w:gridCol w:w="3827"/>
      </w:tblGrid>
      <w:tr>
        <w:trPr>
          <w:trHeight w:val="567"/>
          <w:tblHeader/>
        </w:trPr>
        <w:tc>
          <w:tcPr>
            <w:tcW w:w="5669" w:type="dxa"/>
            <w:vAlign w:val="center"/>
          </w:tcPr>
          <w:p>
            <w:pPr>
              <w:pStyle w:val="23"/>
              <w:rPr>
                <w:rFonts w:ascii="宋体" w:eastAsia="宋体" w:cs="Calibri" w:hAnsi="宋体" w:hint="eastAsia"/>
              </w:rPr>
            </w:pPr>
            <w:r>
              <w:rPr>
                <w:rFonts w:ascii="宋体" w:eastAsia="宋体" w:cs="Calibri" w:hAnsi="宋体"/>
              </w:rPr>
              <w:t>单位名称</w:t>
            </w:r>
          </w:p>
        </w:tc>
        <w:tc>
          <w:tcPr>
            <w:tcW w:w="1843" w:type="dxa"/>
            <w:vAlign w:val="center"/>
          </w:tcPr>
          <w:p>
            <w:pPr>
              <w:pStyle w:val="23"/>
              <w:rPr>
                <w:rFonts w:ascii="宋体" w:eastAsia="宋体" w:cs="Calibri" w:hAnsi="宋体" w:hint="eastAsia"/>
              </w:rPr>
            </w:pPr>
            <w:r>
              <w:rPr>
                <w:rFonts w:ascii="宋体" w:eastAsia="宋体" w:cs="Calibri" w:hAnsi="宋体"/>
              </w:rPr>
              <w:t>单位性质</w:t>
            </w:r>
          </w:p>
        </w:tc>
        <w:tc>
          <w:tcPr>
            <w:tcW w:w="2126" w:type="dxa"/>
            <w:vAlign w:val="center"/>
          </w:tcPr>
          <w:p>
            <w:pPr>
              <w:pStyle w:val="23"/>
              <w:rPr>
                <w:rFonts w:ascii="宋体" w:eastAsia="宋体" w:cs="Calibri" w:hAnsi="宋体" w:hint="eastAsia"/>
              </w:rPr>
            </w:pPr>
            <w:r>
              <w:rPr>
                <w:rFonts w:ascii="宋体" w:eastAsia="宋体" w:cs="Calibri" w:hAnsi="宋体"/>
              </w:rPr>
              <w:t>单位规格</w:t>
            </w:r>
          </w:p>
        </w:tc>
        <w:tc>
          <w:tcPr>
            <w:tcW w:w="3827" w:type="dxa"/>
            <w:vAlign w:val="center"/>
          </w:tcPr>
          <w:p>
            <w:pPr>
              <w:pStyle w:val="23"/>
              <w:rPr>
                <w:rFonts w:ascii="宋体" w:eastAsia="宋体" w:cs="Calibri" w:hAnsi="宋体" w:hint="eastAsia"/>
              </w:rPr>
            </w:pPr>
            <w:r>
              <w:rPr>
                <w:rFonts w:ascii="宋体" w:eastAsia="宋体" w:cs="Calibri" w:hAnsi="宋体"/>
              </w:rPr>
              <w:t>经费保障形式</w:t>
            </w:r>
          </w:p>
        </w:tc>
      </w:tr>
      <w:tr>
        <w:trPr>
          <w:trHeight w:val="369"/>
        </w:trPr>
        <w:tc>
          <w:tcPr>
            <w:tcW w:w="5669" w:type="dxa"/>
            <w:vAlign w:val="center"/>
          </w:tcPr>
          <w:p>
            <w:pPr>
              <w:pStyle w:val="25"/>
              <w:rPr>
                <w:rFonts w:ascii="宋体" w:eastAsia="宋体" w:cs="Calibri" w:hAnsi="宋体" w:hint="eastAsia"/>
              </w:rPr>
            </w:pPr>
            <w:r>
              <w:rPr>
                <w:rFonts w:ascii="宋体" w:eastAsia="宋体" w:cs="Calibri" w:hAnsi="宋体"/>
              </w:rPr>
              <w:t>涞源县土地整理和收购储备中心</w:t>
            </w:r>
          </w:p>
        </w:tc>
        <w:tc>
          <w:tcPr>
            <w:tcW w:w="1843"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事业</w:t>
            </w:r>
          </w:p>
        </w:tc>
        <w:tc>
          <w:tcPr>
            <w:tcW w:w="2126"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股级</w:t>
            </w:r>
          </w:p>
        </w:tc>
        <w:tc>
          <w:tcPr>
            <w:tcW w:w="3827" w:type="dxa"/>
            <w:tcBorders>
              <w:left w:val="single" w:sz="6" w:space="0" w:color="000000"/>
            </w:tcBorders>
            <w:vAlign w:val="center"/>
          </w:tcPr>
          <w:p>
            <w:pPr>
              <w:pStyle w:val="26"/>
              <w:rPr>
                <w:rFonts w:ascii="宋体" w:eastAsia="宋体" w:cs="Calibri" w:hAnsi="宋体" w:hint="eastAsia"/>
              </w:rPr>
            </w:pPr>
            <w:r>
              <w:rPr>
                <w:rFonts w:ascii="宋体" w:eastAsia="宋体" w:cs="Calibri" w:hAnsi="宋体"/>
              </w:rPr>
              <w:t>财政性资金零补助</w:t>
            </w:r>
          </w:p>
        </w:tc>
      </w:tr>
    </w:tbl>
    <w:p>
      <w:pPr>
        <w:spacing w:before="10" w:after="10"/>
        <w:ind w:firstLine="640"/>
        <w:outlineLvl w:val="5"/>
        <w:rPr>
          <w:rFonts w:ascii="宋体" w:eastAsia="宋体" w:cs="Calibri" w:hAnsi="宋体" w:hint="eastAsia"/>
        </w:rPr>
      </w:pPr>
      <w:r>
        <w:rPr>
          <w:rFonts w:ascii="宋体" w:eastAsia="宋体" w:cs="Calibri" w:hAnsi="宋体"/>
          <w:color w:val="000000"/>
          <w:sz w:val="32"/>
        </w:rPr>
        <w:t>二、单位预算安排的总体情况</w:t>
      </w:r>
    </w:p>
    <w:p>
      <w:pPr>
        <w:spacing w:line="500" w:lineRule="exact"/>
        <w:ind w:firstLine="560"/>
        <w:rPr>
          <w:rFonts w:ascii="宋体" w:eastAsia="宋体" w:cs="Calibri" w:hAnsi="宋体" w:hint="eastAsia"/>
        </w:rPr>
      </w:pPr>
      <w:r>
        <w:rPr>
          <w:rFonts w:ascii="宋体" w:eastAsia="宋体" w:cs="Calibri" w:hAnsi="宋体"/>
          <w:color w:val="000000"/>
          <w:sz w:val="28"/>
        </w:rPr>
        <w:t>按照预算管理有关规定，目前我</w:t>
      </w:r>
      <w:r>
        <w:rPr>
          <w:rFonts w:ascii="宋体" w:eastAsia="宋体" w:cs="Calibri" w:hAnsi="宋体"/>
          <w:color w:val="000000"/>
          <w:sz w:val="28"/>
          <w:lang w:eastAsia="zh-CN"/>
        </w:rPr>
        <w:t>县</w:t>
      </w:r>
      <w:r>
        <w:rPr>
          <w:rFonts w:ascii="宋体" w:eastAsia="宋体" w:cs="Calibri" w:hAnsi="宋体"/>
          <w:color w:val="000000"/>
          <w:sz w:val="28"/>
        </w:rPr>
        <w:t>单位预算的编制实行综合预算管理，即全部收入和支出都反映在预算中。</w:t>
      </w:r>
    </w:p>
    <w:p>
      <w:pPr>
        <w:pStyle w:val="39"/>
        <w:rPr>
          <w:rFonts w:ascii="宋体" w:eastAsia="宋体" w:cs="Calibri" w:hAnsi="宋体" w:hint="eastAsia"/>
        </w:rPr>
      </w:pPr>
    </w:p>
    <w:p>
      <w:pPr>
        <w:spacing w:before="10" w:after="10"/>
        <w:ind w:firstLine="640"/>
        <w:outlineLvl w:val="5"/>
        <w:rPr>
          <w:rFonts w:ascii="宋体" w:eastAsia="宋体" w:cs="Calibri" w:hAnsi="宋体" w:hint="eastAsia"/>
        </w:rPr>
      </w:pPr>
      <w:r>
        <w:rPr>
          <w:rFonts w:ascii="宋体" w:eastAsia="宋体" w:cs="Calibri" w:hAnsi="宋体"/>
          <w:color w:val="000000"/>
          <w:sz w:val="32"/>
        </w:rPr>
        <w:t>三、机关运行经费安排情况</w:t>
      </w:r>
    </w:p>
    <w:p>
      <w:pPr>
        <w:pStyle w:val="40"/>
        <w:rPr>
          <w:rFonts w:ascii="宋体" w:eastAsia="宋体" w:cs="Calibri" w:hAnsi="宋体" w:hint="eastAsia"/>
        </w:rPr>
      </w:pPr>
    </w:p>
    <w:p>
      <w:pPr>
        <w:spacing w:before="10" w:after="10"/>
        <w:ind w:firstLine="640"/>
        <w:outlineLvl w:val="5"/>
        <w:rPr>
          <w:rFonts w:ascii="宋体" w:eastAsia="宋体" w:cs="Calibri" w:hAnsi="宋体" w:hint="eastAsia"/>
        </w:rPr>
      </w:pPr>
      <w:r>
        <w:rPr>
          <w:rFonts w:ascii="宋体" w:eastAsia="宋体" w:cs="Calibri" w:hAnsi="宋体"/>
          <w:color w:val="000000"/>
          <w:sz w:val="32"/>
        </w:rPr>
        <w:t>四、财政拨款“三公”经费预算情况及增减变化原因</w:t>
      </w:r>
    </w:p>
    <w:p>
      <w:pPr>
        <w:pStyle w:val="41"/>
        <w:rPr>
          <w:rFonts w:ascii="宋体" w:eastAsia="宋体" w:cs="Calibri" w:hAnsi="宋体" w:hint="eastAsia"/>
        </w:rPr>
      </w:pPr>
    </w:p>
    <w:p>
      <w:pPr>
        <w:spacing w:before="10" w:after="10"/>
        <w:ind w:firstLine="640"/>
        <w:outlineLvl w:val="5"/>
        <w:rPr>
          <w:rFonts w:ascii="宋体" w:eastAsia="宋体" w:cs="Calibri" w:hAnsi="宋体" w:hint="eastAsia"/>
        </w:rPr>
        <w:sectPr>
          <w:pgSz w:w="16840" w:h="11900" w:orient="landscape"/>
          <w:pgMar w:top="1361" w:right="1020" w:bottom="1361" w:left="1020" w:header="720" w:footer="720" w:gutter="0"/>
          <w:cols w:num="1" w:space="720"/>
          <w:docGrid w:linePitch="326" w:charSpace="0"/>
        </w:sectPr>
      </w:pPr>
      <w:r>
        <w:rPr>
          <w:rFonts w:ascii="宋体" w:eastAsia="宋体" w:cs="Calibri" w:hAnsi="宋体"/>
          <w:color w:val="000000"/>
          <w:sz w:val="32"/>
        </w:rPr>
        <w:t>五、预算绩效信息</w:t>
      </w:r>
    </w:p>
    <w:p>
      <w:pPr>
        <w:ind w:firstLine="560"/>
        <w:rPr>
          <w:rFonts w:ascii="宋体" w:eastAsia="宋体" w:cs="Calibri" w:hAnsi="宋体" w:hint="eastAsia"/>
        </w:rPr>
      </w:pPr>
      <w:r>
        <w:rPr>
          <w:rFonts w:ascii="宋体" w:eastAsia="宋体" w:cs="Calibri" w:hAnsi="宋体"/>
          <w:b/>
          <w:color w:val="000000"/>
          <w:sz w:val="28"/>
        </w:rPr>
        <w:t>1、2023年国有土地收益基金支出。绩效目标表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1.及时支付各项土地征迁补偿，保障土地收储业务顺利进行，保障社会稳定</w:t>
              <w:tab/>
              <w:tab/>
              <w:tab/>
              <w:tab/>
              <w:tab/>
              <w:tab/>
            </w:r>
          </w:p>
          <w:p>
            <w:pPr>
              <w:pStyle w:val="25"/>
              <w:rPr>
                <w:rFonts w:ascii="宋体" w:eastAsia="宋体" w:cs="Calibri" w:hAnsi="宋体" w:hint="eastAsia"/>
              </w:rPr>
            </w:pP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支出完成率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按时有序支付</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≥90支出完成率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按时有序支付</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付款准确率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及时准确转入付息指定账户</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≥90付款准确率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及时准确转入付息指定账户</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≥90资金支付及时性</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项目资金支付率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≥90项目资金支付率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设施完好率(％)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设施完好率(％)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≥90设施完好率(％)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设施完好率(％)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督查项目建档率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年度建立项目督查档案数量占年度任务项目数量的比例</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≥90督查项目建档率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年度建立项目督查档案数量占年度任务项目数量的比例</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≥90监测数据合格率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持续发展率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建设持续发展程度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≥90持续发展率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建设持续发展程度</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企业满意度</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企业满意度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≥90企业满意度</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企业满意度</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ind w:firstLine="560"/>
        <w:rPr>
          <w:rFonts w:ascii="宋体" w:eastAsia="宋体" w:cs="Calibri" w:hAnsi="宋体" w:hint="eastAsia"/>
        </w:rPr>
      </w:pPr>
      <w:r>
        <w:rPr>
          <w:rFonts w:ascii="宋体" w:eastAsia="宋体" w:cs="Calibri" w:hAnsi="宋体"/>
          <w:b/>
          <w:color w:val="000000"/>
          <w:sz w:val="28"/>
        </w:rPr>
        <w:t>2、2023年征地和拆迁补偿。绩效目标表</w:t>
      </w:r>
    </w:p>
    <w:tbl>
      <w:tblPr>
        <w:jc w:val="center"/>
        <w:tblBorders>
          <w:top w:val="single" w:sz="6" w:space="0" w:color="000000"/>
          <w:left w:val="single" w:sz="6" w:space="0" w:color="000000"/>
          <w:bottom w:val="single" w:sz="6" w:space="0" w:color="FFFFFF"/>
          <w:right w:val="single" w:sz="6" w:space="0" w:color="000000"/>
          <w:insideH w:val="single" w:sz="4" w:space="0" w:color="auto"/>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12756"/>
      </w:tblGrid>
      <w:tr>
        <w:trPr>
          <w:trHeight w:val="397"/>
        </w:trPr>
        <w:tc>
          <w:tcPr>
            <w:tcW w:w="1417" w:type="dxa"/>
            <w:tcBorders>
              <w:bottom w:val="single" w:sz="6" w:space="0" w:color="FFFFFF"/>
            </w:tcBorders>
            <w:vAlign w:val="center"/>
          </w:tcPr>
          <w:p>
            <w:pPr>
              <w:pStyle w:val="23"/>
              <w:rPr>
                <w:rFonts w:ascii="宋体" w:eastAsia="宋体" w:cs="Calibri" w:hAnsi="宋体" w:hint="eastAsia"/>
              </w:rPr>
            </w:pPr>
            <w:r>
              <w:rPr>
                <w:rFonts w:ascii="宋体" w:eastAsia="宋体" w:cs="Calibri" w:hAnsi="宋体"/>
              </w:rPr>
              <w:t>绩效目标</w:t>
            </w:r>
          </w:p>
        </w:tc>
        <w:tc>
          <w:tcPr>
            <w:tcW w:w="12756" w:type="dxa"/>
            <w:tcBorders>
              <w:bottom w:val="single" w:sz="6" w:space="0" w:color="FFFFFF"/>
            </w:tcBorders>
            <w:vAlign w:val="center"/>
          </w:tcPr>
          <w:p>
            <w:pPr>
              <w:pStyle w:val="25"/>
              <w:rPr>
                <w:rFonts w:ascii="宋体" w:eastAsia="宋体" w:cs="Calibri" w:hAnsi="宋体" w:hint="eastAsia"/>
              </w:rPr>
            </w:pPr>
            <w:r>
              <w:rPr>
                <w:rFonts w:ascii="宋体" w:eastAsia="宋体" w:cs="Calibri" w:hAnsi="宋体"/>
              </w:rPr>
              <w:t>1.及时支付各项土地征地拆迁补偿，保障土地收储顺利进行，确保社会稳定</w:t>
              <w:tab/>
              <w:tab/>
              <w:tab/>
              <w:tab/>
              <w:tab/>
              <w:tab/>
            </w:r>
          </w:p>
          <w:p>
            <w:pPr>
              <w:pStyle w:val="25"/>
              <w:rPr>
                <w:rFonts w:ascii="宋体" w:eastAsia="宋体" w:cs="Calibri" w:hAnsi="宋体" w:hint="eastAsia"/>
              </w:rPr>
            </w:pPr>
          </w:p>
        </w:tc>
      </w:tr>
    </w:tbl>
    <w:p>
      <w:pPr>
        <w:spacing w:line="2" w:lineRule="exact"/>
        <w:jc w:val="center"/>
        <w:rPr>
          <w:rFonts w:ascii="宋体" w:eastAsia="宋体" w:cs="Calibri" w:hAnsi="宋体" w:hint="eastAsia"/>
        </w:rPr>
      </w:pPr>
      <w:r>
        <w:rPr>
          <w:rFonts w:ascii="宋体" w:eastAsia="宋体" w:cs="Calibri" w:hAnsi="宋体"/>
          <w:color w:val="000000"/>
          <w:sz w:val="18"/>
        </w:rPr>
        <w:t xml:space="preserve"> </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417"/>
        <w:gridCol w:w="2268"/>
        <w:gridCol w:w="2835"/>
        <w:gridCol w:w="2835"/>
        <w:gridCol w:w="2551"/>
        <w:gridCol w:w="2268"/>
      </w:tblGrid>
      <w:tr>
        <w:trPr>
          <w:trHeight w:val="397"/>
          <w:tblHeader/>
        </w:trPr>
        <w:tc>
          <w:tcPr>
            <w:tcW w:w="1417" w:type="dxa"/>
            <w:vAlign w:val="center"/>
          </w:tcPr>
          <w:p>
            <w:pPr>
              <w:pStyle w:val="23"/>
              <w:rPr>
                <w:rFonts w:ascii="宋体" w:eastAsia="宋体" w:cs="Calibri" w:hAnsi="宋体" w:hint="eastAsia"/>
              </w:rPr>
            </w:pPr>
            <w:r>
              <w:rPr>
                <w:rFonts w:ascii="宋体" w:eastAsia="宋体" w:cs="Calibri" w:hAnsi="宋体"/>
              </w:rPr>
              <w:t>一级指标</w:t>
            </w:r>
          </w:p>
        </w:tc>
        <w:tc>
          <w:tcPr>
            <w:tcW w:w="2268" w:type="dxa"/>
            <w:vAlign w:val="center"/>
          </w:tcPr>
          <w:p>
            <w:pPr>
              <w:pStyle w:val="23"/>
              <w:rPr>
                <w:rFonts w:ascii="宋体" w:eastAsia="宋体" w:cs="Calibri" w:hAnsi="宋体" w:hint="eastAsia"/>
              </w:rPr>
            </w:pPr>
            <w:r>
              <w:rPr>
                <w:rFonts w:ascii="宋体" w:eastAsia="宋体" w:cs="Calibri" w:hAnsi="宋体"/>
              </w:rPr>
              <w:t>二级指标</w:t>
            </w:r>
          </w:p>
        </w:tc>
        <w:tc>
          <w:tcPr>
            <w:tcW w:w="2835" w:type="dxa"/>
            <w:vAlign w:val="center"/>
          </w:tcPr>
          <w:p>
            <w:pPr>
              <w:pStyle w:val="23"/>
              <w:rPr>
                <w:rFonts w:ascii="宋体" w:eastAsia="宋体" w:cs="Calibri" w:hAnsi="宋体" w:hint="eastAsia"/>
              </w:rPr>
            </w:pPr>
            <w:r>
              <w:rPr>
                <w:rFonts w:ascii="宋体" w:eastAsia="宋体" w:cs="Calibri" w:hAnsi="宋体"/>
              </w:rPr>
              <w:t>三级指标</w:t>
            </w:r>
          </w:p>
        </w:tc>
        <w:tc>
          <w:tcPr>
            <w:tcW w:w="2835" w:type="dxa"/>
            <w:vAlign w:val="center"/>
          </w:tcPr>
          <w:p>
            <w:pPr>
              <w:pStyle w:val="23"/>
              <w:rPr>
                <w:rFonts w:ascii="宋体" w:eastAsia="宋体" w:cs="Calibri" w:hAnsi="宋体" w:hint="eastAsia"/>
              </w:rPr>
            </w:pPr>
            <w:r>
              <w:rPr>
                <w:rFonts w:ascii="宋体" w:eastAsia="宋体" w:cs="Calibri" w:hAnsi="宋体"/>
              </w:rPr>
              <w:t>绩效指标描述</w:t>
            </w:r>
          </w:p>
        </w:tc>
        <w:tc>
          <w:tcPr>
            <w:tcW w:w="2551" w:type="dxa"/>
            <w:vAlign w:val="center"/>
          </w:tcPr>
          <w:p>
            <w:pPr>
              <w:pStyle w:val="23"/>
              <w:rPr>
                <w:rFonts w:ascii="宋体" w:eastAsia="宋体" w:cs="Calibri" w:hAnsi="宋体" w:hint="eastAsia"/>
              </w:rPr>
            </w:pPr>
            <w:r>
              <w:rPr>
                <w:rFonts w:ascii="宋体" w:eastAsia="宋体" w:cs="Calibri" w:hAnsi="宋体"/>
              </w:rPr>
              <w:t>指标值</w:t>
            </w:r>
          </w:p>
        </w:tc>
        <w:tc>
          <w:tcPr>
            <w:tcW w:w="2268" w:type="dxa"/>
            <w:vAlign w:val="center"/>
          </w:tcPr>
          <w:p>
            <w:pPr>
              <w:pStyle w:val="23"/>
              <w:rPr>
                <w:rFonts w:ascii="宋体" w:eastAsia="宋体" w:cs="Calibri" w:hAnsi="宋体" w:hint="eastAsia"/>
              </w:rPr>
            </w:pPr>
            <w:r>
              <w:rPr>
                <w:rFonts w:ascii="宋体" w:eastAsia="宋体" w:cs="Calibri" w:hAnsi="宋体"/>
              </w:rPr>
              <w:t>指标值确定依据</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产出指标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数量指标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 </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≥90项目完成率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项目实际完成量占年度计划完成量的比例</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质量指标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项目验收合格率</w:t>
            </w:r>
          </w:p>
          <w:p>
            <w:pPr>
              <w:pStyle w:val="25"/>
              <w:rPr>
                <w:rFonts w:ascii="宋体" w:eastAsia="宋体" w:cs="Calibri" w:hAnsi="宋体" w:hint="eastAsia"/>
              </w:rPr>
            </w:pP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年度实际验收合格工程量占实际完成量的比率</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≥90项目验收合格率</w:t>
            </w:r>
          </w:p>
          <w:p>
            <w:pPr>
              <w:pStyle w:val="25"/>
              <w:rPr>
                <w:rFonts w:ascii="宋体" w:eastAsia="宋体" w:cs="Calibri" w:hAnsi="宋体" w:hint="eastAsia"/>
              </w:rPr>
            </w:p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年度实际验收合格工程量占实际完成量的比率</w:t>
            </w:r>
          </w:p>
          <w:p>
            <w:pPr>
              <w:pStyle w:val="25"/>
              <w:rPr>
                <w:rFonts w:ascii="宋体" w:eastAsia="宋体" w:cs="Calibri" w:hAnsi="宋体" w:hint="eastAsia"/>
              </w:rPr>
            </w:pP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时效指标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资金支付及时性</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≥90资金支付及时性</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资金支付的及时程度</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成本指标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项目资金支付率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≥90项目资金支付率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资金支付占总额的比率</w:t>
            </w:r>
          </w:p>
        </w:tc>
      </w:tr>
      <w:tr>
        <w:trPr>
          <w:trHeight w:val="397"/>
        </w:trPr>
        <w:tc>
          <w:tcPr>
            <w:tcW w:w="1417" w:type="dxa"/>
            <w:vMerge w:val="restart"/>
            <w:vAlign w:val="center"/>
          </w:tcPr>
          <w:p>
            <w:pPr>
              <w:pStyle w:val="26"/>
              <w:rPr>
                <w:rFonts w:ascii="宋体" w:eastAsia="宋体" w:cs="Calibri" w:hAnsi="宋体" w:hint="eastAsia"/>
              </w:rPr>
            </w:pPr>
            <w:r>
              <w:rPr>
                <w:rFonts w:ascii="宋体" w:eastAsia="宋体" w:cs="Calibri" w:hAnsi="宋体"/>
              </w:rPr>
              <w:t>效益指标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经济效益指标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综合利用率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≥90综合利用率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 xml:space="preserve">基础设施建成后的利用、使用情况 </w:t>
            </w:r>
          </w:p>
          <w:p>
            <w:pPr>
              <w:pStyle w:val="25"/>
              <w:rPr>
                <w:rFonts w:ascii="宋体" w:eastAsia="宋体" w:cs="Calibri" w:hAnsi="宋体" w:hint="eastAsia"/>
              </w:rPr>
            </w:pP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社会效益指标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督查项目建档率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年度建立项目督查档案数量占年度任务项目数量的比例</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≥90督查项目建档率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年度建立项目督查档案数量占年度任务项目数量的比例</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生态效益指标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≥90监测数据合格率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监测数据合格率</w:t>
            </w:r>
          </w:p>
        </w:tc>
      </w:tr>
      <w:tr>
        <w:trPr>
          <w:trHeight w:val="397"/>
        </w:trPr>
        <w:tc>
          <w:tcPr>
            <w:tcW w:w="1417" w:type="dxa"/>
            <w:vMerge/>
            <w:vAlign w:val="center"/>
          </w:tcP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可持续影响指标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持续发展率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建设持续发展程度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≥90持续发展率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建设持续发展程度</w:t>
            </w:r>
          </w:p>
        </w:tc>
      </w:tr>
      <w:tr>
        <w:trPr>
          <w:trHeight w:val="397"/>
        </w:trPr>
        <w:tc>
          <w:tcPr>
            <w:tcW w:w="1417" w:type="dxa"/>
            <w:vAlign w:val="center"/>
          </w:tcPr>
          <w:p>
            <w:pPr>
              <w:pStyle w:val="26"/>
              <w:rPr>
                <w:rFonts w:ascii="宋体" w:eastAsia="宋体" w:cs="Calibri" w:hAnsi="宋体" w:hint="eastAsia"/>
              </w:rPr>
            </w:pPr>
            <w:r>
              <w:rPr>
                <w:rFonts w:ascii="宋体" w:eastAsia="宋体" w:cs="Calibri" w:hAnsi="宋体"/>
              </w:rPr>
              <w:t>满意度指标</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服务对象满意度指标</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企业满意度</w:t>
            </w:r>
          </w:p>
        </w:tc>
        <w:tc>
          <w:tcPr>
            <w:tcW w:w="2835"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企业满意度</w:t>
            </w:r>
          </w:p>
        </w:tc>
        <w:tc>
          <w:tcPr>
            <w:tcW w:w="2551"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≥90企业满意度</w:t>
            </w:r>
          </w:p>
        </w:tc>
        <w:tc>
          <w:tcPr>
            <w:tcW w:w="2268" w:type="dxa"/>
            <w:tcBorders>
              <w:left w:val="single" w:sz="6" w:space="0" w:color="000000"/>
            </w:tcBorders>
            <w:vAlign w:val="center"/>
          </w:tcPr>
          <w:p>
            <w:pPr>
              <w:pStyle w:val="25"/>
              <w:rPr>
                <w:rFonts w:ascii="宋体" w:eastAsia="宋体" w:cs="Calibri" w:hAnsi="宋体" w:hint="eastAsia"/>
              </w:rPr>
            </w:pPr>
            <w:r>
              <w:rPr>
                <w:rFonts w:ascii="宋体" w:eastAsia="宋体" w:cs="Calibri" w:hAnsi="宋体"/>
              </w:rPr>
              <w:t>企业满意度</w:t>
            </w:r>
          </w:p>
        </w:tc>
      </w:tr>
    </w:tbl>
    <w:p>
      <w:pPr>
        <w:rPr>
          <w:rFonts w:ascii="宋体" w:eastAsia="宋体" w:cs="Calibri" w:hAnsi="宋体" w:hint="eastAsia"/>
        </w:rPr>
        <w:sectPr>
          <w:pgSz w:w="16840" w:h="11900" w:orient="landscape"/>
          <w:pgMar w:top="1361" w:right="1020" w:bottom="1134" w:left="1020" w:header="720" w:footer="720" w:gutter="0"/>
          <w:cols w:num="1" w:space="720"/>
          <w:docGrid w:linePitch="326" w:charSpace="0"/>
        </w:sectPr>
      </w:pPr>
    </w:p>
    <w:p>
      <w:pPr>
        <w:spacing w:before="10" w:after="10"/>
        <w:ind w:firstLine="640"/>
        <w:outlineLvl w:val="5"/>
        <w:rPr>
          <w:rFonts w:ascii="宋体" w:eastAsia="宋体" w:cs="Calibri" w:hAnsi="宋体" w:hint="eastAsia"/>
        </w:rPr>
      </w:pPr>
      <w:r>
        <w:rPr>
          <w:rFonts w:ascii="宋体" w:eastAsia="宋体" w:cs="Calibri" w:hAnsi="宋体"/>
          <w:color w:val="000000"/>
          <w:sz w:val="32"/>
        </w:rPr>
        <w:t>六、政府采购预算情况</w:t>
      </w:r>
    </w:p>
    <w:p>
      <w:pPr>
        <w:spacing w:line="500" w:lineRule="exact"/>
        <w:ind w:firstLine="560"/>
        <w:rPr>
          <w:rFonts w:ascii="宋体" w:eastAsia="宋体" w:cs="Calibri" w:hAnsi="宋体" w:hint="eastAsia"/>
        </w:rPr>
      </w:pPr>
      <w:r>
        <w:rPr>
          <w:rFonts w:ascii="宋体" w:eastAsia="宋体" w:cs="Calibri" w:hAnsi="宋体"/>
          <w:color w:val="000000"/>
          <w:sz w:val="28"/>
        </w:rPr>
        <w:t>2023年，涞源县土地整理和收购储备中心安排政府采购预算0.00万元。具体内容见下表。</w:t>
      </w:r>
    </w:p>
    <w:p>
      <w:pPr>
        <w:jc w:val="center"/>
        <w:rPr>
          <w:rFonts w:ascii="宋体" w:eastAsia="宋体" w:cs="Calibri" w:hAnsi="宋体" w:hint="eastAsia"/>
        </w:rPr>
      </w:pPr>
      <w:r>
        <w:rPr>
          <w:rFonts w:ascii="宋体" w:eastAsia="宋体" w:cs="Calibri" w:hAnsi="宋体"/>
          <w:color w:val="000000"/>
          <w:sz w:val="36"/>
        </w:rPr>
        <w:t>单位政府采购预算</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1701"/>
        <w:gridCol w:w="964"/>
        <w:gridCol w:w="1134"/>
        <w:gridCol w:w="1134"/>
        <w:gridCol w:w="709"/>
        <w:gridCol w:w="850"/>
        <w:gridCol w:w="850"/>
        <w:gridCol w:w="964"/>
        <w:gridCol w:w="964"/>
        <w:gridCol w:w="964"/>
        <w:gridCol w:w="964"/>
        <w:gridCol w:w="964"/>
        <w:gridCol w:w="964"/>
        <w:gridCol w:w="964"/>
        <w:gridCol w:w="964"/>
        <w:gridCol w:w="964"/>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8674" w:type="dxa"/>
            <w:gridSpan w:val="9"/>
            <w:tcBorders>
              <w:top w:val="single" w:sz="6" w:space="0" w:color="FFFFFF"/>
              <w:left w:val="single" w:sz="6" w:space="0" w:color="FFFFFF"/>
              <w:right w:val="single" w:sz="6" w:space="0" w:color="FFFFFF"/>
            </w:tcBorders>
            <w:vAlign w:val="center"/>
          </w:tcPr>
          <w:p>
            <w:pPr>
              <w:pStyle w:val="37"/>
              <w:rPr>
                <w:rFonts w:ascii="宋体" w:eastAsia="宋体" w:cs="Calibri" w:hAnsi="宋体" w:hint="eastAsia"/>
              </w:rPr>
            </w:pPr>
            <w:r>
              <w:rPr>
                <w:rFonts w:ascii="宋体" w:eastAsia="宋体" w:cs="Calibri" w:hAnsi="宋体"/>
              </w:rPr>
              <w:t>单位：万元</w:t>
            </w:r>
          </w:p>
        </w:tc>
      </w:tr>
      <w:tr>
        <w:trPr>
          <w:cantSplit/>
          <w:tblHeader/>
        </w:trPr>
        <w:tc>
          <w:tcPr>
            <w:tcW w:w="2665" w:type="dxa"/>
            <w:gridSpan w:val="2"/>
            <w:vAlign w:val="center"/>
          </w:tcPr>
          <w:p>
            <w:pPr>
              <w:pStyle w:val="23"/>
              <w:rPr>
                <w:rFonts w:ascii="宋体" w:eastAsia="宋体" w:cs="Calibri" w:hAnsi="宋体" w:hint="eastAsia"/>
              </w:rPr>
            </w:pPr>
            <w:r>
              <w:rPr>
                <w:rFonts w:ascii="宋体" w:eastAsia="宋体" w:cs="Calibri" w:hAnsi="宋体"/>
              </w:rPr>
              <w:t>政府采购项目来源</w:t>
            </w:r>
          </w:p>
        </w:tc>
        <w:tc>
          <w:tcPr>
            <w:tcW w:w="1134"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采购物品名称</w:t>
            </w:r>
          </w:p>
        </w:tc>
        <w:tc>
          <w:tcPr>
            <w:tcW w:w="1134"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政府采购目录序号</w:t>
            </w:r>
          </w:p>
        </w:tc>
        <w:tc>
          <w:tcPr>
            <w:tcW w:w="709"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计量  单位</w:t>
            </w:r>
          </w:p>
        </w:tc>
        <w:tc>
          <w:tcPr>
            <w:tcW w:w="850"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数量</w:t>
            </w:r>
          </w:p>
        </w:tc>
        <w:tc>
          <w:tcPr>
            <w:tcW w:w="850"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单价</w:t>
            </w:r>
          </w:p>
        </w:tc>
        <w:tc>
          <w:tcPr>
            <w:tcW w:w="7710" w:type="dxa"/>
            <w:gridSpan w:val="8"/>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政府采购金额（当年部门预算安排资金）</w:t>
            </w:r>
          </w:p>
        </w:tc>
        <w:tc>
          <w:tcPr>
            <w:tcW w:w="964" w:type="dxa"/>
            <w:vMerge w:val="restart"/>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2023年  预留中  小微企  业份额</w:t>
            </w:r>
          </w:p>
        </w:tc>
      </w:tr>
      <w:tr>
        <w:trPr>
          <w:cantSplit/>
          <w:tblHeader/>
        </w:trPr>
        <w:tc>
          <w:tcPr>
            <w:tcW w:w="1701" w:type="dxa"/>
            <w:vAlign w:val="center"/>
          </w:tcPr>
          <w:p>
            <w:pPr>
              <w:pStyle w:val="23"/>
              <w:rPr>
                <w:rFonts w:ascii="宋体" w:eastAsia="宋体" w:cs="Calibri" w:hAnsi="宋体" w:hint="eastAsia"/>
              </w:rPr>
            </w:pPr>
            <w:r>
              <w:rPr>
                <w:rFonts w:ascii="宋体" w:eastAsia="宋体" w:cs="Calibri" w:hAnsi="宋体"/>
              </w:rPr>
              <w:t>项目名称</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预算    资金</w:t>
            </w:r>
          </w:p>
        </w:tc>
        <w:tc>
          <w:tcPr>
            <w:tcW w:w="1134" w:type="dxa"/>
            <w:vMerge/>
            <w:tcBorders>
              <w:left w:val="single" w:sz="6" w:space="0" w:color="000000"/>
            </w:tcBorders>
          </w:tcPr>
          <w:p/>
        </w:tc>
        <w:tc>
          <w:tcPr>
            <w:tcW w:w="1134" w:type="dxa"/>
            <w:vMerge/>
            <w:tcBorders>
              <w:left w:val="single" w:sz="6" w:space="0" w:color="000000"/>
            </w:tcBorders>
          </w:tcPr>
          <w:p/>
        </w:tc>
        <w:tc>
          <w:tcPr>
            <w:tcW w:w="709" w:type="dxa"/>
            <w:vMerge/>
            <w:tcBorders>
              <w:left w:val="single" w:sz="6" w:space="0" w:color="000000"/>
            </w:tcBorders>
          </w:tcPr>
          <w:p/>
        </w:tc>
        <w:tc>
          <w:tcPr>
            <w:tcW w:w="850" w:type="dxa"/>
            <w:vMerge/>
            <w:tcBorders>
              <w:left w:val="single" w:sz="6" w:space="0" w:color="000000"/>
            </w:tcBorders>
          </w:tcPr>
          <w:p/>
        </w:tc>
        <w:tc>
          <w:tcPr>
            <w:tcW w:w="850" w:type="dxa"/>
            <w:vMerge/>
            <w:tcBorders>
              <w:left w:val="single" w:sz="6" w:space="0" w:color="000000"/>
            </w:tcBorders>
          </w:tcP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合计</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一般公共预算拨款</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基金预算拨款</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国有资本经营预算拨款</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财政专户核拨</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单位    资金</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财政拨    款结转</w:t>
            </w:r>
          </w:p>
        </w:tc>
        <w:tc>
          <w:tcPr>
            <w:tcW w:w="964"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非财政    拨款结    转结余</w:t>
            </w:r>
          </w:p>
        </w:tc>
        <w:tc>
          <w:tcPr>
            <w:tcW w:w="964" w:type="dxa"/>
            <w:vMerge/>
            <w:tcBorders>
              <w:left w:val="single" w:sz="6" w:space="0" w:color="000000"/>
            </w:tcBorders>
          </w:tcPr>
          <w:p/>
        </w:tc>
      </w:tr>
      <w:tr>
        <w:trPr>
          <w:cantSplit/>
        </w:trPr>
        <w:tc>
          <w:tcPr>
            <w:tcW w:w="1701" w:type="dxa"/>
            <w:vAlign w:val="center"/>
          </w:tcPr>
          <w:p>
            <w:pPr>
              <w:pStyle w:val="25"/>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1134" w:type="dxa"/>
            <w:tcBorders>
              <w:left w:val="single" w:sz="6" w:space="0" w:color="000000"/>
            </w:tcBorders>
            <w:vAlign w:val="center"/>
          </w:tcPr>
          <w:p>
            <w:pPr>
              <w:pStyle w:val="25"/>
              <w:rPr>
                <w:rFonts w:ascii="宋体" w:eastAsia="宋体" w:cs="Calibri" w:hAnsi="宋体" w:hint="eastAsia"/>
              </w:rPr>
            </w:pPr>
          </w:p>
        </w:tc>
        <w:tc>
          <w:tcPr>
            <w:tcW w:w="1134" w:type="dxa"/>
            <w:tcBorders>
              <w:left w:val="single" w:sz="6" w:space="0" w:color="000000"/>
            </w:tcBorders>
            <w:vAlign w:val="center"/>
          </w:tcPr>
          <w:p>
            <w:pPr>
              <w:pStyle w:val="25"/>
              <w:rPr>
                <w:rFonts w:ascii="宋体" w:eastAsia="宋体" w:cs="Calibri" w:hAnsi="宋体" w:hint="eastAsia"/>
              </w:rPr>
            </w:pPr>
          </w:p>
        </w:tc>
        <w:tc>
          <w:tcPr>
            <w:tcW w:w="709" w:type="dxa"/>
            <w:tcBorders>
              <w:left w:val="single" w:sz="6" w:space="0" w:color="000000"/>
            </w:tcBorders>
            <w:vAlign w:val="center"/>
          </w:tcPr>
          <w:p>
            <w:pPr>
              <w:pStyle w:val="26"/>
              <w:rPr>
                <w:rFonts w:ascii="宋体" w:eastAsia="宋体" w:cs="Calibri" w:hAnsi="宋体" w:hint="eastAsia"/>
              </w:rPr>
            </w:pPr>
          </w:p>
        </w:tc>
        <w:tc>
          <w:tcPr>
            <w:tcW w:w="850" w:type="dxa"/>
            <w:tcBorders>
              <w:left w:val="single" w:sz="6" w:space="0" w:color="000000"/>
            </w:tcBorders>
            <w:vAlign w:val="center"/>
          </w:tcPr>
          <w:p>
            <w:pPr>
              <w:pStyle w:val="24"/>
              <w:rPr>
                <w:rFonts w:ascii="宋体" w:eastAsia="宋体" w:cs="Calibri" w:hAnsi="宋体" w:hint="eastAsia"/>
              </w:rPr>
            </w:pPr>
          </w:p>
        </w:tc>
        <w:tc>
          <w:tcPr>
            <w:tcW w:w="850"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c>
          <w:tcPr>
            <w:tcW w:w="964" w:type="dxa"/>
            <w:tcBorders>
              <w:left w:val="single" w:sz="6" w:space="0" w:color="000000"/>
            </w:tcBorders>
            <w:vAlign w:val="center"/>
          </w:tcPr>
          <w:p>
            <w:pPr>
              <w:pStyle w:val="24"/>
              <w:rPr>
                <w:rFonts w:ascii="宋体" w:eastAsia="宋体" w:cs="Calibri" w:hAnsi="宋体" w:hint="eastAsia"/>
              </w:rPr>
            </w:pPr>
          </w:p>
        </w:tc>
      </w:tr>
    </w:tbl>
    <w:p>
      <w:pPr>
        <w:spacing w:line="500" w:lineRule="exact"/>
        <w:ind w:firstLine="420"/>
        <w:rPr>
          <w:rFonts w:ascii="宋体" w:eastAsia="宋体" w:cs="Calibri" w:hAnsi="宋体" w:hint="eastAsia"/>
        </w:rPr>
      </w:pPr>
      <w:r>
        <w:rPr>
          <w:rFonts w:ascii="宋体" w:eastAsia="宋体" w:cs="Calibri" w:hAnsi="宋体"/>
          <w:color w:val="000000"/>
          <w:sz w:val="21"/>
        </w:rPr>
        <w:t>注：同一采购目录序号的物品，其单价会因配置规格不同而变动，均符合资产配置标准。涉密采购事项按照相关规定执行。</w:t>
      </w:r>
    </w:p>
    <w:p>
      <w:pPr>
        <w:ind w:firstLine="420"/>
        <w:rPr>
          <w:rFonts w:ascii="宋体" w:eastAsia="宋体" w:cs="Calibri" w:hAnsi="宋体" w:hint="eastAsia"/>
        </w:rPr>
      </w:pPr>
      <w:r>
        <w:rPr>
          <w:rFonts w:ascii="宋体" w:eastAsia="宋体" w:cs="Calibri" w:hAnsi="宋体"/>
          <w:color w:val="000000"/>
          <w:sz w:val="21"/>
        </w:rPr>
        <w:t>注：无政府采购预算，空表列示。</w:t>
      </w:r>
    </w:p>
    <w:p>
      <w:pPr>
        <w:ind w:firstLine="640"/>
        <w:rPr>
          <w:rFonts w:ascii="宋体" w:eastAsia="宋体" w:cs="Calibri" w:hAnsi="宋体" w:hint="eastAsia"/>
        </w:rPr>
      </w:pPr>
      <w:r>
        <w:rPr>
          <w:rFonts w:ascii="宋体" w:eastAsia="宋体" w:cs="Calibri" w:hAnsi="宋体"/>
          <w:color w:val="000000"/>
          <w:sz w:val="32"/>
        </w:rPr>
        <w:t xml:space="preserve"> </w:t>
      </w:r>
    </w:p>
    <w:p>
      <w:pPr>
        <w:spacing w:before="10" w:after="10"/>
        <w:ind w:firstLine="640"/>
        <w:outlineLvl w:val="5"/>
        <w:rPr>
          <w:rFonts w:ascii="宋体" w:eastAsia="宋体" w:cs="Calibri" w:hAnsi="宋体" w:hint="eastAsia"/>
        </w:rPr>
      </w:pPr>
      <w:r>
        <w:rPr>
          <w:rFonts w:ascii="宋体" w:eastAsia="宋体" w:cs="Calibri" w:hAnsi="宋体"/>
          <w:color w:val="000000"/>
          <w:sz w:val="32"/>
        </w:rPr>
        <w:t>七、国有资产信息</w:t>
      </w:r>
    </w:p>
    <w:p>
      <w:pPr>
        <w:spacing w:line="500" w:lineRule="exact"/>
        <w:ind w:firstLine="560"/>
        <w:rPr>
          <w:rFonts w:ascii="宋体" w:eastAsia="宋体" w:cs="Calibri" w:hAnsi="宋体" w:hint="eastAsia"/>
        </w:rPr>
      </w:pPr>
      <w:r>
        <w:rPr>
          <w:rFonts w:ascii="宋体" w:eastAsia="宋体" w:cs="Calibri" w:hAnsi="宋体"/>
          <w:color w:val="000000"/>
          <w:sz w:val="28"/>
        </w:rPr>
        <w:t>涞源县土地整理和收购储备中心上年末固定资产金额为0.00万元（详见下表）。本年度拟购置固定资产总额为0.00万元，已按要求列入政府采购预算，详见政府采购预算表。</w:t>
      </w:r>
    </w:p>
    <w:p>
      <w:pPr>
        <w:jc w:val="center"/>
        <w:rPr>
          <w:rFonts w:ascii="宋体" w:eastAsia="宋体" w:cs="Calibri" w:hAnsi="宋体" w:hint="eastAsia"/>
        </w:rPr>
      </w:pPr>
      <w:r>
        <w:rPr>
          <w:rFonts w:ascii="宋体" w:eastAsia="宋体" w:cs="Calibri" w:hAnsi="宋体"/>
          <w:color w:val="000000"/>
          <w:sz w:val="36"/>
        </w:rPr>
        <w:t>单位固定资产占用情况表</w:t>
      </w:r>
    </w:p>
    <w:tbl>
      <w:tblPr>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108" w:type="dxa"/>
          <w:bottom w:w="0" w:type="dxa"/>
          <w:right w:w="108" w:type="dxa"/>
        </w:tblCellMar>
        <w:tblLook w:val="04A0" w:firstRow="1" w:lastRow="0" w:firstColumn="1" w:lastColumn="0" w:noHBand="0" w:noVBand="1"/>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22"/>
              <w:rPr>
                <w:rFonts w:ascii="宋体" w:eastAsia="宋体" w:cs="Calibri" w:hAnsi="宋体" w:hint="eastAsia"/>
              </w:rPr>
            </w:pPr>
            <w:r>
              <w:rPr>
                <w:rFonts w:ascii="宋体" w:eastAsia="宋体" w:cs="Calibri" w:hAnsi="宋体"/>
              </w:rPr>
              <w:t>324005涞源县土地整理和收购储备中心</w:t>
            </w:r>
          </w:p>
        </w:tc>
        <w:tc>
          <w:tcPr>
            <w:tcW w:w="5669" w:type="dxa"/>
            <w:gridSpan w:val="2"/>
            <w:tcBorders>
              <w:top w:val="single" w:sz="6" w:space="0" w:color="FFFFFF"/>
              <w:left w:val="single" w:sz="6" w:space="0" w:color="FFFFFF"/>
              <w:right w:val="single" w:sz="6" w:space="0" w:color="FFFFFF"/>
            </w:tcBorders>
            <w:vAlign w:val="center"/>
          </w:tcPr>
          <w:p>
            <w:pPr>
              <w:pStyle w:val="20"/>
              <w:rPr>
                <w:rFonts w:ascii="宋体" w:eastAsia="宋体" w:cs="Calibri" w:hAnsi="宋体" w:hint="eastAsia"/>
              </w:rPr>
            </w:pPr>
            <w:r>
              <w:rPr>
                <w:rFonts w:ascii="宋体" w:eastAsia="宋体" w:cs="Calibri" w:hAnsi="宋体"/>
              </w:rPr>
              <w:t>截止时间：2022-12-31</w:t>
            </w:r>
          </w:p>
        </w:tc>
      </w:tr>
      <w:tr>
        <w:trPr>
          <w:tblHeader/>
        </w:trPr>
        <w:tc>
          <w:tcPr>
            <w:tcW w:w="7370" w:type="dxa"/>
            <w:vAlign w:val="center"/>
          </w:tcPr>
          <w:p>
            <w:pPr>
              <w:pStyle w:val="23"/>
              <w:rPr>
                <w:rFonts w:ascii="宋体" w:eastAsia="宋体" w:cs="Calibri" w:hAnsi="宋体" w:hint="eastAsia"/>
              </w:rPr>
            </w:pPr>
            <w:r>
              <w:rPr>
                <w:rFonts w:ascii="宋体" w:eastAsia="宋体" w:cs="Calibri" w:hAnsi="宋体"/>
              </w:rPr>
              <w:t>项   目</w:t>
            </w:r>
          </w:p>
        </w:tc>
        <w:tc>
          <w:tcPr>
            <w:tcW w:w="28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数量</w:t>
            </w:r>
          </w:p>
        </w:tc>
        <w:tc>
          <w:tcPr>
            <w:tcW w:w="2835" w:type="dxa"/>
            <w:tcBorders>
              <w:left w:val="single" w:sz="6" w:space="0" w:color="000000"/>
            </w:tcBorders>
            <w:vAlign w:val="center"/>
          </w:tcPr>
          <w:p>
            <w:pPr>
              <w:pStyle w:val="23"/>
              <w:rPr>
                <w:rFonts w:ascii="宋体" w:eastAsia="宋体" w:cs="Calibri" w:hAnsi="宋体" w:hint="eastAsia"/>
              </w:rPr>
            </w:pPr>
            <w:r>
              <w:rPr>
                <w:rFonts w:ascii="宋体" w:eastAsia="宋体" w:cs="Calibri" w:hAnsi="宋体"/>
              </w:rPr>
              <w:t>价值（金额单位：万元）</w:t>
            </w:r>
          </w:p>
        </w:tc>
      </w:tr>
      <w:tr>
        <w:tc>
          <w:tcPr>
            <w:tcW w:w="7370" w:type="dxa"/>
            <w:vAlign w:val="center"/>
          </w:tcPr>
          <w:p>
            <w:pPr>
              <w:pStyle w:val="25"/>
              <w:rPr>
                <w:rFonts w:ascii="宋体" w:eastAsia="宋体" w:cs="Calibri" w:hAnsi="宋体" w:hint="eastAsia"/>
              </w:rPr>
            </w:pPr>
          </w:p>
        </w:tc>
        <w:tc>
          <w:tcPr>
            <w:tcW w:w="2835" w:type="dxa"/>
            <w:tcBorders>
              <w:left w:val="single" w:sz="6" w:space="0" w:color="000000"/>
            </w:tcBorders>
            <w:vAlign w:val="center"/>
          </w:tcPr>
          <w:p>
            <w:pPr>
              <w:pStyle w:val="26"/>
              <w:rPr>
                <w:rFonts w:ascii="宋体" w:eastAsia="宋体" w:cs="Calibri" w:hAnsi="宋体" w:hint="eastAsia"/>
              </w:rPr>
            </w:pPr>
          </w:p>
        </w:tc>
        <w:tc>
          <w:tcPr>
            <w:tcW w:w="2835" w:type="dxa"/>
            <w:tcBorders>
              <w:left w:val="single" w:sz="6" w:space="0" w:color="000000"/>
            </w:tcBorders>
            <w:vAlign w:val="center"/>
          </w:tcPr>
          <w:p>
            <w:pPr>
              <w:pStyle w:val="24"/>
              <w:rPr>
                <w:rFonts w:ascii="宋体" w:eastAsia="宋体" w:cs="Calibri" w:hAnsi="宋体" w:hint="eastAsia"/>
              </w:rPr>
            </w:pPr>
          </w:p>
        </w:tc>
      </w:tr>
    </w:tbl>
    <w:p>
      <w:pPr>
        <w:ind w:firstLine="420"/>
        <w:rPr>
          <w:rFonts w:ascii="宋体" w:eastAsia="宋体" w:cs="Calibri" w:hAnsi="宋体" w:hint="eastAsia"/>
        </w:rPr>
      </w:pPr>
      <w:r>
        <w:rPr>
          <w:rFonts w:ascii="宋体" w:eastAsia="宋体" w:cs="Calibri" w:hAnsi="宋体"/>
          <w:color w:val="000000"/>
          <w:sz w:val="21"/>
        </w:rPr>
        <w:t>注：无固定资产占用情况，空表列示。</w:t>
      </w:r>
    </w:p>
    <w:p>
      <w:pPr>
        <w:ind w:firstLine="640"/>
        <w:rPr>
          <w:rFonts w:ascii="宋体" w:eastAsia="宋体" w:cs="Calibri" w:hAnsi="宋体" w:hint="eastAsia"/>
        </w:rPr>
      </w:pPr>
      <w:r>
        <w:rPr>
          <w:rFonts w:ascii="宋体" w:eastAsia="宋体" w:cs="Calibri" w:hAnsi="宋体"/>
          <w:color w:val="000000"/>
          <w:sz w:val="32"/>
        </w:rPr>
        <w:t xml:space="preserve"> </w:t>
      </w:r>
    </w:p>
    <w:p>
      <w:pPr>
        <w:spacing w:before="10" w:after="10"/>
        <w:ind w:firstLine="640"/>
        <w:outlineLvl w:val="5"/>
        <w:rPr>
          <w:rFonts w:ascii="宋体" w:eastAsia="宋体" w:cs="Calibri" w:hAnsi="宋体" w:hint="eastAsia"/>
        </w:rPr>
      </w:pPr>
      <w:r>
        <w:rPr>
          <w:rFonts w:ascii="宋体" w:eastAsia="宋体" w:cs="Calibri" w:hAnsi="宋体"/>
          <w:color w:val="000000"/>
          <w:sz w:val="32"/>
        </w:rPr>
        <w:t>八、名词解释</w:t>
      </w:r>
    </w:p>
    <w:p>
      <w:pPr>
        <w:spacing w:line="500" w:lineRule="exact"/>
        <w:ind w:firstLine="560"/>
        <w:rPr>
          <w:rFonts w:ascii="宋体" w:eastAsia="宋体" w:cs="Calibri" w:hAnsi="宋体" w:hint="eastAsia"/>
        </w:rPr>
      </w:pPr>
      <w:r>
        <w:rPr>
          <w:rFonts w:ascii="宋体" w:eastAsia="宋体" w:cs="Calibri" w:hAnsi="宋体"/>
          <w:color w:val="000000"/>
          <w:sz w:val="28"/>
        </w:rPr>
        <w:t>1、</w:t>
      </w:r>
      <w:r>
        <w:rPr>
          <w:rFonts w:ascii="宋体" w:eastAsia="宋体" w:cs="Calibri" w:hAnsi="宋体"/>
          <w:b/>
          <w:color w:val="000000"/>
          <w:sz w:val="28"/>
        </w:rPr>
        <w:t>一般公共预算拨款收入：</w:t>
      </w:r>
      <w:r>
        <w:rPr>
          <w:rFonts w:ascii="宋体" w:eastAsia="宋体" w:cs="Calibri" w:hAnsi="宋体"/>
          <w:color w:val="000000"/>
          <w:sz w:val="28"/>
        </w:rPr>
        <w:t>指</w:t>
      </w:r>
      <w:r>
        <w:rPr>
          <w:rFonts w:ascii="宋体" w:eastAsia="宋体" w:cs="Calibri" w:hAnsi="宋体"/>
          <w:color w:val="000000"/>
          <w:sz w:val="28"/>
          <w:lang w:eastAsia="zh-CN"/>
        </w:rPr>
        <w:t>县</w:t>
      </w:r>
      <w:r>
        <w:rPr>
          <w:rFonts w:ascii="宋体" w:eastAsia="宋体" w:cs="Calibri" w:hAnsi="宋体"/>
          <w:color w:val="000000"/>
          <w:sz w:val="28"/>
        </w:rPr>
        <w:t>级财政当年拨付的资金。</w:t>
      </w:r>
    </w:p>
    <w:p>
      <w:pPr>
        <w:spacing w:line="500" w:lineRule="exact"/>
        <w:ind w:firstLine="560"/>
        <w:rPr>
          <w:rFonts w:ascii="宋体" w:eastAsia="宋体" w:cs="Calibri" w:hAnsi="宋体" w:hint="eastAsia"/>
        </w:rPr>
      </w:pPr>
      <w:r>
        <w:rPr>
          <w:rFonts w:ascii="宋体" w:eastAsia="宋体" w:cs="Calibri" w:hAnsi="宋体"/>
          <w:color w:val="000000"/>
          <w:sz w:val="28"/>
        </w:rPr>
        <w:t>2、</w:t>
      </w:r>
      <w:r>
        <w:rPr>
          <w:rFonts w:ascii="宋体" w:eastAsia="宋体" w:cs="Calibri" w:hAnsi="宋体"/>
          <w:b/>
          <w:color w:val="000000"/>
          <w:sz w:val="28"/>
        </w:rPr>
        <w:t>事业收入：</w:t>
      </w:r>
      <w:r>
        <w:rPr>
          <w:rFonts w:ascii="宋体" w:eastAsia="宋体" w:cs="Calibri" w:hAnsi="宋体"/>
          <w:color w:val="000000"/>
          <w:sz w:val="28"/>
        </w:rPr>
        <w:t>指事业单位开展专业业务活动及辅助活动所取得的收入。</w:t>
      </w:r>
    </w:p>
    <w:p>
      <w:pPr>
        <w:spacing w:line="500" w:lineRule="exact"/>
        <w:ind w:firstLine="560"/>
        <w:rPr>
          <w:rFonts w:ascii="宋体" w:eastAsia="宋体" w:cs="Calibri" w:hAnsi="宋体" w:hint="eastAsia"/>
        </w:rPr>
      </w:pPr>
      <w:r>
        <w:rPr>
          <w:rFonts w:ascii="宋体" w:eastAsia="宋体" w:cs="Calibri" w:hAnsi="宋体"/>
          <w:color w:val="000000"/>
          <w:sz w:val="28"/>
        </w:rPr>
        <w:t>3、</w:t>
      </w:r>
      <w:r>
        <w:rPr>
          <w:rFonts w:ascii="宋体" w:eastAsia="宋体" w:cs="Calibri" w:hAnsi="宋体"/>
          <w:b/>
          <w:color w:val="000000"/>
          <w:sz w:val="28"/>
        </w:rPr>
        <w:t>其他收入：</w:t>
      </w:r>
      <w:r>
        <w:rPr>
          <w:rFonts w:ascii="宋体" w:eastAsia="宋体" w:cs="Calibri" w:hAnsi="宋体"/>
          <w:color w:val="000000"/>
          <w:sz w:val="28"/>
        </w:rPr>
        <w:t>指除“一般公共预算拨款收入”、“事业收入”等以外的收入。主要是按规定动用的租房收入、存款利息收入等。</w:t>
      </w:r>
    </w:p>
    <w:p>
      <w:pPr>
        <w:spacing w:line="500" w:lineRule="exact"/>
        <w:ind w:firstLine="560"/>
        <w:rPr>
          <w:rFonts w:ascii="宋体" w:eastAsia="宋体" w:cs="Calibri" w:hAnsi="宋体" w:hint="eastAsia"/>
        </w:rPr>
      </w:pPr>
      <w:r>
        <w:rPr>
          <w:rFonts w:ascii="宋体" w:eastAsia="宋体" w:cs="Calibri" w:hAnsi="宋体"/>
          <w:color w:val="000000"/>
          <w:sz w:val="28"/>
        </w:rPr>
        <w:t>4、</w:t>
      </w:r>
      <w:r>
        <w:rPr>
          <w:rFonts w:ascii="宋体" w:eastAsia="宋体" w:cs="Calibri" w:hAnsi="宋体"/>
          <w:b/>
          <w:color w:val="000000"/>
          <w:sz w:val="28"/>
        </w:rPr>
        <w:t>基本支出：</w:t>
      </w:r>
      <w:r>
        <w:rPr>
          <w:rFonts w:ascii="宋体" w:eastAsia="宋体" w:cs="Calibri" w:hAnsi="宋体"/>
          <w:color w:val="000000"/>
          <w:sz w:val="28"/>
        </w:rPr>
        <w:t>指为保障机构正常运转、完成日常工作任务而发生的人员支出和公用支出。</w:t>
      </w:r>
    </w:p>
    <w:p>
      <w:pPr>
        <w:spacing w:line="500" w:lineRule="exact"/>
        <w:ind w:firstLine="560"/>
        <w:rPr>
          <w:rFonts w:ascii="宋体" w:eastAsia="宋体" w:cs="Calibri" w:hAnsi="宋体" w:hint="eastAsia"/>
        </w:rPr>
      </w:pPr>
      <w:r>
        <w:rPr>
          <w:rFonts w:ascii="宋体" w:eastAsia="宋体" w:cs="Calibri" w:hAnsi="宋体"/>
          <w:color w:val="000000"/>
          <w:sz w:val="28"/>
        </w:rPr>
        <w:t>5、</w:t>
      </w:r>
      <w:r>
        <w:rPr>
          <w:rFonts w:ascii="宋体" w:eastAsia="宋体" w:cs="Calibri" w:hAnsi="宋体"/>
          <w:b/>
          <w:color w:val="000000"/>
          <w:sz w:val="28"/>
        </w:rPr>
        <w:t>项目支出：</w:t>
      </w:r>
      <w:r>
        <w:rPr>
          <w:rFonts w:ascii="宋体" w:eastAsia="宋体" w:cs="Calibri" w:hAnsi="宋体"/>
          <w:color w:val="000000"/>
          <w:sz w:val="28"/>
        </w:rPr>
        <w:t>指在基本支出之外为完成特定行政任务和事业发展目标所发生的支出。</w:t>
      </w:r>
    </w:p>
    <w:p>
      <w:pPr>
        <w:spacing w:line="500" w:lineRule="exact"/>
        <w:ind w:firstLine="560"/>
        <w:rPr>
          <w:rFonts w:ascii="宋体" w:eastAsia="宋体" w:cs="Calibri" w:hAnsi="宋体" w:hint="eastAsia"/>
        </w:rPr>
      </w:pPr>
      <w:r>
        <w:rPr>
          <w:rFonts w:ascii="宋体" w:eastAsia="宋体" w:cs="Calibri" w:hAnsi="宋体"/>
          <w:color w:val="000000"/>
          <w:sz w:val="28"/>
        </w:rPr>
        <w:t>6、</w:t>
      </w:r>
      <w:r>
        <w:rPr>
          <w:rFonts w:ascii="宋体" w:eastAsia="宋体" w:cs="Calibri" w:hAnsi="宋体"/>
          <w:b/>
          <w:color w:val="000000"/>
          <w:sz w:val="28"/>
        </w:rPr>
        <w:t>上缴上级支出：</w:t>
      </w:r>
      <w:r>
        <w:rPr>
          <w:rFonts w:ascii="宋体" w:eastAsia="宋体" w:cs="Calibri" w:hAnsi="宋体"/>
          <w:color w:val="000000"/>
          <w:sz w:val="28"/>
        </w:rPr>
        <w:t>指下级单位上缴上级的支出。</w:t>
      </w:r>
    </w:p>
    <w:p>
      <w:pPr>
        <w:spacing w:line="500" w:lineRule="exact"/>
        <w:ind w:firstLine="560"/>
        <w:rPr>
          <w:rFonts w:ascii="宋体" w:eastAsia="宋体" w:cs="Calibri" w:hAnsi="宋体" w:hint="eastAsia"/>
        </w:rPr>
      </w:pPr>
      <w:r>
        <w:rPr>
          <w:rFonts w:ascii="宋体" w:eastAsia="宋体" w:cs="Calibri" w:hAnsi="宋体"/>
          <w:color w:val="000000"/>
          <w:sz w:val="28"/>
        </w:rPr>
        <w:t>7、</w:t>
      </w:r>
      <w:r>
        <w:rPr>
          <w:rFonts w:ascii="宋体" w:eastAsia="宋体" w:cs="Calibri" w:hAnsi="宋体"/>
          <w:b/>
          <w:color w:val="000000"/>
          <w:sz w:val="28"/>
        </w:rPr>
        <w:t>“三公”经费：</w:t>
      </w:r>
      <w:r>
        <w:rPr>
          <w:rFonts w:ascii="宋体" w:eastAsia="宋体" w:cs="Calibri" w:hAnsi="宋体"/>
          <w:color w:val="000000"/>
          <w:sz w:val="28"/>
        </w:rPr>
        <w:t>纳入</w:t>
      </w:r>
      <w:r>
        <w:rPr>
          <w:rFonts w:ascii="宋体" w:eastAsia="宋体" w:cs="Calibri" w:hAnsi="宋体"/>
          <w:color w:val="000000"/>
          <w:sz w:val="28"/>
          <w:lang w:eastAsia="zh-CN"/>
        </w:rPr>
        <w:t>县</w:t>
      </w:r>
      <w:r>
        <w:rPr>
          <w:rFonts w:ascii="宋体" w:eastAsia="宋体" w:cs="Calibri" w:hAnsi="宋体"/>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pPr>
        <w:spacing w:line="500" w:lineRule="exact"/>
        <w:ind w:firstLine="560"/>
        <w:rPr>
          <w:rFonts w:ascii="宋体" w:eastAsia="宋体" w:cs="Calibri" w:hAnsi="宋体" w:hint="eastAsia"/>
        </w:rPr>
      </w:pPr>
      <w:r>
        <w:rPr>
          <w:rFonts w:ascii="宋体" w:eastAsia="宋体" w:cs="Calibri" w:hAnsi="宋体"/>
          <w:color w:val="000000"/>
          <w:sz w:val="28"/>
        </w:rPr>
        <w:t>8、</w:t>
      </w:r>
      <w:r>
        <w:rPr>
          <w:rFonts w:ascii="宋体" w:eastAsia="宋体" w:cs="Calibri" w:hAnsi="宋体"/>
          <w:b/>
          <w:color w:val="000000"/>
          <w:sz w:val="28"/>
        </w:rPr>
        <w:t>机关运行费：</w:t>
      </w:r>
      <w:r>
        <w:rPr>
          <w:rFonts w:ascii="宋体" w:eastAsia="宋体" w:cs="Calibri" w:hAnsi="宋体"/>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pPr>
        <w:spacing w:line="500" w:lineRule="exact"/>
        <w:ind w:firstLine="560"/>
        <w:rPr>
          <w:rFonts w:ascii="宋体" w:eastAsia="宋体" w:cs="Calibri" w:hAnsi="宋体" w:hint="eastAsia"/>
        </w:rPr>
      </w:pPr>
      <w:r>
        <w:rPr>
          <w:rFonts w:ascii="宋体" w:eastAsia="宋体" w:cs="Calibri" w:hAnsi="宋体"/>
          <w:color w:val="000000"/>
          <w:sz w:val="28"/>
        </w:rPr>
        <w:t>9、</w:t>
      </w:r>
      <w:r>
        <w:rPr>
          <w:rFonts w:ascii="宋体" w:eastAsia="宋体" w:cs="Calibri" w:hAnsi="宋体"/>
          <w:b/>
          <w:color w:val="000000"/>
          <w:sz w:val="28"/>
        </w:rPr>
        <w:t>上年结转：</w:t>
      </w:r>
      <w:r>
        <w:rPr>
          <w:rFonts w:ascii="宋体" w:eastAsia="宋体" w:cs="Calibri" w:hAnsi="宋体"/>
          <w:color w:val="000000"/>
          <w:sz w:val="28"/>
        </w:rPr>
        <w:t>指以前年度尚未完成、结转到本年仍按原规定用途继续使用的资金。</w:t>
      </w:r>
    </w:p>
    <w:p>
      <w:pPr>
        <w:spacing w:line="500" w:lineRule="exact"/>
        <w:ind w:firstLine="560"/>
        <w:rPr>
          <w:rFonts w:ascii="宋体" w:eastAsia="宋体" w:cs="Calibri" w:hAnsi="宋体" w:hint="eastAsia"/>
        </w:rPr>
      </w:pPr>
      <w:r>
        <w:rPr>
          <w:rFonts w:ascii="宋体" w:eastAsia="宋体" w:cs="Calibri" w:hAnsi="宋体"/>
          <w:color w:val="000000"/>
          <w:sz w:val="28"/>
        </w:rPr>
        <w:t>10、</w:t>
      </w:r>
      <w:r>
        <w:rPr>
          <w:rFonts w:ascii="宋体" w:eastAsia="宋体" w:cs="Calibri" w:hAnsi="宋体"/>
          <w:b/>
          <w:color w:val="000000"/>
          <w:sz w:val="28"/>
        </w:rPr>
        <w:t>事业单位经营支出：</w:t>
      </w:r>
      <w:r>
        <w:rPr>
          <w:rFonts w:ascii="宋体" w:eastAsia="宋体" w:cs="Calibri" w:hAnsi="宋体"/>
          <w:color w:val="000000"/>
          <w:sz w:val="28"/>
        </w:rPr>
        <w:t>指事业单位在专业业务活动及其辅助活动之外开展非独立核算经营活动发生的支出。</w:t>
      </w:r>
    </w:p>
    <w:p>
      <w:pPr>
        <w:spacing w:before="10" w:after="10"/>
        <w:ind w:firstLine="640"/>
        <w:outlineLvl w:val="5"/>
        <w:rPr>
          <w:rFonts w:ascii="宋体" w:eastAsia="宋体" w:cs="Calibri" w:hAnsi="宋体" w:hint="eastAsia"/>
        </w:rPr>
      </w:pPr>
      <w:r>
        <w:rPr>
          <w:rFonts w:ascii="宋体" w:eastAsia="宋体" w:cs="Calibri" w:hAnsi="宋体"/>
          <w:color w:val="000000"/>
          <w:sz w:val="32"/>
        </w:rPr>
        <w:t>九、其他需要说明的事项</w:t>
      </w:r>
    </w:p>
    <w:p>
      <w:pPr>
        <w:spacing w:line="500" w:lineRule="exact"/>
        <w:ind w:firstLine="560"/>
        <w:rPr>
          <w:rFonts w:ascii="宋体" w:eastAsia="宋体" w:cs="Calibri" w:hAnsi="宋体" w:hint="eastAsia"/>
        </w:rPr>
      </w:pPr>
      <w:r>
        <w:rPr>
          <w:rFonts w:ascii="宋体" w:eastAsia="宋体" w:cs="Calibri" w:hAnsi="宋体"/>
          <w:color w:val="000000"/>
          <w:sz w:val="28"/>
        </w:rPr>
        <w:t>我单位无其他需要说明的事项。</w:t>
      </w:r>
    </w:p>
    <w:p>
      <w:pPr>
        <w:spacing w:line="500" w:lineRule="exact"/>
        <w:ind w:firstLine="560"/>
        <w:rPr>
          <w:rFonts w:ascii="宋体" w:eastAsia="宋体" w:cs="Calibri" w:hAnsi="宋体" w:hint="eastAsia"/>
        </w:rPr>
      </w:pPr>
    </w:p>
    <w:sectPr>
      <w:pgSz w:w="16840" w:h="11900" w:orient="landscape"/>
      <w:pgMar w:top="1361" w:right="1020" w:bottom="1134" w:left="1020" w:header="720" w:footer="720" w:gutter="0"/>
      <w:cols w:num="1" w:space="720"/>
      <w:docGrid w:linePitch="326" w:charSpace="0"/>
    </w:sectPr>
  </w:body>
</w:document>
</file>

<file path=word/fontTable.xml><?xml version="1.0" encoding="utf-8"?>
<w:fonts xmlns:w="http://schemas.openxmlformats.org/wordprocessingml/2006/main" xmlns:r="http://schemas.openxmlformats.org/officeDocument/2006/relationships">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auto"/>
    <w:pitch w:val="variable"/>
    <w:sig w:usb0="00007A87" w:usb1="80000000" w:usb2="00000008" w:usb3="00000000" w:csb0="400001FF" w:csb1="FFFF0000"/>
  </w:font>
  <w:font w:name="黑体">
    <w:panose1 w:val="02010609060101010101"/>
    <w:charset w:val="86"/>
    <w:family w:val="auto"/>
    <w:pitch w:val="variable"/>
    <w:sig w:usb0="800002BF" w:usb1="38CF7CFA" w:usb2="00000016" w:usb3="00000000" w:csb0="00040001" w:csb1="00000000"/>
  </w:font>
  <w:font w:name="方正仿宋_GBK">
    <w:altName w:val="微软雅黑"/>
    <w:panose1 w:val="00000000000000000000"/>
    <w:charset w:val="86"/>
    <w:family w:val="script"/>
    <w:pitch w:val="variable"/>
    <w:sig w:usb0="00000000" w:usb1="00000000" w:usb2="00000010" w:usb3="00000000" w:csb0="00040000" w:csb1="00000000"/>
  </w:font>
  <w:font w:name="方正小标宋_GBK">
    <w:altName w:val="微软雅黑"/>
    <w:panose1 w:val="00000000000000000000"/>
    <w:charset w:val="86"/>
    <w:family w:val="script"/>
    <w:pitch w:val="variable"/>
    <w:sig w:usb0="00000000" w:usb1="00000000" w:usb2="00000010" w:usb3="00000000" w:csb0="00040000" w:csb1="00000000"/>
  </w:font>
  <w:font w:name="方正书宋_GBK">
    <w:altName w:val="微软雅黑"/>
    <w:panose1 w:val="00000000000000000000"/>
    <w:charset w:val="86"/>
    <w:family w:val="script"/>
    <w:pitch w:val="variable"/>
    <w:sig w:usb0="00000000" w:usb1="00000000" w:usb2="00000010" w:usb3="00000000" w:csb0="0004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right"/>
    </w:pPr>
    <w:r>
      <w:fldChar w:fldCharType="begin"/>
    </w:r>
    <w:r>
      <w:instrText>PAGE "page number"</w:instrText>
    </w:r>
    <w:r>
      <w:fldChar w:fldCharType="separate"/>
    </w:r>
    <w:r>
      <w:t>1</w:t>
    </w:r>
    <w:r>
      <w:fldChar w:fldCharType="end"/>
    </w: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r>
      <w:fldChar w:fldCharType="begin"/>
    </w:r>
    <w:r>
      <w:instrText>PAGE "page number"</w:instrText>
    </w:r>
    <w:r>
      <w:fldChar w:fldCharType="separate"/>
    </w:r>
    <w:r>
      <w:t>110</w:t>
    </w:r>
    <w:r>
      <w:fldChar w:fldCharType="end"/>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efaultTabStop w:val="720"/>
  <w:evenAndOddHeaders/>
  <w:drawingGridHorizontalSpacing w:val="120"/>
  <w:drawingGridVerticalSpacing w:val="163"/>
  <w:displayHorizontalDrawingGridEvery w:val="0"/>
  <w:displayVerticalDrawingGridEvery w:val="1"/>
  <w:noPunctuationKerning/>
  <w:compat>
    <w:doNotExpandShiftReturn/>
    <w:adjustLineHeightInTable/>
    <w:compatSetting w:name="compatibilityMode" w:uri="http://schemas.microsoft.com/office/word" w:val="15"/>
  </w:compat>
  <w:docVars>
    <w:docVar w:name="commondata" w:val="eyJoZGlkIjoiMmM5ZWUzOGFhMGZkMTYwZGRlMTdhZmU5MTFjNjE0ODQifQ=="/>
  </w:docVars>
  <m:mathPr>
    <m:mathFont m:val="Cambria Math"/>
    <m:brkBin m:val="before"/>
    <m:brkBinSub m:val="--"/>
    <m:smallFrac m:val="0"/>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Arial"/>
        <w:lang w:val="en-US" w:eastAsia="zh-CN" w:bidi="ar-SA"/>
      </w:rPr>
    </w:rPrDefault>
    <w:pPrDefault/>
  </w:docDefaults>
  <w:style w:type="paragraph" w:default="1" w:styleId="0">
    <w:name w:val="Normal"/>
    <w:qFormat/>
    <w:rPr>
      <w:rFonts w:ascii="Times New Roman" w:eastAsia="Times New Roman" w:cs="Times New Roman" w:hAnsi="Times New Roman"/>
      <w:sz w:val="24"/>
      <w:szCs w:val="24"/>
      <w:lang w:val="en-US" w:eastAsia="uk-UA" w:bidi="ar-SA"/>
    </w:rPr>
  </w:style>
  <w:style w:type="paragraph" w:styleId="1">
    <w:name w:val="heading 1"/>
    <w:qFormat/>
    <w:basedOn w:val="0"/>
    <w:next w:val="0"/>
    <w:link w:val="1Char"/>
    <w:pPr>
      <w:keepNext/>
      <w:keepLines/>
      <w:spacing w:before="340" w:after="330" w:line="578" w:lineRule="auto"/>
      <w:outlineLvl w:val="0"/>
    </w:pPr>
    <w:rPr>
      <w:b/>
      <w:bCs/>
      <w:kern w:val="44"/>
      <w:sz w:val="44"/>
      <w:szCs w:val="44"/>
    </w:rPr>
  </w:style>
  <w:style w:type="character" w:customStyle="1" w:styleId="1Char">
    <w:name w:val="heading 1 Char"/>
    <w:basedOn w:val="10"/>
    <w:link w:val="1"/>
    <w:rPr>
      <w:rFonts w:ascii="Times New Roman" w:eastAsia="Times New Roman" w:cs="Times New Roman" w:hAnsi="Times New Roman"/>
      <w:b/>
      <w:bCs/>
      <w:kern w:val="44"/>
      <w:sz w:val="44"/>
      <w:szCs w:val="44"/>
      <w:lang w:val="en-US" w:eastAsia="uk-UA" w:bidi="ar-SA"/>
    </w:rPr>
  </w:style>
  <w:style w:type="paragraph" w:styleId="2">
    <w:name w:val="heading 2"/>
    <w:qFormat/>
    <w:basedOn w:val="0"/>
    <w:next w:val="0"/>
    <w:link w:val="2Char"/>
    <w:pPr>
      <w:keepNext/>
      <w:keepLines/>
      <w:spacing w:before="260" w:after="260" w:line="415" w:lineRule="auto"/>
      <w:outlineLvl w:val="1"/>
    </w:pPr>
    <w:rPr>
      <w:rFonts w:ascii="Times New Roman" w:eastAsia="黑体" w:hAnsi="Times New Roman"/>
      <w:b/>
      <w:bCs/>
      <w:sz w:val="32"/>
      <w:szCs w:val="32"/>
    </w:rPr>
  </w:style>
  <w:style w:type="character" w:customStyle="1" w:styleId="2Char">
    <w:name w:val="heading 2 Char"/>
    <w:basedOn w:val="10"/>
    <w:link w:val="2"/>
    <w:rPr>
      <w:rFonts w:ascii="Times New Roman" w:eastAsia="黑体" w:cs="Times New Roman" w:hAnsi="Times New Roman"/>
      <w:b/>
      <w:bCs/>
      <w:sz w:val="32"/>
      <w:szCs w:val="32"/>
      <w:lang w:val="en-US" w:eastAsia="uk-UA" w:bidi="ar-SA"/>
    </w:rPr>
  </w:style>
  <w:style w:type="paragraph" w:styleId="3">
    <w:name w:val="heading 3"/>
    <w:qFormat/>
    <w:basedOn w:val="0"/>
    <w:next w:val="0"/>
    <w:link w:val="3Char"/>
    <w:pPr>
      <w:keepNext/>
      <w:keepLines/>
      <w:spacing w:before="260" w:after="260" w:line="415" w:lineRule="auto"/>
      <w:outlineLvl w:val="2"/>
    </w:pPr>
    <w:rPr>
      <w:b/>
      <w:bCs/>
      <w:sz w:val="32"/>
      <w:szCs w:val="32"/>
    </w:rPr>
  </w:style>
  <w:style w:type="character" w:customStyle="1" w:styleId="3Char">
    <w:name w:val="heading 3 Char"/>
    <w:basedOn w:val="10"/>
    <w:link w:val="3"/>
    <w:rPr>
      <w:rFonts w:ascii="Times New Roman" w:eastAsia="Times New Roman" w:cs="Times New Roman" w:hAnsi="Times New Roman"/>
      <w:b/>
      <w:bCs/>
      <w:sz w:val="32"/>
      <w:szCs w:val="32"/>
      <w:lang w:val="en-US" w:eastAsia="uk-UA" w:bidi="ar-SA"/>
    </w:rPr>
  </w:style>
  <w:style w:type="character" w:default="1" w:styleId="10">
    <w:name w:val="Default Paragraph Font"/>
    <w:qFormat/>
  </w:style>
  <w:style w:type="paragraph" w:styleId="15">
    <w:name w:val="toc 3"/>
    <w:qFormat/>
    <w:basedOn w:val="0"/>
    <w:next w:val="0"/>
    <w:pPr>
      <w:ind w:left="480"/>
    </w:pPr>
  </w:style>
  <w:style w:type="paragraph" w:styleId="16">
    <w:name w:val="toc 1"/>
    <w:qFormat/>
    <w:basedOn w:val="0"/>
    <w:next w:val="0"/>
    <w:pPr>
      <w:spacing w:before="120"/>
      <w:ind w:firstLine="560"/>
    </w:pPr>
    <w:rPr>
      <w:rFonts w:eastAsia="方正仿宋_GBK"/>
      <w:color w:val="000000"/>
      <w:sz w:val="28"/>
    </w:rPr>
  </w:style>
  <w:style w:type="paragraph" w:styleId="17">
    <w:name w:val="toc 4"/>
    <w:qFormat/>
    <w:basedOn w:val="0"/>
    <w:next w:val="0"/>
    <w:pPr>
      <w:ind w:left="720"/>
    </w:pPr>
  </w:style>
  <w:style w:type="paragraph" w:styleId="18">
    <w:name w:val="toc 2"/>
    <w:qFormat/>
    <w:basedOn w:val="0"/>
    <w:next w:val="0"/>
    <w:pPr>
      <w:ind w:left="240"/>
    </w:pPr>
  </w:style>
  <w:style w:type="character" w:styleId="19">
    <w:name w:val="Hyperlink"/>
    <w:qFormat/>
    <w:basedOn w:val="10"/>
    <w:rPr>
      <w:color w:val="0563C1"/>
      <w:u w:val="single"/>
    </w:rPr>
  </w:style>
  <w:style w:type="paragraph" w:customStyle="1" w:styleId="20">
    <w:name w:val="单元格样式22"/>
    <w:qFormat/>
    <w:basedOn w:val="0"/>
    <w:pPr>
      <w:jc w:val="right"/>
    </w:pPr>
    <w:rPr>
      <w:rFonts w:ascii="方正小标宋_GBK" w:eastAsia="方正小标宋_GBK" w:cs="方正小标宋_GBK" w:hAnsi="方正小标宋_GBK"/>
    </w:rPr>
  </w:style>
  <w:style w:type="paragraph" w:customStyle="1" w:styleId="21">
    <w:name w:val="单元格样式21"/>
    <w:qFormat/>
    <w:basedOn w:val="0"/>
    <w:pPr>
      <w:jc w:val="center"/>
    </w:pPr>
    <w:rPr>
      <w:rFonts w:ascii="方正小标宋_GBK" w:eastAsia="方正小标宋_GBK" w:cs="方正小标宋_GBK" w:hAnsi="方正小标宋_GBK"/>
    </w:rPr>
  </w:style>
  <w:style w:type="paragraph" w:customStyle="1" w:styleId="22">
    <w:name w:val="单元格样式20"/>
    <w:qFormat/>
    <w:basedOn w:val="0"/>
    <w:rPr>
      <w:rFonts w:ascii="方正小标宋_GBK" w:eastAsia="方正小标宋_GBK" w:cs="方正小标宋_GBK" w:hAnsi="方正小标宋_GBK"/>
    </w:rPr>
  </w:style>
  <w:style w:type="paragraph" w:customStyle="1" w:styleId="23">
    <w:name w:val="单元格样式1"/>
    <w:qFormat/>
    <w:basedOn w:val="0"/>
    <w:pPr>
      <w:jc w:val="center"/>
    </w:pPr>
    <w:rPr>
      <w:rFonts w:ascii="方正书宋_GBK" w:eastAsia="方正书宋_GBK" w:cs="方正书宋_GBK" w:hAnsi="方正书宋_GBK"/>
      <w:b/>
      <w:sz w:val="21"/>
    </w:rPr>
  </w:style>
  <w:style w:type="paragraph" w:customStyle="1" w:styleId="24">
    <w:name w:val="单元格样式4"/>
    <w:qFormat/>
    <w:basedOn w:val="0"/>
    <w:pPr>
      <w:jc w:val="right"/>
    </w:pPr>
    <w:rPr>
      <w:rFonts w:ascii="方正书宋_GBK" w:eastAsia="方正书宋_GBK" w:cs="方正书宋_GBK" w:hAnsi="方正书宋_GBK"/>
      <w:sz w:val="21"/>
    </w:rPr>
  </w:style>
  <w:style w:type="paragraph" w:customStyle="1" w:styleId="25">
    <w:name w:val="单元格样式2"/>
    <w:qFormat/>
    <w:basedOn w:val="0"/>
    <w:rPr>
      <w:rFonts w:ascii="方正书宋_GBK" w:eastAsia="方正书宋_GBK" w:cs="方正书宋_GBK" w:hAnsi="方正书宋_GBK"/>
      <w:sz w:val="21"/>
    </w:rPr>
  </w:style>
  <w:style w:type="paragraph" w:customStyle="1" w:styleId="26">
    <w:name w:val="单元格样式3"/>
    <w:qFormat/>
    <w:basedOn w:val="0"/>
    <w:pPr>
      <w:jc w:val="center"/>
    </w:pPr>
    <w:rPr>
      <w:rFonts w:ascii="方正书宋_GBK" w:eastAsia="方正书宋_GBK" w:cs="方正书宋_GBK" w:hAnsi="方正书宋_GBK"/>
      <w:sz w:val="21"/>
    </w:rPr>
  </w:style>
  <w:style w:type="paragraph" w:customStyle="1" w:styleId="27">
    <w:name w:val="单元格样式6"/>
    <w:qFormat/>
    <w:basedOn w:val="0"/>
    <w:pPr>
      <w:jc w:val="center"/>
    </w:pPr>
    <w:rPr>
      <w:rFonts w:ascii="方正书宋_GBK" w:eastAsia="方正书宋_GBK" w:cs="方正书宋_GBK" w:hAnsi="方正书宋_GBK"/>
      <w:b/>
      <w:sz w:val="21"/>
    </w:rPr>
  </w:style>
  <w:style w:type="paragraph" w:customStyle="1" w:styleId="28">
    <w:name w:val="单元格样式7"/>
    <w:qFormat/>
    <w:basedOn w:val="0"/>
    <w:pPr>
      <w:jc w:val="right"/>
    </w:pPr>
    <w:rPr>
      <w:rFonts w:ascii="方正书宋_GBK" w:eastAsia="方正书宋_GBK" w:cs="方正书宋_GBK" w:hAnsi="方正书宋_GBK"/>
      <w:b/>
      <w:sz w:val="21"/>
    </w:rPr>
  </w:style>
  <w:style w:type="paragraph" w:customStyle="1" w:styleId="29">
    <w:name w:val="单元格样式5"/>
    <w:qFormat/>
    <w:basedOn w:val="0"/>
    <w:rPr>
      <w:rFonts w:ascii="方正书宋_GBK" w:eastAsia="方正书宋_GBK" w:cs="方正书宋_GBK" w:hAnsi="方正书宋_GBK"/>
      <w:b/>
      <w:sz w:val="21"/>
    </w:rPr>
  </w:style>
  <w:style w:type="paragraph" w:customStyle="1" w:styleId="30">
    <w:name w:val="插入文本样式-插入部门职责文件"/>
    <w:qFormat/>
    <w:basedOn w:val="0"/>
    <w:pPr>
      <w:spacing w:line="500" w:lineRule="exact"/>
      <w:ind w:firstLine="560"/>
    </w:pPr>
    <w:rPr>
      <w:rFonts w:eastAsia="方正仿宋_GBK"/>
      <w:sz w:val="28"/>
    </w:rPr>
  </w:style>
  <w:style w:type="paragraph" w:customStyle="1" w:styleId="31">
    <w:name w:val="插入文本样式-插入预算公开部门预算安排的总体情况文件"/>
    <w:qFormat/>
    <w:basedOn w:val="0"/>
    <w:pPr>
      <w:spacing w:line="500" w:lineRule="exact"/>
      <w:ind w:firstLine="560"/>
    </w:pPr>
    <w:rPr>
      <w:rFonts w:eastAsia="方正仿宋_GBK"/>
      <w:sz w:val="28"/>
    </w:rPr>
  </w:style>
  <w:style w:type="paragraph" w:customStyle="1" w:styleId="32">
    <w:name w:val="插入文本样式-插入预算公开部门机关运行经费安排情况文件"/>
    <w:qFormat/>
    <w:basedOn w:val="0"/>
    <w:pPr>
      <w:spacing w:line="500" w:lineRule="exact"/>
      <w:ind w:firstLine="560"/>
    </w:pPr>
    <w:rPr>
      <w:rFonts w:eastAsia="方正仿宋_GBK"/>
      <w:sz w:val="28"/>
    </w:rPr>
  </w:style>
  <w:style w:type="paragraph" w:customStyle="1" w:styleId="33">
    <w:name w:val="插入文本样式-插入预算公开部门财政拨款三公经费预算情况及增减变化原因文件"/>
    <w:qFormat/>
    <w:basedOn w:val="0"/>
    <w:pPr>
      <w:spacing w:line="500" w:lineRule="exact"/>
      <w:ind w:firstLine="560"/>
    </w:pPr>
    <w:rPr>
      <w:rFonts w:eastAsia="方正仿宋_GBK"/>
      <w:sz w:val="28"/>
    </w:rPr>
  </w:style>
  <w:style w:type="paragraph" w:customStyle="1" w:styleId="34">
    <w:name w:val="插入文本样式-插入总体目标文件"/>
    <w:qFormat/>
    <w:basedOn w:val="0"/>
    <w:pPr>
      <w:spacing w:line="500" w:lineRule="exact"/>
      <w:ind w:firstLine="560"/>
    </w:pPr>
    <w:rPr>
      <w:rFonts w:eastAsia="方正仿宋_GBK"/>
      <w:sz w:val="28"/>
    </w:rPr>
  </w:style>
  <w:style w:type="paragraph" w:customStyle="1" w:styleId="35">
    <w:name w:val="插入文本样式-插入职责分类绩效目标文件"/>
    <w:qFormat/>
    <w:basedOn w:val="0"/>
    <w:pPr>
      <w:spacing w:line="500" w:lineRule="exact"/>
      <w:ind w:firstLine="560"/>
    </w:pPr>
    <w:rPr>
      <w:rFonts w:eastAsia="方正仿宋_GBK"/>
      <w:sz w:val="28"/>
    </w:rPr>
  </w:style>
  <w:style w:type="paragraph" w:customStyle="1" w:styleId="36">
    <w:name w:val="插入文本样式-插入实现年度发展规划目标的保障措施文件"/>
    <w:qFormat/>
    <w:basedOn w:val="0"/>
    <w:pPr>
      <w:spacing w:line="500" w:lineRule="exact"/>
      <w:ind w:firstLine="560"/>
    </w:pPr>
    <w:rPr>
      <w:rFonts w:eastAsia="方正仿宋_GBK"/>
      <w:sz w:val="28"/>
    </w:rPr>
  </w:style>
  <w:style w:type="paragraph" w:customStyle="1" w:styleId="37">
    <w:name w:val="单元格样式23"/>
    <w:qFormat/>
    <w:basedOn w:val="0"/>
    <w:pPr>
      <w:jc w:val="right"/>
    </w:pPr>
    <w:rPr>
      <w:rFonts w:ascii="方正书宋_GBK" w:eastAsia="方正书宋_GBK" w:cs="方正书宋_GBK" w:hAnsi="方正书宋_GBK"/>
    </w:rPr>
  </w:style>
  <w:style w:type="paragraph" w:customStyle="1" w:styleId="38">
    <w:name w:val="插入文本样式-插入单位职责文件"/>
    <w:qFormat/>
    <w:basedOn w:val="0"/>
    <w:pPr>
      <w:spacing w:line="500" w:lineRule="exact"/>
      <w:ind w:firstLine="560"/>
    </w:pPr>
    <w:rPr>
      <w:rFonts w:eastAsia="方正仿宋_GBK"/>
      <w:sz w:val="28"/>
    </w:rPr>
  </w:style>
  <w:style w:type="paragraph" w:customStyle="1" w:styleId="39">
    <w:name w:val="插入文本样式-插入预算公开单位预算安排的总体情况文件"/>
    <w:qFormat/>
    <w:basedOn w:val="0"/>
    <w:pPr>
      <w:spacing w:line="500" w:lineRule="exact"/>
      <w:ind w:firstLine="560"/>
    </w:pPr>
    <w:rPr>
      <w:rFonts w:eastAsia="方正仿宋_GBK"/>
      <w:sz w:val="28"/>
    </w:rPr>
  </w:style>
  <w:style w:type="paragraph" w:customStyle="1" w:styleId="40">
    <w:name w:val="插入文本样式-插入预算公开单位机关运行经费安排情况文件"/>
    <w:qFormat/>
    <w:basedOn w:val="0"/>
    <w:pPr>
      <w:spacing w:line="500" w:lineRule="exact"/>
      <w:ind w:firstLine="560"/>
    </w:pPr>
    <w:rPr>
      <w:rFonts w:eastAsia="方正仿宋_GBK"/>
      <w:sz w:val="28"/>
    </w:rPr>
  </w:style>
  <w:style w:type="paragraph" w:customStyle="1" w:styleId="41">
    <w:name w:val="插入文本样式-插入预算公开单位财政拨款三公经费预算情况及增减变化原因文件"/>
    <w:qFormat/>
    <w:basedOn w:val="0"/>
    <w:pPr>
      <w:spacing w:line="500" w:lineRule="exact"/>
      <w:ind w:firstLine="560"/>
    </w:pPr>
    <w:rPr>
      <w:rFonts w:eastAsia="方正仿宋_GBK"/>
      <w:sz w:val="2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customXml" Target="../customXml/item1.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Theme">
      <a:majorFont>
        <a:latin typeface=""/>
        <a:ea typeface=""/>
        <a:cs typeface=""/>
      </a:majorFont>
      <a:minorFont>
        <a:latin typeface=""/>
        <a:ea typeface=""/>
        <a:cs typeface=""/>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1"/>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1"/>
        </a:gradFill>
      </a:fillStyleLst>
      <a:lnStyleLst>
        <a:ln w="6350" cmpd="sng" cap="flat">
          <a:solidFill>
            <a:schemeClr val="phClr"/>
          </a:solidFill>
          <a:prstDash val="solid"/>
          <a:miter/>
        </a:ln>
        <a:ln w="12700" cmpd="sng" cap="flat">
          <a:solidFill>
            <a:schemeClr val="phClr"/>
          </a:solidFill>
          <a:prstDash val="solid"/>
          <a:miter/>
        </a:ln>
        <a:ln w="19050" cmpd="sng" cap="flat">
          <a:solidFill>
            <a:schemeClr val="phClr"/>
          </a:solidFill>
          <a:prstDash val="solid"/>
          <a:miter/>
        </a:ln>
      </a:lnStyleLst>
      <a:effectStyleLst>
        <a:effectStyle>
          <a:effectLst/>
        </a:effectStyle>
        <a:effectStyle>
          <a:effectLst/>
        </a:effectStyle>
        <a:effectStyle>
          <a:effectLst>
            <a:outerShdw sx="100000" sy="100000" algn="ctr" rotWithShape="0" blurRad="57150" dist="19050" dir="540000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3000 0 1 1 1 1"/>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sectPr/>
  </customProps>
</customData>
</file>

<file path=customXml/itemProps1.xml><?xml version="1.0" encoding="utf-8"?>
<ds:datastoreItem xmlns:ds="http://schemas.openxmlformats.org/officeDocument/2006/customXml" ds:itemID="{4D596870-A15E-470D-8214-2BE84F36E7DE}">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18</TotalTime>
  <Application>Yozo_Office9.0.5004.101ZH.S1</Application>
  <Pages>91</Pages>
  <Words>0</Words>
  <Characters>32952</Characters>
  <Lines>0</Lines>
  <Paragraphs>419</Paragraphs>
  <CharactersWithSpaces>43937</CharactersWithSpaces>
  <Company>神州网信技术有限公司</Company>
</Properties>
</file>

<file path=docProps/core.xml><?xml version="1.0" encoding="utf-8"?>
<cp:coreProperties xmlns:cp="http://schemas.openxmlformats.org/package/2006/metadata/core-properties" xmlns:dc="http://purl.org/dc/elements/1.1/" xmlns:dcterms="http://purl.org/dc/terms/" xmlns:xsi="http://www.w3.org/2001/XMLSchema-instance">
  <dc:creator>lenovo</dc:creator>
  <cp:lastModifiedBy>lyzgj</cp:lastModifiedBy>
  <cp:revision>3</cp:revision>
  <dcterms:created xsi:type="dcterms:W3CDTF">2024-01-29T03:51:00Z</dcterms:created>
  <dcterms:modified xsi:type="dcterms:W3CDTF">2025-01-15T03:02:08Z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2052-11.1.0.13703</vt:lpwstr>
  </property>
  <property fmtid="{D5CDD505-2E9C-101B-9397-08002B2CF9AE}" pid="3" name="ICV">
    <vt:lpwstr>2182EBCED4B94FF0BD37C87270D09831</vt:lpwstr>
  </property>
</Properties>
</file>