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color w:val="000000"/>
          <w:sz w:val="44"/>
          <w:lang w:val="en-US" w:eastAsia="zh-CN"/>
        </w:rPr>
      </w:pPr>
    </w:p>
    <w:p>
      <w:pPr>
        <w:jc w:val="center"/>
        <w:rPr>
          <w:rFonts w:hint="eastAsia" w:ascii="黑体" w:hAnsi="黑体" w:eastAsia="黑体" w:cs="黑体"/>
          <w:b/>
          <w:color w:val="000000"/>
          <w:sz w:val="44"/>
          <w:lang w:val="en-US" w:eastAsia="zh-CN"/>
        </w:rPr>
      </w:pPr>
    </w:p>
    <w:p>
      <w:pPr>
        <w:jc w:val="center"/>
        <w:rPr>
          <w:rFonts w:hint="eastAsia" w:ascii="黑体" w:hAnsi="黑体" w:eastAsia="黑体" w:cs="黑体"/>
          <w:b/>
          <w:color w:val="000000"/>
          <w:sz w:val="44"/>
          <w:lang w:val="en-US" w:eastAsia="zh-CN"/>
        </w:rPr>
      </w:pPr>
    </w:p>
    <w:p>
      <w:pPr>
        <w:jc w:val="center"/>
      </w:pPr>
      <w:r>
        <w:rPr>
          <w:rFonts w:hint="eastAsia" w:ascii="宋体" w:hAnsi="宋体" w:eastAsia="宋体" w:cs="宋体"/>
          <w:b/>
          <w:color w:val="000000"/>
          <w:sz w:val="52"/>
          <w:szCs w:val="52"/>
          <w:lang w:val="en-US" w:eastAsia="zh-CN"/>
        </w:rPr>
        <w:t>中共涞源县委机构编制委员会办公室2022年单位预算</w:t>
      </w:r>
    </w:p>
    <w:p>
      <w:pPr>
        <w:pStyle w:val="5"/>
        <w:tabs>
          <w:tab w:val="right" w:leader="dot" w:pos="14562"/>
        </w:tabs>
      </w:pPr>
      <w:r>
        <w:fldChar w:fldCharType="begin"/>
      </w:r>
      <w:r>
        <w:instrText xml:space="preserve">TOC \o "4-4" \h \z \u</w:instrText>
      </w:r>
      <w:r>
        <w:fldChar w:fldCharType="separate"/>
      </w:r>
    </w:p>
    <w:p>
      <w:pPr>
        <w:pStyle w:val="5"/>
        <w:tabs>
          <w:tab w:val="right" w:leader="dot" w:pos="14562"/>
        </w:tabs>
      </w:pPr>
    </w:p>
    <w:p>
      <w:pPr>
        <w:pStyle w:val="5"/>
        <w:tabs>
          <w:tab w:val="right" w:leader="dot" w:pos="14562"/>
        </w:tabs>
      </w:pP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一、中共涞源县委机构编制委员会办公室本级收支预算</w:t>
      </w:r>
    </w:p>
    <w:p>
      <w:pPr>
        <w:jc w:val="center"/>
        <w:outlineLvl w:val="4"/>
      </w:pPr>
      <w:r>
        <w:rPr>
          <w:rFonts w:ascii="方正小标宋_GBK" w:hAnsi="方正小标宋_GBK" w:eastAsia="方正小标宋_GBK" w:cs="方正小标宋_GBK"/>
          <w:color w:val="000000"/>
          <w:sz w:val="36"/>
        </w:rPr>
        <w:t>单位预算收支总表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730"/>
        <w:gridCol w:w="1935"/>
        <w:gridCol w:w="4425"/>
        <w:gridCol w:w="22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80" w:type="dxa"/>
            <w:gridSpan w:val="2"/>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1935" w:type="dxa"/>
            <w:tcBorders>
              <w:top w:val="single" w:color="FFFFFF" w:sz="6" w:space="0"/>
              <w:left w:val="single" w:color="FFFFFF" w:sz="6" w:space="0"/>
              <w:right w:val="single" w:color="FFFFFF" w:sz="6" w:space="0"/>
            </w:tcBorders>
            <w:vAlign w:val="center"/>
          </w:tcPr>
          <w:p>
            <w:pPr>
              <w:pStyle w:val="12"/>
            </w:pPr>
            <w:r>
              <w:t>预算年度：2022</w:t>
            </w:r>
          </w:p>
        </w:tc>
        <w:tc>
          <w:tcPr>
            <w:tcW w:w="6658"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5" w:type="dxa"/>
            <w:gridSpan w:val="2"/>
            <w:vAlign w:val="center"/>
          </w:tcPr>
          <w:p>
            <w:pPr>
              <w:pStyle w:val="14"/>
            </w:pPr>
            <w:r>
              <w:t>收入</w:t>
            </w:r>
          </w:p>
        </w:tc>
        <w:tc>
          <w:tcPr>
            <w:tcW w:w="6658"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730" w:type="dxa"/>
            <w:vAlign w:val="center"/>
          </w:tcPr>
          <w:p>
            <w:pPr>
              <w:pStyle w:val="14"/>
            </w:pPr>
            <w:r>
              <w:t>项  目</w:t>
            </w:r>
          </w:p>
        </w:tc>
        <w:tc>
          <w:tcPr>
            <w:tcW w:w="1935" w:type="dxa"/>
            <w:vAlign w:val="center"/>
          </w:tcPr>
          <w:p>
            <w:pPr>
              <w:pStyle w:val="14"/>
            </w:pPr>
            <w:r>
              <w:t>预算数</w:t>
            </w:r>
          </w:p>
        </w:tc>
        <w:tc>
          <w:tcPr>
            <w:tcW w:w="4425" w:type="dxa"/>
            <w:vAlign w:val="center"/>
          </w:tcPr>
          <w:p>
            <w:pPr>
              <w:pStyle w:val="14"/>
            </w:pPr>
            <w:r>
              <w:t>项  目</w:t>
            </w:r>
          </w:p>
        </w:tc>
        <w:tc>
          <w:tcPr>
            <w:tcW w:w="2233"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730" w:type="dxa"/>
            <w:vAlign w:val="center"/>
          </w:tcPr>
          <w:p>
            <w:pPr>
              <w:pStyle w:val="14"/>
            </w:pPr>
            <w:r>
              <w:t>1</w:t>
            </w:r>
          </w:p>
        </w:tc>
        <w:tc>
          <w:tcPr>
            <w:tcW w:w="1935" w:type="dxa"/>
            <w:vAlign w:val="center"/>
          </w:tcPr>
          <w:p>
            <w:pPr>
              <w:pStyle w:val="14"/>
            </w:pPr>
            <w:r>
              <w:t>2</w:t>
            </w:r>
          </w:p>
        </w:tc>
        <w:tc>
          <w:tcPr>
            <w:tcW w:w="4425" w:type="dxa"/>
            <w:vAlign w:val="center"/>
          </w:tcPr>
          <w:p>
            <w:pPr>
              <w:pStyle w:val="14"/>
            </w:pPr>
            <w:r>
              <w:t>3</w:t>
            </w:r>
          </w:p>
        </w:tc>
        <w:tc>
          <w:tcPr>
            <w:tcW w:w="2233"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730" w:type="dxa"/>
            <w:vAlign w:val="center"/>
          </w:tcPr>
          <w:p>
            <w:pPr>
              <w:pStyle w:val="16"/>
            </w:pPr>
            <w:r>
              <w:t>一、一般公共预算拨款收入</w:t>
            </w:r>
          </w:p>
        </w:tc>
        <w:tc>
          <w:tcPr>
            <w:tcW w:w="1935" w:type="dxa"/>
            <w:vAlign w:val="center"/>
          </w:tcPr>
          <w:p>
            <w:pPr>
              <w:pStyle w:val="15"/>
              <w:rPr>
                <w:rFonts w:hint="default" w:eastAsia="方正书宋_GBK"/>
                <w:lang w:val="en-US" w:eastAsia="zh-CN"/>
              </w:rPr>
            </w:pPr>
            <w:r>
              <w:rPr>
                <w:rFonts w:hint="eastAsia"/>
                <w:lang w:val="en-US" w:eastAsia="zh-CN"/>
              </w:rPr>
              <w:t>153.68</w:t>
            </w:r>
          </w:p>
        </w:tc>
        <w:tc>
          <w:tcPr>
            <w:tcW w:w="4425" w:type="dxa"/>
            <w:vAlign w:val="center"/>
          </w:tcPr>
          <w:p>
            <w:pPr>
              <w:pStyle w:val="16"/>
            </w:pPr>
            <w:r>
              <w:t>一、一般公共服务支出</w:t>
            </w:r>
          </w:p>
        </w:tc>
        <w:tc>
          <w:tcPr>
            <w:tcW w:w="2233" w:type="dxa"/>
            <w:vAlign w:val="center"/>
          </w:tcPr>
          <w:p>
            <w:pPr>
              <w:pStyle w:val="15"/>
              <w:rPr>
                <w:rFonts w:hint="default" w:eastAsia="方正书宋_GBK"/>
                <w:lang w:val="en-US" w:eastAsia="zh-CN"/>
              </w:rPr>
            </w:pPr>
            <w:r>
              <w:rPr>
                <w:rFonts w:hint="eastAsia"/>
                <w:lang w:val="en-US" w:eastAsia="zh-CN"/>
              </w:rPr>
              <w:t>128.05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730" w:type="dxa"/>
            <w:vAlign w:val="center"/>
          </w:tcPr>
          <w:p>
            <w:pPr>
              <w:pStyle w:val="16"/>
            </w:pPr>
            <w:r>
              <w:t>二、政府性基金预算拨款收入</w:t>
            </w:r>
          </w:p>
        </w:tc>
        <w:tc>
          <w:tcPr>
            <w:tcW w:w="1935" w:type="dxa"/>
            <w:vAlign w:val="center"/>
          </w:tcPr>
          <w:p>
            <w:pPr>
              <w:pStyle w:val="15"/>
            </w:pPr>
          </w:p>
        </w:tc>
        <w:tc>
          <w:tcPr>
            <w:tcW w:w="4425" w:type="dxa"/>
            <w:vAlign w:val="center"/>
          </w:tcPr>
          <w:p>
            <w:pPr>
              <w:pStyle w:val="16"/>
            </w:pPr>
            <w:r>
              <w:t>二、外交支出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730" w:type="dxa"/>
            <w:vAlign w:val="center"/>
          </w:tcPr>
          <w:p>
            <w:pPr>
              <w:pStyle w:val="16"/>
            </w:pPr>
            <w:r>
              <w:t>三、国有资本经营预算拨款收入</w:t>
            </w:r>
          </w:p>
        </w:tc>
        <w:tc>
          <w:tcPr>
            <w:tcW w:w="1935" w:type="dxa"/>
            <w:vAlign w:val="center"/>
          </w:tcPr>
          <w:p>
            <w:pPr>
              <w:pStyle w:val="15"/>
            </w:pPr>
          </w:p>
        </w:tc>
        <w:tc>
          <w:tcPr>
            <w:tcW w:w="4425" w:type="dxa"/>
            <w:vAlign w:val="center"/>
          </w:tcPr>
          <w:p>
            <w:pPr>
              <w:pStyle w:val="16"/>
            </w:pPr>
            <w:r>
              <w:t>三、国防支出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730" w:type="dxa"/>
            <w:vAlign w:val="center"/>
          </w:tcPr>
          <w:p>
            <w:pPr>
              <w:pStyle w:val="16"/>
            </w:pPr>
            <w:r>
              <w:t>四、财政专户管理资金收入</w:t>
            </w:r>
          </w:p>
        </w:tc>
        <w:tc>
          <w:tcPr>
            <w:tcW w:w="1935" w:type="dxa"/>
            <w:vAlign w:val="center"/>
          </w:tcPr>
          <w:p>
            <w:pPr>
              <w:pStyle w:val="15"/>
            </w:pPr>
          </w:p>
        </w:tc>
        <w:tc>
          <w:tcPr>
            <w:tcW w:w="4425" w:type="dxa"/>
            <w:vAlign w:val="center"/>
          </w:tcPr>
          <w:p>
            <w:pPr>
              <w:pStyle w:val="16"/>
            </w:pPr>
            <w:r>
              <w:t>四、公共安全支出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730" w:type="dxa"/>
            <w:vAlign w:val="center"/>
          </w:tcPr>
          <w:p>
            <w:pPr>
              <w:pStyle w:val="16"/>
            </w:pPr>
            <w:r>
              <w:t>五、事业收入</w:t>
            </w:r>
          </w:p>
        </w:tc>
        <w:tc>
          <w:tcPr>
            <w:tcW w:w="1935" w:type="dxa"/>
            <w:vAlign w:val="center"/>
          </w:tcPr>
          <w:p>
            <w:pPr>
              <w:pStyle w:val="15"/>
            </w:pPr>
          </w:p>
        </w:tc>
        <w:tc>
          <w:tcPr>
            <w:tcW w:w="4425" w:type="dxa"/>
            <w:vAlign w:val="center"/>
          </w:tcPr>
          <w:p>
            <w:pPr>
              <w:pStyle w:val="16"/>
            </w:pPr>
            <w:r>
              <w:t>五、教育支出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730" w:type="dxa"/>
            <w:vAlign w:val="center"/>
          </w:tcPr>
          <w:p>
            <w:pPr>
              <w:pStyle w:val="16"/>
            </w:pPr>
            <w:r>
              <w:t>六、事业单位经营收入</w:t>
            </w:r>
          </w:p>
        </w:tc>
        <w:tc>
          <w:tcPr>
            <w:tcW w:w="1935" w:type="dxa"/>
            <w:vAlign w:val="center"/>
          </w:tcPr>
          <w:p>
            <w:pPr>
              <w:pStyle w:val="15"/>
            </w:pPr>
          </w:p>
        </w:tc>
        <w:tc>
          <w:tcPr>
            <w:tcW w:w="4425" w:type="dxa"/>
            <w:vAlign w:val="center"/>
          </w:tcPr>
          <w:p>
            <w:pPr>
              <w:pStyle w:val="16"/>
            </w:pPr>
            <w:r>
              <w:t>六、科学技术支出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730" w:type="dxa"/>
            <w:vAlign w:val="center"/>
          </w:tcPr>
          <w:p>
            <w:pPr>
              <w:pStyle w:val="16"/>
            </w:pPr>
            <w:r>
              <w:t>七、上级补助收入</w:t>
            </w:r>
          </w:p>
        </w:tc>
        <w:tc>
          <w:tcPr>
            <w:tcW w:w="1935" w:type="dxa"/>
            <w:vAlign w:val="center"/>
          </w:tcPr>
          <w:p>
            <w:pPr>
              <w:pStyle w:val="15"/>
            </w:pPr>
          </w:p>
        </w:tc>
        <w:tc>
          <w:tcPr>
            <w:tcW w:w="4425" w:type="dxa"/>
            <w:vAlign w:val="center"/>
          </w:tcPr>
          <w:p>
            <w:pPr>
              <w:pStyle w:val="16"/>
            </w:pPr>
            <w:r>
              <w:t>七、文化旅游体育与传媒支出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730" w:type="dxa"/>
            <w:vAlign w:val="center"/>
          </w:tcPr>
          <w:p>
            <w:pPr>
              <w:pStyle w:val="16"/>
            </w:pPr>
            <w:r>
              <w:t>八、附属单位上缴收入</w:t>
            </w:r>
          </w:p>
        </w:tc>
        <w:tc>
          <w:tcPr>
            <w:tcW w:w="1935" w:type="dxa"/>
            <w:vAlign w:val="center"/>
          </w:tcPr>
          <w:p>
            <w:pPr>
              <w:pStyle w:val="15"/>
            </w:pPr>
          </w:p>
        </w:tc>
        <w:tc>
          <w:tcPr>
            <w:tcW w:w="4425" w:type="dxa"/>
            <w:vAlign w:val="center"/>
          </w:tcPr>
          <w:p>
            <w:pPr>
              <w:pStyle w:val="16"/>
            </w:pPr>
            <w:r>
              <w:t>八、社会保障和就业支出</w:t>
            </w:r>
          </w:p>
        </w:tc>
        <w:tc>
          <w:tcPr>
            <w:tcW w:w="2233" w:type="dxa"/>
            <w:vAlign w:val="center"/>
          </w:tcPr>
          <w:p>
            <w:pPr>
              <w:pStyle w:val="15"/>
              <w:rPr>
                <w:rFonts w:hint="default" w:eastAsia="方正书宋_GBK"/>
                <w:lang w:val="en-US" w:eastAsia="zh-CN"/>
              </w:rPr>
            </w:pPr>
            <w:r>
              <w:t>19</w:t>
            </w:r>
            <w:r>
              <w:rPr>
                <w:rFonts w:hint="eastAsia"/>
                <w:lang w:val="en-US" w:eastAsia="zh-CN"/>
              </w:rPr>
              <w:t>.64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730" w:type="dxa"/>
            <w:vAlign w:val="center"/>
          </w:tcPr>
          <w:p>
            <w:pPr>
              <w:pStyle w:val="16"/>
            </w:pPr>
            <w:r>
              <w:t>九、其他收入</w:t>
            </w:r>
          </w:p>
        </w:tc>
        <w:tc>
          <w:tcPr>
            <w:tcW w:w="1935" w:type="dxa"/>
            <w:vAlign w:val="center"/>
          </w:tcPr>
          <w:p>
            <w:pPr>
              <w:pStyle w:val="15"/>
            </w:pPr>
          </w:p>
        </w:tc>
        <w:tc>
          <w:tcPr>
            <w:tcW w:w="4425" w:type="dxa"/>
            <w:vAlign w:val="center"/>
          </w:tcPr>
          <w:p>
            <w:pPr>
              <w:pStyle w:val="16"/>
            </w:pPr>
            <w:r>
              <w:t>九、社会保险基金支出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十、卫生健康支出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十一、节能环保支出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十二、城乡社区支出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十三、农林水支出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十四、交通运输支出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十五、资源勘探工业信息等支出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十六、商业服务业等支出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十七、金融支出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十八、援助其他地区支出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十九、自然资源海洋气象等支出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二十、住房保障支出</w:t>
            </w:r>
          </w:p>
        </w:tc>
        <w:tc>
          <w:tcPr>
            <w:tcW w:w="2233" w:type="dxa"/>
            <w:vAlign w:val="center"/>
          </w:tcPr>
          <w:p>
            <w:pPr>
              <w:pStyle w:val="15"/>
              <w:rPr>
                <w:rFonts w:hint="default" w:eastAsia="方正书宋_GBK"/>
                <w:lang w:val="en-US" w:eastAsia="zh-CN"/>
              </w:rPr>
            </w:pPr>
            <w:r>
              <w:rPr>
                <w:rFonts w:hint="eastAsia"/>
                <w:lang w:val="en-US" w:eastAsia="zh-CN"/>
              </w:rPr>
              <w:t>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二十一、粮油物资储备支出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二十二、国有资本经营预算支出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二十三、灾害防治及应急管理支出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二十四、预备费</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二十五、其他支出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二十六、转移性支出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二十七、债务还本支出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二十八、债务付息支出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二十九、债务发行费用支出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三十、抗疫特别国债安排的支出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730" w:type="dxa"/>
            <w:vAlign w:val="center"/>
          </w:tcPr>
          <w:p>
            <w:pPr>
              <w:pStyle w:val="18"/>
            </w:pPr>
            <w:r>
              <w:t>本年收入合计</w:t>
            </w:r>
          </w:p>
        </w:tc>
        <w:tc>
          <w:tcPr>
            <w:tcW w:w="1935" w:type="dxa"/>
            <w:vAlign w:val="center"/>
          </w:tcPr>
          <w:p>
            <w:pPr>
              <w:pStyle w:val="19"/>
              <w:rPr>
                <w:rFonts w:hint="default" w:eastAsia="方正书宋_GBK"/>
                <w:lang w:val="en-US" w:eastAsia="zh-CN"/>
              </w:rPr>
            </w:pPr>
            <w:r>
              <w:rPr>
                <w:rFonts w:hint="eastAsia"/>
                <w:lang w:val="en-US" w:eastAsia="zh-CN"/>
              </w:rPr>
              <w:t>153.68</w:t>
            </w:r>
          </w:p>
        </w:tc>
        <w:tc>
          <w:tcPr>
            <w:tcW w:w="4425" w:type="dxa"/>
            <w:vAlign w:val="center"/>
          </w:tcPr>
          <w:p>
            <w:pPr>
              <w:pStyle w:val="18"/>
            </w:pPr>
            <w:r>
              <w:t>本年支出合计</w:t>
            </w:r>
          </w:p>
        </w:tc>
        <w:tc>
          <w:tcPr>
            <w:tcW w:w="2233" w:type="dxa"/>
            <w:vAlign w:val="center"/>
          </w:tcPr>
          <w:p>
            <w:pPr>
              <w:pStyle w:val="19"/>
              <w:rPr>
                <w:rFonts w:hint="default" w:eastAsia="方正书宋_GBK"/>
                <w:lang w:val="en-US" w:eastAsia="zh-CN"/>
              </w:rPr>
            </w:pPr>
            <w:r>
              <w:rPr>
                <w:rFonts w:hint="eastAsia"/>
                <w:lang w:val="en-US" w:eastAsia="zh-CN"/>
              </w:rPr>
              <w:t>153.68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730" w:type="dxa"/>
            <w:vAlign w:val="center"/>
          </w:tcPr>
          <w:p>
            <w:pPr>
              <w:pStyle w:val="16"/>
            </w:pPr>
            <w:r>
              <w:t>上年结转结余</w:t>
            </w:r>
          </w:p>
        </w:tc>
        <w:tc>
          <w:tcPr>
            <w:tcW w:w="1935" w:type="dxa"/>
            <w:vAlign w:val="center"/>
          </w:tcPr>
          <w:p>
            <w:pPr>
              <w:pStyle w:val="15"/>
            </w:pPr>
          </w:p>
        </w:tc>
        <w:tc>
          <w:tcPr>
            <w:tcW w:w="4425" w:type="dxa"/>
            <w:vAlign w:val="center"/>
          </w:tcPr>
          <w:p>
            <w:pPr>
              <w:pStyle w:val="16"/>
            </w:pPr>
            <w:r>
              <w:t>年终结转结余</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730" w:type="dxa"/>
            <w:vAlign w:val="center"/>
          </w:tcPr>
          <w:p>
            <w:pPr>
              <w:pStyle w:val="18"/>
            </w:pPr>
            <w:r>
              <w:t>收入总计</w:t>
            </w:r>
          </w:p>
        </w:tc>
        <w:tc>
          <w:tcPr>
            <w:tcW w:w="1935" w:type="dxa"/>
            <w:vAlign w:val="center"/>
          </w:tcPr>
          <w:p>
            <w:pPr>
              <w:pStyle w:val="19"/>
              <w:rPr>
                <w:rFonts w:hint="default" w:eastAsia="方正书宋_GBK"/>
                <w:lang w:val="en-US" w:eastAsia="zh-CN"/>
              </w:rPr>
            </w:pPr>
            <w:r>
              <w:rPr>
                <w:rFonts w:hint="eastAsia"/>
                <w:lang w:val="en-US" w:eastAsia="zh-CN"/>
              </w:rPr>
              <w:t>153.68</w:t>
            </w:r>
          </w:p>
        </w:tc>
        <w:tc>
          <w:tcPr>
            <w:tcW w:w="4425" w:type="dxa"/>
            <w:vAlign w:val="center"/>
          </w:tcPr>
          <w:p>
            <w:pPr>
              <w:pStyle w:val="18"/>
            </w:pPr>
            <w:r>
              <w:t>支出总计</w:t>
            </w:r>
          </w:p>
        </w:tc>
        <w:tc>
          <w:tcPr>
            <w:tcW w:w="2233" w:type="dxa"/>
            <w:vAlign w:val="center"/>
          </w:tcPr>
          <w:p>
            <w:pPr>
              <w:pStyle w:val="19"/>
              <w:rPr>
                <w:rFonts w:hint="default" w:eastAsia="方正书宋_GBK"/>
                <w:lang w:val="en-US" w:eastAsia="zh-CN"/>
              </w:rPr>
            </w:pPr>
            <w:r>
              <w:rPr>
                <w:rFonts w:hint="eastAsia"/>
                <w:lang w:val="en-US" w:eastAsia="zh-CN"/>
              </w:rPr>
              <w:t>153.68</w:t>
            </w:r>
          </w:p>
        </w:tc>
      </w:tr>
    </w:tbl>
    <w:p>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39"/>
        <w:gridCol w:w="1412"/>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预算年度：2022</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1139" w:type="dxa"/>
            <w:vAlign w:val="center"/>
          </w:tcPr>
          <w:p>
            <w:pPr>
              <w:pStyle w:val="14"/>
            </w:pPr>
            <w:r>
              <w:t>科目    编码</w:t>
            </w:r>
          </w:p>
        </w:tc>
        <w:tc>
          <w:tcPr>
            <w:tcW w:w="1412"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1139" w:type="dxa"/>
            <w:vAlign w:val="center"/>
          </w:tcPr>
          <w:p>
            <w:pPr>
              <w:pStyle w:val="14"/>
            </w:pPr>
            <w:r>
              <w:t>1</w:t>
            </w:r>
          </w:p>
        </w:tc>
        <w:tc>
          <w:tcPr>
            <w:tcW w:w="1412"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1139" w:type="dxa"/>
            <w:vAlign w:val="center"/>
          </w:tcPr>
          <w:p>
            <w:pPr>
              <w:pStyle w:val="20"/>
            </w:pPr>
          </w:p>
        </w:tc>
        <w:tc>
          <w:tcPr>
            <w:tcW w:w="1412" w:type="dxa"/>
            <w:vAlign w:val="center"/>
          </w:tcPr>
          <w:p>
            <w:pPr>
              <w:pStyle w:val="18"/>
            </w:pPr>
            <w:r>
              <w:t>合计</w:t>
            </w:r>
          </w:p>
        </w:tc>
        <w:tc>
          <w:tcPr>
            <w:tcW w:w="1134" w:type="dxa"/>
            <w:vAlign w:val="center"/>
          </w:tcPr>
          <w:p>
            <w:pPr>
              <w:pStyle w:val="19"/>
              <w:rPr>
                <w:rFonts w:hint="default" w:eastAsia="方正书宋_GBK"/>
                <w:lang w:val="en-US" w:eastAsia="zh-CN"/>
              </w:rPr>
            </w:pPr>
            <w:r>
              <w:rPr>
                <w:rFonts w:hint="eastAsia"/>
                <w:lang w:val="en-US" w:eastAsia="zh-CN"/>
              </w:rPr>
              <w:t>153.68</w:t>
            </w:r>
          </w:p>
        </w:tc>
        <w:tc>
          <w:tcPr>
            <w:tcW w:w="1134" w:type="dxa"/>
            <w:vAlign w:val="center"/>
          </w:tcPr>
          <w:p>
            <w:pPr>
              <w:pStyle w:val="19"/>
              <w:rPr>
                <w:rFonts w:hint="default" w:eastAsia="方正书宋_GBK"/>
                <w:lang w:val="en-US" w:eastAsia="zh-CN"/>
              </w:rPr>
            </w:pPr>
            <w:r>
              <w:rPr>
                <w:rFonts w:hint="eastAsia"/>
                <w:lang w:val="en-US" w:eastAsia="zh-CN"/>
              </w:rPr>
              <w:t>153.68</w:t>
            </w:r>
          </w:p>
        </w:tc>
        <w:tc>
          <w:tcPr>
            <w:tcW w:w="1134" w:type="dxa"/>
            <w:vAlign w:val="center"/>
          </w:tcPr>
          <w:p>
            <w:pPr>
              <w:pStyle w:val="19"/>
              <w:rPr>
                <w:rFonts w:hint="default" w:eastAsia="方正书宋_GBK"/>
                <w:lang w:val="en-US" w:eastAsia="zh-CN"/>
              </w:rPr>
            </w:pPr>
            <w:r>
              <w:rPr>
                <w:rFonts w:hint="eastAsia"/>
                <w:lang w:val="en-US" w:eastAsia="zh-CN"/>
              </w:rPr>
              <w:t>153.68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20132</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组织事务</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2013201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2013299</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其他组织事务支出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7</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2080502</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事业单位离退休</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13</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35"/>
        <w:gridCol w:w="4393"/>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722" w:type="dxa"/>
            <w:gridSpan w:val="2"/>
            <w:tcBorders>
              <w:top w:val="single" w:color="FFFFFF" w:sz="6" w:space="0"/>
              <w:left w:val="single" w:color="FFFFFF" w:sz="6" w:space="0"/>
              <w:right w:val="single" w:color="FFFFFF" w:sz="6" w:space="0"/>
            </w:tcBorders>
            <w:vAlign w:val="center"/>
          </w:tcPr>
          <w:p>
            <w:pPr>
              <w:pStyle w:val="12"/>
            </w:pPr>
            <w:r>
              <w:t>预算年度：2022</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35" w:type="dxa"/>
            <w:vAlign w:val="center"/>
          </w:tcPr>
          <w:p>
            <w:pPr>
              <w:pStyle w:val="14"/>
            </w:pPr>
            <w:r>
              <w:t>科目    编码</w:t>
            </w:r>
          </w:p>
        </w:tc>
        <w:tc>
          <w:tcPr>
            <w:tcW w:w="4393"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35" w:type="dxa"/>
            <w:vAlign w:val="center"/>
          </w:tcPr>
          <w:p>
            <w:pPr>
              <w:pStyle w:val="14"/>
            </w:pPr>
            <w:r>
              <w:t>1</w:t>
            </w:r>
          </w:p>
        </w:tc>
        <w:tc>
          <w:tcPr>
            <w:tcW w:w="4393"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35" w:type="dxa"/>
            <w:vAlign w:val="center"/>
          </w:tcPr>
          <w:p>
            <w:pPr>
              <w:pStyle w:val="20"/>
            </w:pPr>
          </w:p>
        </w:tc>
        <w:tc>
          <w:tcPr>
            <w:tcW w:w="4393" w:type="dxa"/>
            <w:vAlign w:val="center"/>
          </w:tcPr>
          <w:p>
            <w:pPr>
              <w:pStyle w:val="18"/>
            </w:pPr>
            <w:r>
              <w:t>合计</w:t>
            </w:r>
          </w:p>
        </w:tc>
        <w:tc>
          <w:tcPr>
            <w:tcW w:w="1361" w:type="dxa"/>
            <w:vAlign w:val="center"/>
          </w:tcPr>
          <w:p>
            <w:pPr>
              <w:pStyle w:val="19"/>
              <w:rPr>
                <w:rFonts w:hint="default" w:eastAsia="方正书宋_GBK"/>
                <w:lang w:val="en-US" w:eastAsia="zh-CN"/>
              </w:rPr>
            </w:pPr>
            <w:r>
              <w:rPr>
                <w:rFonts w:hint="eastAsia"/>
                <w:lang w:val="en-US" w:eastAsia="zh-CN"/>
              </w:rPr>
              <w:t>153.68</w:t>
            </w:r>
          </w:p>
        </w:tc>
        <w:tc>
          <w:tcPr>
            <w:tcW w:w="1361" w:type="dxa"/>
            <w:vAlign w:val="center"/>
          </w:tcPr>
          <w:p>
            <w:pPr>
              <w:pStyle w:val="19"/>
              <w:rPr>
                <w:rFonts w:hint="default" w:eastAsia="方正书宋_GBK"/>
                <w:lang w:val="en-US" w:eastAsia="zh-CN"/>
              </w:rPr>
            </w:pPr>
            <w:r>
              <w:rPr>
                <w:rFonts w:hint="eastAsia"/>
                <w:lang w:val="en-US" w:eastAsia="zh-CN"/>
              </w:rPr>
              <w:t>143.28</w:t>
            </w:r>
          </w:p>
        </w:tc>
        <w:tc>
          <w:tcPr>
            <w:tcW w:w="1361" w:type="dxa"/>
            <w:vAlign w:val="center"/>
          </w:tcPr>
          <w:p>
            <w:pPr>
              <w:pStyle w:val="19"/>
              <w:rPr>
                <w:rFonts w:hint="default" w:eastAsia="方正书宋_GBK"/>
                <w:lang w:val="en-US" w:eastAsia="zh-CN"/>
              </w:rPr>
            </w:pPr>
            <w:r>
              <w:rPr>
                <w:rFonts w:hint="eastAsia"/>
                <w:lang w:val="en-US" w:eastAsia="zh-CN"/>
              </w:rPr>
              <w:t>10.40</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20132</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组织事务</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2013201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2013299</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其他组织事务支出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2080502</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事业单位离退休</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3402" w:type="dxa"/>
            <w:tcBorders>
              <w:top w:val="single" w:color="FFFFFF" w:sz="6" w:space="0"/>
              <w:left w:val="single" w:color="FFFFFF" w:sz="6" w:space="0"/>
              <w:right w:val="single" w:color="FFFFFF" w:sz="6" w:space="0"/>
            </w:tcBorders>
            <w:vAlign w:val="center"/>
          </w:tcPr>
          <w:p>
            <w:pPr>
              <w:pStyle w:val="12"/>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153.68</w:t>
            </w:r>
          </w:p>
        </w:tc>
        <w:tc>
          <w:tcPr>
            <w:tcW w:w="3402" w:type="dxa"/>
            <w:vAlign w:val="center"/>
          </w:tcPr>
          <w:p>
            <w:pPr>
              <w:pStyle w:val="16"/>
            </w:pPr>
            <w:r>
              <w:t>一、一般公共服务支出</w:t>
            </w:r>
          </w:p>
        </w:tc>
        <w:tc>
          <w:tcPr>
            <w:tcW w:w="1474" w:type="dxa"/>
            <w:vAlign w:val="center"/>
          </w:tcPr>
          <w:p>
            <w:pPr>
              <w:pStyle w:val="15"/>
            </w:pPr>
            <w:r>
              <w:t>128.</w:t>
            </w:r>
            <w:r>
              <w:rPr>
                <w:rFonts w:hint="eastAsia"/>
                <w:lang w:val="en-US" w:eastAsia="zh-CN"/>
              </w:rPr>
              <w:t>0</w:t>
            </w:r>
            <w:r>
              <w:t>5</w:t>
            </w:r>
          </w:p>
        </w:tc>
        <w:tc>
          <w:tcPr>
            <w:tcW w:w="1474" w:type="dxa"/>
            <w:vAlign w:val="center"/>
          </w:tcPr>
          <w:p>
            <w:pPr>
              <w:pStyle w:val="15"/>
            </w:pPr>
            <w:r>
              <w:t>128.</w:t>
            </w:r>
            <w:r>
              <w:rPr>
                <w:rFonts w:hint="eastAsia"/>
                <w:lang w:val="en-US" w:eastAsia="zh-CN"/>
              </w:rPr>
              <w:t>0</w:t>
            </w:r>
            <w:r>
              <w:t>5</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rPr>
                <w:rFonts w:hint="default" w:eastAsia="方正书宋_GBK"/>
                <w:lang w:val="en-US" w:eastAsia="zh-CN"/>
              </w:rPr>
            </w:pPr>
            <w:r>
              <w:t>19</w:t>
            </w:r>
            <w:r>
              <w:rPr>
                <w:rFonts w:hint="eastAsia"/>
                <w:lang w:val="en-US" w:eastAsia="zh-CN"/>
              </w:rPr>
              <w:t>.64</w:t>
            </w:r>
          </w:p>
        </w:tc>
        <w:tc>
          <w:tcPr>
            <w:tcW w:w="1474" w:type="dxa"/>
            <w:vAlign w:val="center"/>
          </w:tcPr>
          <w:p>
            <w:pPr>
              <w:pStyle w:val="15"/>
              <w:rPr>
                <w:rFonts w:hint="default" w:eastAsia="方正书宋_GBK"/>
                <w:lang w:val="en-US" w:eastAsia="zh-CN"/>
              </w:rPr>
            </w:pPr>
            <w:r>
              <w:t>19</w:t>
            </w:r>
            <w:r>
              <w:rPr>
                <w:rFonts w:hint="eastAsia"/>
                <w:lang w:val="en-US" w:eastAsia="zh-CN"/>
              </w:rPr>
              <w:t>.64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5.99</w:t>
            </w:r>
          </w:p>
        </w:tc>
        <w:tc>
          <w:tcPr>
            <w:tcW w:w="1474" w:type="dxa"/>
            <w:vAlign w:val="center"/>
          </w:tcPr>
          <w:p>
            <w:pPr>
              <w:pStyle w:val="15"/>
              <w:rPr>
                <w:rFonts w:hint="default" w:eastAsia="方正书宋_GBK"/>
                <w:lang w:val="en-US" w:eastAsia="zh-CN"/>
              </w:rPr>
            </w:pPr>
            <w:r>
              <w:rPr>
                <w:rFonts w:hint="eastAsia"/>
                <w:lang w:val="en-US" w:eastAsia="zh-CN"/>
              </w:rPr>
              <w:t>5.99</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3402" w:type="dxa"/>
            <w:vAlign w:val="center"/>
          </w:tcPr>
          <w:p>
            <w:pPr>
              <w:pStyle w:val="18"/>
            </w:pPr>
            <w:r>
              <w:t>本年支出合计</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3402" w:type="dxa"/>
            <w:vAlign w:val="center"/>
          </w:tcPr>
          <w:p>
            <w:pPr>
              <w:pStyle w:val="18"/>
            </w:pPr>
            <w:r>
              <w:t>支出总计</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1474" w:type="dxa"/>
            <w:vAlign w:val="center"/>
          </w:tcPr>
          <w:p>
            <w:pPr>
              <w:pStyle w:val="19"/>
              <w:rPr>
                <w:rFonts w:hint="default" w:eastAsia="方正书宋_GBK"/>
                <w:lang w:val="en-US" w:eastAsia="zh-CN"/>
              </w:rPr>
            </w:pPr>
            <w:r>
              <w:rPr>
                <w:rFonts w:hint="eastAsia"/>
                <w:lang w:val="en-US" w:eastAsia="zh-CN"/>
              </w:rPr>
              <w:t>153.68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rPr>
                <w:rFonts w:hint="eastAsia"/>
                <w:lang w:val="en-US" w:eastAsia="zh-CN"/>
              </w:rPr>
              <w:t>153.68</w:t>
            </w:r>
          </w:p>
        </w:tc>
        <w:tc>
          <w:tcPr>
            <w:tcW w:w="2551" w:type="dxa"/>
            <w:vAlign w:val="center"/>
          </w:tcPr>
          <w:p>
            <w:pPr>
              <w:pStyle w:val="19"/>
              <w:rPr>
                <w:rFonts w:hint="default" w:eastAsia="方正书宋_GBK"/>
                <w:lang w:val="en-US" w:eastAsia="zh-CN"/>
              </w:rPr>
            </w:pPr>
            <w:r>
              <w:rPr>
                <w:rFonts w:hint="eastAsia"/>
                <w:lang w:val="en-US" w:eastAsia="zh-CN"/>
              </w:rPr>
              <w:t>143.28</w:t>
            </w:r>
          </w:p>
        </w:tc>
        <w:tc>
          <w:tcPr>
            <w:tcW w:w="2551" w:type="dxa"/>
            <w:vAlign w:val="center"/>
          </w:tcPr>
          <w:p>
            <w:pPr>
              <w:pStyle w:val="19"/>
              <w:rPr>
                <w:rFonts w:hint="default" w:eastAsia="方正书宋_GBK"/>
                <w:lang w:val="en-US" w:eastAsia="zh-CN"/>
              </w:rPr>
            </w:pPr>
            <w:r>
              <w:rPr>
                <w:rFonts w:hint="eastAsia"/>
                <w:lang w:val="en-US" w:eastAsia="zh-CN"/>
              </w:rP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20132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组织事务</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128.05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2013201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117.65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2013299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其他组织事务支出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19.64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事业单位离退休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rPr>
                <w:rFonts w:hint="eastAsia"/>
                <w:lang w:val="en-US" w:eastAsia="zh-CN"/>
              </w:rPr>
              <w:t>143.28</w:t>
            </w:r>
          </w:p>
        </w:tc>
        <w:tc>
          <w:tcPr>
            <w:tcW w:w="2551" w:type="dxa"/>
            <w:vAlign w:val="center"/>
          </w:tcPr>
          <w:p>
            <w:pPr>
              <w:pStyle w:val="19"/>
              <w:rPr>
                <w:rFonts w:hint="default" w:eastAsia="方正书宋_GBK"/>
                <w:lang w:val="en-US" w:eastAsia="zh-CN"/>
              </w:rPr>
            </w:pPr>
            <w:r>
              <w:rPr>
                <w:rFonts w:hint="eastAsia"/>
                <w:lang w:val="en-US" w:eastAsia="zh-CN"/>
              </w:rPr>
              <w:t>130.51</w:t>
            </w:r>
          </w:p>
        </w:tc>
        <w:tc>
          <w:tcPr>
            <w:tcW w:w="2552" w:type="dxa"/>
            <w:vAlign w:val="center"/>
          </w:tcPr>
          <w:p>
            <w:pPr>
              <w:pStyle w:val="19"/>
              <w:rPr>
                <w:rFonts w:hint="default" w:eastAsia="方正书宋_GBK"/>
                <w:lang w:val="en-US" w:eastAsia="zh-CN"/>
              </w:rPr>
            </w:pPr>
            <w:r>
              <w:rPr>
                <w:rFonts w:hint="eastAsia"/>
                <w:lang w:val="en-US" w:eastAsia="zh-CN"/>
              </w:rPr>
              <w:t>12.77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120.62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120.62</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基本工资</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49.54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49.54</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25.28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25.28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10.93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10.93</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3.27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3.27</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12.87</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6.65</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城镇职工基本医疗保险缴费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5.48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5.48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0.61</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0.61</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5.99</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商品和服务支出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19.28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6.51</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12.77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办公费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3.73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3.73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印刷费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电费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邮电费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0.54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取暖费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2.13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2.13</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差旅费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会议费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公务接待费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30239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其他交通费用</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4.38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4.38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对个人和家庭的补助</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3.38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3.38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退休费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0.12</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30399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其他对个人和家庭的补助</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3.26</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3.26</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381" w:type="dxa"/>
            <w:tcBorders>
              <w:top w:val="single" w:color="FFFFFF" w:sz="6" w:space="0"/>
              <w:left w:val="single" w:color="FFFFFF" w:sz="6" w:space="0"/>
              <w:right w:val="single" w:color="FFFFFF" w:sz="6" w:space="0"/>
            </w:tcBorders>
            <w:vAlign w:val="center"/>
          </w:tcPr>
          <w:p>
            <w:pPr>
              <w:pStyle w:val="12"/>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rPr>
                <w:rFonts w:hint="default" w:eastAsia="方正书宋_GBK"/>
                <w:lang w:val="en-US" w:eastAsia="zh-CN"/>
              </w:rPr>
            </w:pPr>
            <w:r>
              <w:rPr>
                <w:rFonts w:hint="eastAsia"/>
                <w:lang w:val="en-US" w:eastAsia="zh-CN"/>
              </w:rPr>
              <w:t>2.00</w:t>
            </w:r>
          </w:p>
        </w:tc>
        <w:tc>
          <w:tcPr>
            <w:tcW w:w="2381" w:type="dxa"/>
            <w:vAlign w:val="center"/>
          </w:tcPr>
          <w:p>
            <w:pPr>
              <w:pStyle w:val="19"/>
              <w:rPr>
                <w:rFonts w:hint="default" w:eastAsia="方正书宋_GBK"/>
                <w:lang w:val="en-US" w:eastAsia="zh-CN"/>
              </w:rPr>
            </w:pPr>
            <w:r>
              <w:t>2</w:t>
            </w:r>
            <w:r>
              <w:rPr>
                <w:rFonts w:hint="eastAsia"/>
                <w:lang w:val="en-US" w:eastAsia="zh-CN"/>
              </w:rPr>
              <w:t>.00</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pPr>
          </w:p>
        </w:tc>
        <w:tc>
          <w:tcPr>
            <w:tcW w:w="2381" w:type="dxa"/>
            <w:vAlign w:val="center"/>
          </w:tcPr>
          <w:p>
            <w:pPr>
              <w:pStyle w:val="15"/>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b w:val="0"/>
          <w:color w:val="000000"/>
          <w:sz w:val="44"/>
        </w:rPr>
        <w:t>中共涞源县委机构编制委员会办公室本级</w:t>
      </w:r>
      <w:r>
        <w:rPr>
          <w:rFonts w:ascii="方正小标宋_GBK" w:hAnsi="方正小标宋_GBK" w:eastAsia="方正小标宋_GBK" w:cs="方正小标宋_GBK"/>
          <w:color w:val="000000"/>
          <w:sz w:val="44"/>
        </w:rPr>
        <w:t>2022年单位预算信息公开情况说明</w:t>
      </w:r>
    </w:p>
    <w:p>
      <w:pPr>
        <w:spacing w:line="500" w:lineRule="exact"/>
        <w:ind w:firstLine="560"/>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bookmarkStart w:id="1" w:name="_GoBack"/>
      <w:bookmarkEnd w:id="1"/>
      <w:r>
        <w:rPr>
          <w:rFonts w:ascii="Times New Roman" w:hAnsi="Times New Roman" w:eastAsia="方正仿宋_GBK" w:cs="Times New Roman"/>
          <w:b w:val="0"/>
          <w:color w:val="000000"/>
          <w:sz w:val="28"/>
        </w:rPr>
        <w:t>预算法》、《地方预决算公开操作规程》和《关于进一步推进预算公开工作的实施意见》规定，现将中共涞源县委机构编制委员会办公室本级2022年单位预算公开如下：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33"/>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pPr>
        <w:pStyle w:val="33"/>
      </w:pPr>
      <w:r>
        <w:t>(二) 组织拟定全县行政管理体制与机构改革总体方案并组织实施。拟定县委、县政府及乡(镇)机构改革方案。审核县委、县政府各部门职能配置、机构设置、人员编制和领导职数。</w:t>
      </w:r>
    </w:p>
    <w:p>
      <w:pPr>
        <w:pStyle w:val="33"/>
      </w:pPr>
      <w:r>
        <w:t>(三) 协调县委、县政府各部门的职能配置及其调整，协调县委各部门之间、县政府各部门之间、县委各部门与县政府各部门之间以及县直各部门与乡(镇)之间的职责分工。</w:t>
      </w:r>
    </w:p>
    <w:p>
      <w:pPr>
        <w:pStyle w:val="33"/>
      </w:pPr>
      <w:r>
        <w:t>(四) 审核县人大、县政协、县法院、县检察院、县级人民团体机关的职能配置、机构设置、人员编制和领导职数。</w:t>
      </w:r>
    </w:p>
    <w:p>
      <w:pPr>
        <w:pStyle w:val="33"/>
      </w:pPr>
      <w:r>
        <w:t>(五) 审核或审批县委、县政府及各部门的派出机构的职能配置、机构设置、人员编制和领导职数。</w:t>
      </w:r>
    </w:p>
    <w:p>
      <w:pPr>
        <w:pStyle w:val="33"/>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pPr>
        <w:pStyle w:val="33"/>
      </w:pPr>
      <w:r>
        <w:t>(七) 负责机构编制日常管理。负责对全县机构编制的总量控制、动态管理和机构编制标准化工作。负责机构编制实名制管理，以及编制使用核准等工作。建立健全机构编制部门与有关部门的配合制约机制。</w:t>
      </w:r>
    </w:p>
    <w:p>
      <w:pPr>
        <w:pStyle w:val="33"/>
      </w:pPr>
      <w:r>
        <w:t>(八) 负责对各级行政、事业单位管理体制和机构改革及机构编制执行情况的跟踪评估和监督检查。负责受理违反机构编制法规、纪律的检举、控告和投诉，对违反机构编制法规、纪律问题进行调查处理。</w:t>
      </w:r>
    </w:p>
    <w:p>
      <w:pPr>
        <w:pStyle w:val="33"/>
      </w:pPr>
      <w:r>
        <w:t>(九) 负责全县机构编制信息管理系统、电子政务和机构编制网站的建设和管理。负责县乡机关事业单位机构编制统计工作。指导全县党政群机关、事业单位和其他非营利性单位网上名称管理工作。</w:t>
      </w:r>
    </w:p>
    <w:p>
      <w:pPr>
        <w:pStyle w:val="33"/>
      </w:pPr>
      <w:r>
        <w:t>(十)负责行政审批制度改革工作，做好行政审批项目的取消、承接工作，优化行政审批流程，加强行政执法部门建设，减少规范行政审批，减少政府对微观经济运行的干预，实现审改工作的制度化、规范化、标准化。</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中共涞源县委机构编制委员会办公室本级</w:t>
            </w:r>
          </w:p>
        </w:tc>
        <w:tc>
          <w:tcPr>
            <w:tcW w:w="1843" w:type="dxa"/>
            <w:vAlign w:val="center"/>
          </w:tcPr>
          <w:p>
            <w:pPr>
              <w:pStyle w:val="17"/>
            </w:pPr>
            <w:r>
              <w:t>行政</w:t>
            </w:r>
          </w:p>
        </w:tc>
        <w:tc>
          <w:tcPr>
            <w:tcW w:w="2126" w:type="dxa"/>
            <w:vAlign w:val="center"/>
          </w:tcPr>
          <w:p>
            <w:pPr>
              <w:pStyle w:val="17"/>
            </w:pPr>
            <w:r>
              <w:t>正</w:t>
            </w:r>
            <w:r>
              <w:rPr>
                <w:rFonts w:hint="eastAsia"/>
                <w:lang w:eastAsia="zh-CN"/>
              </w:rPr>
              <w:t>科</w:t>
            </w:r>
            <w:r>
              <w:t>级</w:t>
            </w:r>
          </w:p>
        </w:tc>
        <w:tc>
          <w:tcPr>
            <w:tcW w:w="3827" w:type="dxa"/>
            <w:vAlign w:val="center"/>
          </w:tcPr>
          <w:p>
            <w:pPr>
              <w:pStyle w:val="17"/>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34"/>
      </w:pPr>
      <w:r>
        <w:t>按照预算管理有关规定，目前我省单位预算的编制实行综合预算管理，即全部收入和支出都反映在预算中。</w:t>
      </w:r>
    </w:p>
    <w:p>
      <w:pPr>
        <w:pStyle w:val="34"/>
      </w:pPr>
      <w:r>
        <w:t>1、收入说明</w:t>
      </w:r>
    </w:p>
    <w:p>
      <w:pPr>
        <w:pStyle w:val="34"/>
      </w:pPr>
      <w:r>
        <w:t>反映本单位当年全部收入。2022年预算收入153.68万元，其中：一般公共预算收入153.68万元，基金预算收入0万元，国有资本经营预算收入0万元，财政专户核拨收入0万元，单位资金收入0万元，上年结转结余0万元。</w:t>
      </w:r>
    </w:p>
    <w:p>
      <w:pPr>
        <w:pStyle w:val="34"/>
      </w:pPr>
      <w:r>
        <w:t>2、支出说明</w:t>
      </w:r>
    </w:p>
    <w:p>
      <w:pPr>
        <w:pStyle w:val="34"/>
      </w:pPr>
      <w:r>
        <w:t>收支预算总表支出栏、基本支出表、项目支出表按经济分类和支出功能分类科目编制，反映中共涞源县委机构编制委员会办公室本级年度单位预算中支出预算的总体情况。2022年支出预算153.68万元，其中基本支出143.28万元，包括人员经费130.51万元和日常公用经费12.77万元；项目支出10.40万元主要为编办中文域名注册及续费管理、事业单位法人年度报告、编办事业单位登记费、编办档案维护管理专项。</w:t>
      </w:r>
    </w:p>
    <w:p>
      <w:pPr>
        <w:pStyle w:val="34"/>
      </w:pPr>
      <w:r>
        <w:t>3、比上年增减情况</w:t>
      </w:r>
    </w:p>
    <w:p>
      <w:pPr>
        <w:pStyle w:val="34"/>
      </w:pPr>
      <w:r>
        <w:t>2022年预算收支安排153.68万元，较2021年预算增加29.1万元，其中：基本支出增加29.1万元，主要为增加人员经费支出；项目支出无增加。</w:t>
      </w:r>
    </w:p>
    <w:p>
      <w:pPr>
        <w:spacing w:before="10" w:after="10"/>
        <w:ind w:firstLine="640"/>
        <w:outlineLvl w:val="5"/>
      </w:pPr>
      <w:r>
        <w:rPr>
          <w:rFonts w:ascii="黑体" w:hAnsi="黑体" w:eastAsia="黑体" w:cs="黑体"/>
          <w:color w:val="000000"/>
          <w:sz w:val="32"/>
        </w:rPr>
        <w:t>三、机关运行经费安排情况</w:t>
      </w:r>
    </w:p>
    <w:p>
      <w:pPr>
        <w:pStyle w:val="35"/>
      </w:pPr>
      <w:r>
        <w:t>2022年，我单位运行经费共计安排12.77万元，主要用于办公费、印刷费、电费、邮电费、差旅费、会议费、公务接待费等日常运行支出。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6"/>
      </w:pPr>
      <w:r>
        <w:t>2022年，我单位财政拨款“三公”经费预算安排2万元，其中因公出国（境）费0万元；公务用车购置及运维费0万元（其中：公务用车购置费为0万元，公务用车运维费0万元)；公务接待费2万元。与2021年相比无增减变化。</w:t>
      </w:r>
    </w:p>
    <w:p>
      <w:pPr>
        <w:spacing w:before="10" w:after="10"/>
        <w:ind w:firstLine="640"/>
        <w:outlineLvl w:val="5"/>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1、编办档案维护管理专项绩效目标表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1.保障档案的完整性及可查阅性</w:t>
            </w:r>
            <w:r>
              <w:tab/>
            </w:r>
            <w:r>
              <w:tab/>
            </w:r>
            <w:r>
              <w:tab/>
            </w:r>
            <w:r>
              <w:tab/>
            </w:r>
            <w:r>
              <w:tab/>
            </w:r>
          </w:p>
          <w:p>
            <w:pPr>
              <w:pStyle w:val="16"/>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整理档案数量</w:t>
            </w:r>
          </w:p>
        </w:tc>
        <w:tc>
          <w:tcPr>
            <w:tcW w:w="2835" w:type="dxa"/>
            <w:vAlign w:val="center"/>
          </w:tcPr>
          <w:p>
            <w:pPr>
              <w:pStyle w:val="16"/>
            </w:pPr>
            <w:r>
              <w:t>整理340个单位的编制档案</w:t>
            </w:r>
          </w:p>
        </w:tc>
        <w:tc>
          <w:tcPr>
            <w:tcW w:w="2551" w:type="dxa"/>
            <w:vAlign w:val="center"/>
          </w:tcPr>
          <w:p>
            <w:pPr>
              <w:pStyle w:val="16"/>
            </w:pPr>
            <w:r>
              <w:t>340个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档案完整率</w:t>
            </w:r>
          </w:p>
        </w:tc>
        <w:tc>
          <w:tcPr>
            <w:tcW w:w="2835" w:type="dxa"/>
            <w:vAlign w:val="center"/>
          </w:tcPr>
          <w:p>
            <w:pPr>
              <w:pStyle w:val="16"/>
            </w:pPr>
            <w:r>
              <w:t>提高档案完整率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工作按时完成率</w:t>
            </w:r>
          </w:p>
        </w:tc>
        <w:tc>
          <w:tcPr>
            <w:tcW w:w="2835" w:type="dxa"/>
            <w:vAlign w:val="center"/>
          </w:tcPr>
          <w:p>
            <w:pPr>
              <w:pStyle w:val="16"/>
            </w:pPr>
            <w:r>
              <w:t>工作按时完成率</w:t>
            </w:r>
          </w:p>
        </w:tc>
        <w:tc>
          <w:tcPr>
            <w:tcW w:w="2551" w:type="dxa"/>
            <w:vAlign w:val="center"/>
          </w:tcPr>
          <w:p>
            <w:pPr>
              <w:pStyle w:val="16"/>
            </w:pPr>
            <w:r>
              <w:t>≤1年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预算执行率</w:t>
            </w:r>
          </w:p>
        </w:tc>
        <w:tc>
          <w:tcPr>
            <w:tcW w:w="2835" w:type="dxa"/>
            <w:vAlign w:val="center"/>
          </w:tcPr>
          <w:p>
            <w:pPr>
              <w:pStyle w:val="16"/>
            </w:pPr>
            <w:r>
              <w:t>实际支出/预算×100%</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得到增强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得到增强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生态效益指标</w:t>
            </w:r>
          </w:p>
        </w:tc>
        <w:tc>
          <w:tcPr>
            <w:tcW w:w="2835" w:type="dxa"/>
            <w:vAlign w:val="center"/>
          </w:tcPr>
          <w:p>
            <w:pPr>
              <w:pStyle w:val="16"/>
            </w:pPr>
            <w:r>
              <w:t>生态效益指标</w:t>
            </w:r>
          </w:p>
        </w:tc>
        <w:tc>
          <w:tcPr>
            <w:tcW w:w="2551" w:type="dxa"/>
            <w:vAlign w:val="center"/>
          </w:tcPr>
          <w:p>
            <w:pPr>
              <w:pStyle w:val="16"/>
            </w:pPr>
            <w:r>
              <w:t>得到增强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档案持续使用</w:t>
            </w:r>
          </w:p>
        </w:tc>
        <w:tc>
          <w:tcPr>
            <w:tcW w:w="2835" w:type="dxa"/>
            <w:vAlign w:val="center"/>
          </w:tcPr>
          <w:p>
            <w:pPr>
              <w:pStyle w:val="16"/>
            </w:pPr>
            <w:r>
              <w:t>提高档案的可使用性</w:t>
            </w:r>
          </w:p>
        </w:tc>
        <w:tc>
          <w:tcPr>
            <w:tcW w:w="2551" w:type="dxa"/>
            <w:vAlign w:val="center"/>
          </w:tcPr>
          <w:p>
            <w:pPr>
              <w:pStyle w:val="16"/>
            </w:pPr>
            <w:r>
              <w:t>档案永久随时可查</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用户使用满意度</w:t>
            </w:r>
          </w:p>
        </w:tc>
        <w:tc>
          <w:tcPr>
            <w:tcW w:w="2835" w:type="dxa"/>
            <w:vAlign w:val="center"/>
          </w:tcPr>
          <w:p>
            <w:pPr>
              <w:pStyle w:val="16"/>
            </w:pPr>
            <w:r>
              <w:t>用户使用满意度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2、编办事业单位登记费绩效目标表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1.对事业单位登记事项进行监管，并对登记真实性、是否按时上报年度报告等情况进行监管、保障单位工作运转正常</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服务单位数量</w:t>
            </w:r>
          </w:p>
        </w:tc>
        <w:tc>
          <w:tcPr>
            <w:tcW w:w="2835" w:type="dxa"/>
            <w:vAlign w:val="center"/>
          </w:tcPr>
          <w:p>
            <w:pPr>
              <w:pStyle w:val="16"/>
            </w:pPr>
            <w:r>
              <w:t>保证111个事业单位登记工作顺利进行</w:t>
            </w:r>
          </w:p>
        </w:tc>
        <w:tc>
          <w:tcPr>
            <w:tcW w:w="2551" w:type="dxa"/>
            <w:vAlign w:val="center"/>
          </w:tcPr>
          <w:p>
            <w:pPr>
              <w:pStyle w:val="16"/>
            </w:pPr>
            <w:r>
              <w:t>≥111个</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登记质量</w:t>
            </w:r>
          </w:p>
        </w:tc>
        <w:tc>
          <w:tcPr>
            <w:tcW w:w="2835" w:type="dxa"/>
            <w:vAlign w:val="center"/>
          </w:tcPr>
          <w:p>
            <w:pPr>
              <w:pStyle w:val="16"/>
            </w:pPr>
            <w:r>
              <w:t>提高登记质量</w:t>
            </w:r>
          </w:p>
        </w:tc>
        <w:tc>
          <w:tcPr>
            <w:tcW w:w="2551" w:type="dxa"/>
            <w:vAlign w:val="center"/>
          </w:tcPr>
          <w:p>
            <w:pPr>
              <w:pStyle w:val="16"/>
            </w:pPr>
            <w:r>
              <w:t>登记真实</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工作按时完成率</w:t>
            </w:r>
          </w:p>
        </w:tc>
        <w:tc>
          <w:tcPr>
            <w:tcW w:w="2835" w:type="dxa"/>
            <w:vAlign w:val="center"/>
          </w:tcPr>
          <w:p>
            <w:pPr>
              <w:pStyle w:val="16"/>
            </w:pPr>
            <w:r>
              <w:t>工作按时完成率</w:t>
            </w:r>
          </w:p>
        </w:tc>
        <w:tc>
          <w:tcPr>
            <w:tcW w:w="2551" w:type="dxa"/>
            <w:vAlign w:val="center"/>
          </w:tcPr>
          <w:p>
            <w:pPr>
              <w:pStyle w:val="16"/>
            </w:pPr>
            <w:r>
              <w:t>≤1年</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预算执行率</w:t>
            </w:r>
          </w:p>
        </w:tc>
        <w:tc>
          <w:tcPr>
            <w:tcW w:w="2835" w:type="dxa"/>
            <w:vAlign w:val="center"/>
          </w:tcPr>
          <w:p>
            <w:pPr>
              <w:pStyle w:val="16"/>
            </w:pPr>
            <w:r>
              <w:t>实际支出/预算×100%</w:t>
            </w:r>
          </w:p>
        </w:tc>
        <w:tc>
          <w:tcPr>
            <w:tcW w:w="2551" w:type="dxa"/>
            <w:vAlign w:val="center"/>
          </w:tcPr>
          <w:p>
            <w:pPr>
              <w:pStyle w:val="16"/>
            </w:pPr>
            <w:r>
              <w:t>≤100%</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生态效益指标</w:t>
            </w:r>
          </w:p>
        </w:tc>
        <w:tc>
          <w:tcPr>
            <w:tcW w:w="2835" w:type="dxa"/>
            <w:vAlign w:val="center"/>
          </w:tcPr>
          <w:p>
            <w:pPr>
              <w:pStyle w:val="16"/>
            </w:pPr>
            <w:r>
              <w:t>生态效益指标</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完成本部门行政许可</w:t>
            </w:r>
          </w:p>
        </w:tc>
        <w:tc>
          <w:tcPr>
            <w:tcW w:w="2835" w:type="dxa"/>
            <w:vAlign w:val="center"/>
          </w:tcPr>
          <w:p>
            <w:pPr>
              <w:pStyle w:val="16"/>
            </w:pPr>
            <w:r>
              <w:t>设立、撤销、变更事业单位法人证书</w:t>
            </w:r>
          </w:p>
        </w:tc>
        <w:tc>
          <w:tcPr>
            <w:tcW w:w="2551" w:type="dxa"/>
            <w:vAlign w:val="center"/>
          </w:tcPr>
          <w:p>
            <w:pPr>
              <w:pStyle w:val="16"/>
            </w:pPr>
            <w:r>
              <w:t>与实际情况一致</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用户使用满意度</w:t>
            </w:r>
          </w:p>
        </w:tc>
        <w:tc>
          <w:tcPr>
            <w:tcW w:w="2835" w:type="dxa"/>
            <w:vAlign w:val="center"/>
          </w:tcPr>
          <w:p>
            <w:pPr>
              <w:pStyle w:val="16"/>
            </w:pPr>
            <w:r>
              <w:t>用户使用满意度</w:t>
            </w:r>
          </w:p>
        </w:tc>
        <w:tc>
          <w:tcPr>
            <w:tcW w:w="2551" w:type="dxa"/>
            <w:vAlign w:val="center"/>
          </w:tcPr>
          <w:p>
            <w:pPr>
              <w:pStyle w:val="16"/>
            </w:pPr>
            <w:r>
              <w:t>≥95%</w:t>
            </w:r>
          </w:p>
        </w:tc>
        <w:tc>
          <w:tcPr>
            <w:tcW w:w="2268" w:type="dxa"/>
            <w:vAlign w:val="center"/>
          </w:tcPr>
          <w:p>
            <w:pPr>
              <w:pStyle w:val="16"/>
            </w:pPr>
            <w:r>
              <w:t>冀机编办[2014]128号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3、编办中文域名注册及续费管理绩效目标表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1.完成全县340个中文域名注册续费，每年每个中文域名注册费100元，一次性由财政统一拨付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完成项目数量</w:t>
            </w:r>
          </w:p>
        </w:tc>
        <w:tc>
          <w:tcPr>
            <w:tcW w:w="2835" w:type="dxa"/>
            <w:vAlign w:val="center"/>
          </w:tcPr>
          <w:p>
            <w:pPr>
              <w:pStyle w:val="16"/>
            </w:pPr>
            <w:r>
              <w:t>完成全县中文域名注册续费</w:t>
            </w:r>
          </w:p>
        </w:tc>
        <w:tc>
          <w:tcPr>
            <w:tcW w:w="2551" w:type="dxa"/>
            <w:vAlign w:val="center"/>
          </w:tcPr>
          <w:p>
            <w:pPr>
              <w:pStyle w:val="16"/>
            </w:pPr>
            <w:r>
              <w:t>340个</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域名的可使用性</w:t>
            </w:r>
          </w:p>
        </w:tc>
        <w:tc>
          <w:tcPr>
            <w:tcW w:w="2835" w:type="dxa"/>
            <w:vAlign w:val="center"/>
          </w:tcPr>
          <w:p>
            <w:pPr>
              <w:pStyle w:val="16"/>
            </w:pPr>
            <w:r>
              <w:t>确保域名在有效期内</w:t>
            </w:r>
          </w:p>
        </w:tc>
        <w:tc>
          <w:tcPr>
            <w:tcW w:w="2551" w:type="dxa"/>
            <w:vAlign w:val="center"/>
          </w:tcPr>
          <w:p>
            <w:pPr>
              <w:pStyle w:val="16"/>
            </w:pPr>
            <w:r>
              <w:t>可持续使用</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缴费及时率</w:t>
            </w:r>
          </w:p>
        </w:tc>
        <w:tc>
          <w:tcPr>
            <w:tcW w:w="2835" w:type="dxa"/>
            <w:vAlign w:val="center"/>
          </w:tcPr>
          <w:p>
            <w:pPr>
              <w:pStyle w:val="16"/>
            </w:pPr>
            <w:r>
              <w:t>保证及时缴费</w:t>
            </w:r>
          </w:p>
        </w:tc>
        <w:tc>
          <w:tcPr>
            <w:tcW w:w="2551" w:type="dxa"/>
            <w:vAlign w:val="center"/>
          </w:tcPr>
          <w:p>
            <w:pPr>
              <w:pStyle w:val="16"/>
            </w:pPr>
            <w:r>
              <w:t>100%</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预算执行率</w:t>
            </w:r>
          </w:p>
        </w:tc>
        <w:tc>
          <w:tcPr>
            <w:tcW w:w="2835" w:type="dxa"/>
            <w:vAlign w:val="center"/>
          </w:tcPr>
          <w:p>
            <w:pPr>
              <w:pStyle w:val="16"/>
            </w:pPr>
            <w:r>
              <w:t>实际支出/预算×100%</w:t>
            </w:r>
          </w:p>
        </w:tc>
        <w:tc>
          <w:tcPr>
            <w:tcW w:w="2551" w:type="dxa"/>
            <w:vAlign w:val="center"/>
          </w:tcPr>
          <w:p>
            <w:pPr>
              <w:pStyle w:val="16"/>
            </w:pPr>
            <w:r>
              <w:t>≤100%</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得到增强</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提高效率</w:t>
            </w:r>
          </w:p>
        </w:tc>
        <w:tc>
          <w:tcPr>
            <w:tcW w:w="2835" w:type="dxa"/>
            <w:vAlign w:val="center"/>
          </w:tcPr>
          <w:p>
            <w:pPr>
              <w:pStyle w:val="16"/>
            </w:pPr>
            <w:r>
              <w:t>确保域名可随时使用，提高相关部门服务效率</w:t>
            </w:r>
          </w:p>
        </w:tc>
        <w:tc>
          <w:tcPr>
            <w:tcW w:w="2551" w:type="dxa"/>
            <w:vAlign w:val="center"/>
          </w:tcPr>
          <w:p>
            <w:pPr>
              <w:pStyle w:val="16"/>
            </w:pPr>
            <w:r>
              <w:t>≥98%</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生态效益指标</w:t>
            </w:r>
          </w:p>
        </w:tc>
        <w:tc>
          <w:tcPr>
            <w:tcW w:w="2835" w:type="dxa"/>
            <w:vAlign w:val="center"/>
          </w:tcPr>
          <w:p>
            <w:pPr>
              <w:pStyle w:val="16"/>
            </w:pPr>
            <w:r>
              <w:t>生态效益指标</w:t>
            </w:r>
          </w:p>
        </w:tc>
        <w:tc>
          <w:tcPr>
            <w:tcW w:w="2551" w:type="dxa"/>
            <w:vAlign w:val="center"/>
          </w:tcPr>
          <w:p>
            <w:pPr>
              <w:pStyle w:val="16"/>
            </w:pPr>
            <w:r>
              <w:t>得到增强</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得到提升</w:t>
            </w:r>
          </w:p>
        </w:tc>
        <w:tc>
          <w:tcPr>
            <w:tcW w:w="2268" w:type="dxa"/>
            <w:vAlign w:val="center"/>
          </w:tcPr>
          <w:p>
            <w:pPr>
              <w:pStyle w:val="16"/>
            </w:pPr>
            <w:r>
              <w:t>冀机编办[2014]125号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用户使用满意度</w:t>
            </w:r>
          </w:p>
        </w:tc>
        <w:tc>
          <w:tcPr>
            <w:tcW w:w="2835" w:type="dxa"/>
            <w:vAlign w:val="center"/>
          </w:tcPr>
          <w:p>
            <w:pPr>
              <w:pStyle w:val="16"/>
            </w:pPr>
            <w:r>
              <w:t>用户使用满意度</w:t>
            </w:r>
          </w:p>
        </w:tc>
        <w:tc>
          <w:tcPr>
            <w:tcW w:w="2551" w:type="dxa"/>
            <w:vAlign w:val="center"/>
          </w:tcPr>
          <w:p>
            <w:pPr>
              <w:pStyle w:val="16"/>
            </w:pPr>
            <w:r>
              <w:t>≥95%</w:t>
            </w:r>
          </w:p>
        </w:tc>
        <w:tc>
          <w:tcPr>
            <w:tcW w:w="2268" w:type="dxa"/>
            <w:vAlign w:val="center"/>
          </w:tcPr>
          <w:p>
            <w:pPr>
              <w:pStyle w:val="16"/>
            </w:pPr>
            <w:r>
              <w:t>冀机编办[2014]125号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4、事业单位法人年度报告绩效目标表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1.完成事业单位法人年度报告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服务单位数量</w:t>
            </w:r>
          </w:p>
        </w:tc>
        <w:tc>
          <w:tcPr>
            <w:tcW w:w="2835" w:type="dxa"/>
            <w:vAlign w:val="center"/>
          </w:tcPr>
          <w:p>
            <w:pPr>
              <w:pStyle w:val="16"/>
            </w:pPr>
            <w:r>
              <w:t>保证111个事业单位年度报告工作顺利进行</w:t>
            </w:r>
          </w:p>
        </w:tc>
        <w:tc>
          <w:tcPr>
            <w:tcW w:w="2551" w:type="dxa"/>
            <w:vAlign w:val="center"/>
          </w:tcPr>
          <w:p>
            <w:pPr>
              <w:pStyle w:val="16"/>
            </w:pPr>
            <w:r>
              <w:t>≥111个</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报告公示质量</w:t>
            </w:r>
          </w:p>
        </w:tc>
        <w:tc>
          <w:tcPr>
            <w:tcW w:w="2835" w:type="dxa"/>
            <w:vAlign w:val="center"/>
          </w:tcPr>
          <w:p>
            <w:pPr>
              <w:pStyle w:val="16"/>
            </w:pPr>
            <w:r>
              <w:t>提高报告公示质量</w:t>
            </w:r>
          </w:p>
        </w:tc>
        <w:tc>
          <w:tcPr>
            <w:tcW w:w="2551" w:type="dxa"/>
            <w:vAlign w:val="center"/>
          </w:tcPr>
          <w:p>
            <w:pPr>
              <w:pStyle w:val="16"/>
            </w:pPr>
            <w:r>
              <w:t>质量合格</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工作按时完成率</w:t>
            </w:r>
          </w:p>
        </w:tc>
        <w:tc>
          <w:tcPr>
            <w:tcW w:w="2835" w:type="dxa"/>
            <w:vAlign w:val="center"/>
          </w:tcPr>
          <w:p>
            <w:pPr>
              <w:pStyle w:val="16"/>
            </w:pPr>
            <w:r>
              <w:t>工作按时完成率</w:t>
            </w:r>
          </w:p>
        </w:tc>
        <w:tc>
          <w:tcPr>
            <w:tcW w:w="2551" w:type="dxa"/>
            <w:vAlign w:val="center"/>
          </w:tcPr>
          <w:p>
            <w:pPr>
              <w:pStyle w:val="16"/>
            </w:pPr>
            <w:r>
              <w:t>≤1年</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预算执行率</w:t>
            </w:r>
          </w:p>
        </w:tc>
        <w:tc>
          <w:tcPr>
            <w:tcW w:w="2835" w:type="dxa"/>
            <w:vAlign w:val="center"/>
          </w:tcPr>
          <w:p>
            <w:pPr>
              <w:pStyle w:val="16"/>
            </w:pPr>
            <w:r>
              <w:t>实际支出/预算×100%</w:t>
            </w:r>
          </w:p>
        </w:tc>
        <w:tc>
          <w:tcPr>
            <w:tcW w:w="2551" w:type="dxa"/>
            <w:vAlign w:val="center"/>
          </w:tcPr>
          <w:p>
            <w:pPr>
              <w:pStyle w:val="16"/>
            </w:pPr>
            <w:r>
              <w:t>≤100%</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经济效益指标</w:t>
            </w:r>
          </w:p>
        </w:tc>
        <w:tc>
          <w:tcPr>
            <w:tcW w:w="2835" w:type="dxa"/>
            <w:vAlign w:val="center"/>
          </w:tcPr>
          <w:p>
            <w:pPr>
              <w:pStyle w:val="16"/>
            </w:pPr>
            <w:r>
              <w:t>经济效益指标</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社会影响力</w:t>
            </w:r>
          </w:p>
        </w:tc>
        <w:tc>
          <w:tcPr>
            <w:tcW w:w="2835" w:type="dxa"/>
            <w:vAlign w:val="center"/>
          </w:tcPr>
          <w:p>
            <w:pPr>
              <w:pStyle w:val="16"/>
            </w:pPr>
            <w:r>
              <w:t>社会影响力</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生态效益指标</w:t>
            </w:r>
          </w:p>
        </w:tc>
        <w:tc>
          <w:tcPr>
            <w:tcW w:w="2835" w:type="dxa"/>
            <w:vAlign w:val="center"/>
          </w:tcPr>
          <w:p>
            <w:pPr>
              <w:pStyle w:val="16"/>
            </w:pPr>
            <w:r>
              <w:t>生态效益指标</w:t>
            </w:r>
          </w:p>
        </w:tc>
        <w:tc>
          <w:tcPr>
            <w:tcW w:w="2551" w:type="dxa"/>
            <w:vAlign w:val="center"/>
          </w:tcPr>
          <w:p>
            <w:pPr>
              <w:pStyle w:val="16"/>
            </w:pPr>
            <w:r>
              <w:t>得到增强</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事业单位法人证书正常使用</w:t>
            </w:r>
          </w:p>
        </w:tc>
        <w:tc>
          <w:tcPr>
            <w:tcW w:w="2835" w:type="dxa"/>
            <w:vAlign w:val="center"/>
          </w:tcPr>
          <w:p>
            <w:pPr>
              <w:pStyle w:val="16"/>
            </w:pPr>
            <w:r>
              <w:t>事业单位法人证书在有效期内</w:t>
            </w:r>
          </w:p>
        </w:tc>
        <w:tc>
          <w:tcPr>
            <w:tcW w:w="2551" w:type="dxa"/>
            <w:vAlign w:val="center"/>
          </w:tcPr>
          <w:p>
            <w:pPr>
              <w:pStyle w:val="16"/>
            </w:pPr>
            <w:r>
              <w:t>完成本单位行政许可</w:t>
            </w:r>
          </w:p>
        </w:tc>
        <w:tc>
          <w:tcPr>
            <w:tcW w:w="2268" w:type="dxa"/>
            <w:vAlign w:val="center"/>
          </w:tcPr>
          <w:p>
            <w:pPr>
              <w:pStyle w:val="16"/>
            </w:pPr>
            <w:r>
              <w:t>冀机编办[2014]128号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用户使用满意度</w:t>
            </w:r>
          </w:p>
        </w:tc>
        <w:tc>
          <w:tcPr>
            <w:tcW w:w="2835" w:type="dxa"/>
            <w:vAlign w:val="center"/>
          </w:tcPr>
          <w:p>
            <w:pPr>
              <w:pStyle w:val="16"/>
            </w:pPr>
            <w:r>
              <w:t>用户使用满意度</w:t>
            </w:r>
          </w:p>
        </w:tc>
        <w:tc>
          <w:tcPr>
            <w:tcW w:w="2551" w:type="dxa"/>
            <w:vAlign w:val="center"/>
          </w:tcPr>
          <w:p>
            <w:pPr>
              <w:pStyle w:val="16"/>
            </w:pPr>
            <w:r>
              <w:t>≥95%</w:t>
            </w:r>
          </w:p>
        </w:tc>
        <w:tc>
          <w:tcPr>
            <w:tcW w:w="2268" w:type="dxa"/>
            <w:vAlign w:val="center"/>
          </w:tcPr>
          <w:p>
            <w:pPr>
              <w:pStyle w:val="16"/>
            </w:pPr>
            <w:r>
              <w:t>冀机编办[2014]128号</w:t>
            </w:r>
          </w:p>
        </w:tc>
      </w:tr>
    </w:tbl>
    <w:p>
      <w:pPr>
        <w:pStyle w:val="28"/>
        <w:sectPr>
          <w:pgSz w:w="16840" w:h="11900" w:orient="landscape"/>
          <w:pgMar w:top="1361" w:right="1020" w:bottom="1361"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2022年，中共涞源县委机构编制委员会办公室本级安排政府采购预算0.00万元。具体内容见下表。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8674"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line="500" w:lineRule="exact"/>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中共涞源县委机构编制委员会办公室本级上年末固定资产金额为1</w:t>
      </w:r>
      <w:r>
        <w:rPr>
          <w:rFonts w:hint="eastAsia" w:eastAsia="方正仿宋_GBK" w:cs="Times New Roman"/>
          <w:b w:val="0"/>
          <w:color w:val="000000"/>
          <w:sz w:val="28"/>
          <w:lang w:val="en-US" w:eastAsia="zh-CN"/>
        </w:rPr>
        <w:t>7.10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33"/>
        <w:gridCol w:w="4065"/>
        <w:gridCol w:w="52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533" w:type="dxa"/>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9266" w:type="dxa"/>
            <w:gridSpan w:val="2"/>
            <w:tcBorders>
              <w:top w:val="single" w:color="FFFFFF" w:sz="6" w:space="0"/>
              <w:left w:val="single" w:color="FFFFFF" w:sz="6" w:space="0"/>
              <w:right w:val="single" w:color="FFFFFF" w:sz="6" w:space="0"/>
            </w:tcBorders>
            <w:vAlign w:val="center"/>
          </w:tcPr>
          <w:p>
            <w:pPr>
              <w:pStyle w:val="11"/>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533" w:type="dxa"/>
            <w:vAlign w:val="center"/>
          </w:tcPr>
          <w:p>
            <w:pPr>
              <w:pStyle w:val="14"/>
            </w:pPr>
            <w:r>
              <w:t>项   目</w:t>
            </w:r>
          </w:p>
        </w:tc>
        <w:tc>
          <w:tcPr>
            <w:tcW w:w="4065" w:type="dxa"/>
            <w:vAlign w:val="center"/>
          </w:tcPr>
          <w:p>
            <w:pPr>
              <w:pStyle w:val="14"/>
            </w:pPr>
            <w:r>
              <w:t>数量</w:t>
            </w:r>
          </w:p>
        </w:tc>
        <w:tc>
          <w:tcPr>
            <w:tcW w:w="5201"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资产总额</w:t>
            </w:r>
          </w:p>
        </w:tc>
        <w:tc>
          <w:tcPr>
            <w:tcW w:w="4065" w:type="dxa"/>
            <w:vAlign w:val="center"/>
          </w:tcPr>
          <w:p>
            <w:pPr>
              <w:pStyle w:val="17"/>
            </w:pPr>
          </w:p>
        </w:tc>
        <w:tc>
          <w:tcPr>
            <w:tcW w:w="5201" w:type="dxa"/>
            <w:vAlign w:val="center"/>
          </w:tcPr>
          <w:p>
            <w:pPr>
              <w:pStyle w:val="15"/>
              <w:rPr>
                <w:rFonts w:hint="default" w:eastAsia="方正书宋_GBK"/>
                <w:lang w:val="en-US" w:eastAsia="zh-CN"/>
              </w:rPr>
            </w:pPr>
            <w:r>
              <w:rPr>
                <w:rFonts w:hint="eastAsia"/>
                <w:lang w:val="en-US" w:eastAsia="zh-CN"/>
              </w:rPr>
              <w:t>17.10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1、房屋（平方米）</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　　其中：办公用房（平方米）</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2、车辆（台、辆）</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3、单价在20万元以上的设备</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4、其他固定资产</w:t>
            </w:r>
          </w:p>
        </w:tc>
        <w:tc>
          <w:tcPr>
            <w:tcW w:w="4065" w:type="dxa"/>
            <w:vAlign w:val="center"/>
          </w:tcPr>
          <w:p>
            <w:pPr>
              <w:pStyle w:val="17"/>
            </w:pPr>
          </w:p>
        </w:tc>
        <w:tc>
          <w:tcPr>
            <w:tcW w:w="5201" w:type="dxa"/>
            <w:vAlign w:val="center"/>
          </w:tcPr>
          <w:p>
            <w:pPr>
              <w:pStyle w:val="15"/>
              <w:rPr>
                <w:rFonts w:hint="default" w:eastAsia="方正书宋_GBK"/>
                <w:lang w:val="en-US" w:eastAsia="zh-CN"/>
              </w:rPr>
            </w:pPr>
            <w:r>
              <w:rPr>
                <w:rFonts w:hint="eastAsia"/>
                <w:lang w:val="en-US" w:eastAsia="zh-CN"/>
              </w:rPr>
              <w:t>17.10</w:t>
            </w:r>
          </w:p>
        </w:tc>
      </w:tr>
    </w:tbl>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rPr>
          <w:rFonts w:hint="eastAsia" w:eastAsia="方正仿宋_GBK"/>
          <w:lang w:eastAsia="zh-CN"/>
        </w:rPr>
        <w:sectPr>
          <w:pgSz w:w="16840" w:h="11900" w:orient="landscape"/>
          <w:pgMar w:top="1361" w:right="1020" w:bottom="1134" w:left="1020" w:header="720" w:footer="720" w:gutter="0"/>
          <w:cols w:space="720" w:num="1"/>
        </w:sectPr>
      </w:pPr>
      <w:r>
        <w:rPr>
          <w:rFonts w:eastAsia="方正仿宋_GBK"/>
          <w:color w:val="000000"/>
          <w:sz w:val="28"/>
        </w:rPr>
        <w:t>我单位无其他需要说明的事</w:t>
      </w:r>
      <w:r>
        <w:rPr>
          <w:rFonts w:hint="eastAsia" w:eastAsia="方正仿宋_GBK"/>
          <w:color w:val="000000"/>
          <w:sz w:val="28"/>
          <w:lang w:eastAsia="zh-CN"/>
        </w:rPr>
        <w:t>项</w:t>
      </w:r>
    </w:p>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NjJkZDQ5YzRmZjVkM2Y0OGY5NjJhN2FjZGIyYTUifQ=="/>
  </w:docVars>
  <w:rsids>
    <w:rsidRoot w:val="009E2C46"/>
    <w:rsid w:val="00001925"/>
    <w:rsid w:val="00002808"/>
    <w:rsid w:val="00006594"/>
    <w:rsid w:val="00135213"/>
    <w:rsid w:val="001D6190"/>
    <w:rsid w:val="001D6734"/>
    <w:rsid w:val="002661BC"/>
    <w:rsid w:val="003A3224"/>
    <w:rsid w:val="005D5F9F"/>
    <w:rsid w:val="008A47C2"/>
    <w:rsid w:val="009E2C46"/>
    <w:rsid w:val="00B05900"/>
    <w:rsid w:val="06B603CA"/>
    <w:rsid w:val="10593E11"/>
    <w:rsid w:val="1BC5762A"/>
    <w:rsid w:val="32FD6644"/>
    <w:rsid w:val="391A1DEC"/>
    <w:rsid w:val="64F8286C"/>
    <w:rsid w:val="669664A3"/>
    <w:rsid w:val="6E765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CCBD4-28DB-477A-A440-8187B4E0790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27</Pages>
  <Words>6741</Words>
  <Characters>8201</Characters>
  <Lines>1246</Lines>
  <Paragraphs>351</Paragraphs>
  <TotalTime>24</TotalTime>
  <ScaleCrop>false</ScaleCrop>
  <LinksUpToDate>false</LinksUpToDate>
  <CharactersWithSpaces>8345</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2022-01-27T02:34:00Z</dcterms:created>
  <dc:creator>user</dc:creator>
  <cp:lastModifiedBy>Administrator</cp:lastModifiedBy>
  <dcterms:modified xsi:type="dcterms:W3CDTF">2024-01-24T05:34:52Z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C9D4A7A747774DEE9EA7C01405012123</vt:lpwstr>
  </property>
</Properties>
</file>