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CAC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仿宋_GB2312" w:eastAsia="仿宋_GB2312" w:cs="仿宋_GB2312"/>
          <w:kern w:val="0"/>
          <w:sz w:val="32"/>
          <w:szCs w:val="32"/>
        </w:rPr>
      </w:pPr>
    </w:p>
    <w:p w14:paraId="16FF8E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仿宋_GB2312" w:eastAsia="仿宋_GB2312" w:cs="仿宋_GB2312"/>
          <w:kern w:val="0"/>
          <w:sz w:val="32"/>
          <w:szCs w:val="32"/>
        </w:rPr>
      </w:pPr>
    </w:p>
    <w:p w14:paraId="6D13E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hint="eastAsia" w:ascii="宋体" w:eastAsia="宋体" w:cs="宋体"/>
          <w:b/>
          <w:sz w:val="44"/>
          <w:szCs w:val="44"/>
        </w:rPr>
      </w:pPr>
    </w:p>
    <w:p w14:paraId="5052DAF4">
      <w:pPr>
        <w:pageBreakBefore w:val="0"/>
        <w:wordWrap/>
        <w:topLinePunct w:val="0"/>
        <w:bidi w:val="0"/>
        <w:spacing w:line="560" w:lineRule="exact"/>
        <w:ind w:left="0" w:leftChars="0"/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涞源县卫生健康局</w:t>
      </w:r>
    </w:p>
    <w:p w14:paraId="5A7B19CC">
      <w:pPr>
        <w:spacing w:line="560" w:lineRule="exact"/>
        <w:ind w:left="1320" w:hanging="1325" w:hangingChars="300"/>
        <w:jc w:val="both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</w:rPr>
        <w:t>关于印发《202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</w:rPr>
        <w:t>年涞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lang w:eastAsia="zh-CN"/>
        </w:rPr>
        <w:t>源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</w:rPr>
        <w:t>县“双随机、一公开”监管工作联络员制度》的通知</w:t>
      </w:r>
    </w:p>
    <w:p w14:paraId="61997ED4">
      <w:pPr>
        <w:spacing w:before="312" w:beforeLines="100" w:line="560" w:lineRule="exact"/>
        <w:rPr>
          <w:rFonts w:hint="eastAsia" w:ascii="仿宋_GB2312" w:hAnsi="仿宋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各成员单位：</w:t>
      </w:r>
    </w:p>
    <w:p w14:paraId="463AEABD"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color w:val="000000"/>
          <w:kern w:val="0"/>
          <w:sz w:val="32"/>
          <w:szCs w:val="32"/>
        </w:rPr>
        <w:t>为建立健全“双随机、一公开”随机抽查工作推进机制，县双随机办制定了</w:t>
      </w:r>
      <w:r>
        <w:rPr>
          <w:rFonts w:hint="eastAsia" w:ascii="仿宋_GB2312" w:hAnsi="仿宋" w:eastAsia="仿宋_GB2312"/>
          <w:sz w:val="32"/>
          <w:szCs w:val="32"/>
        </w:rPr>
        <w:t>《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涞源</w:t>
      </w:r>
      <w:r>
        <w:rPr>
          <w:rFonts w:hint="eastAsia" w:ascii="仿宋_GB2312" w:hAnsi="仿宋" w:eastAsia="仿宋_GB2312"/>
          <w:sz w:val="32"/>
          <w:szCs w:val="32"/>
        </w:rPr>
        <w:t>县“双随机、一公开”监管工作联络员制度》</w:t>
      </w:r>
      <w:r>
        <w:rPr>
          <w:rFonts w:hint="eastAsia" w:ascii="仿宋_GB2312" w:hAnsi="仿宋" w:eastAsia="仿宋_GB2312" w:cs="宋体"/>
          <w:color w:val="000000"/>
          <w:kern w:val="0"/>
          <w:sz w:val="32"/>
          <w:szCs w:val="32"/>
        </w:rPr>
        <w:t>，现印发给你们，请认真贯彻落实。</w:t>
      </w:r>
    </w:p>
    <w:p w14:paraId="18A01EF0">
      <w:pPr>
        <w:spacing w:line="560" w:lineRule="exact"/>
        <w:rPr>
          <w:rFonts w:hint="eastAsia" w:ascii="仿宋" w:hAnsi="仿宋" w:eastAsia="仿宋"/>
          <w:b/>
          <w:sz w:val="32"/>
          <w:szCs w:val="32"/>
        </w:rPr>
      </w:pPr>
    </w:p>
    <w:p w14:paraId="2347E7E6">
      <w:pPr>
        <w:rPr>
          <w:rFonts w:hint="eastAsia" w:ascii="仿宋" w:hAnsi="仿宋" w:eastAsia="仿宋"/>
          <w:b/>
          <w:sz w:val="32"/>
          <w:szCs w:val="32"/>
        </w:rPr>
      </w:pPr>
    </w:p>
    <w:p w14:paraId="714B5EC9">
      <w:pPr>
        <w:rPr>
          <w:rFonts w:hint="eastAsia" w:ascii="仿宋" w:hAnsi="仿宋" w:eastAsia="仿宋"/>
          <w:b/>
          <w:sz w:val="32"/>
          <w:szCs w:val="32"/>
        </w:rPr>
      </w:pPr>
    </w:p>
    <w:p w14:paraId="3934A567">
      <w:pPr>
        <w:spacing w:line="560" w:lineRule="exact"/>
        <w:ind w:right="200"/>
        <w:jc w:val="center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                         涞源县卫生健康局</w:t>
      </w:r>
    </w:p>
    <w:p w14:paraId="5550349D">
      <w:pPr>
        <w:ind w:right="720"/>
        <w:jc w:val="center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14</w:t>
      </w:r>
      <w:r>
        <w:rPr>
          <w:rFonts w:hint="eastAsia" w:ascii="仿宋" w:hAnsi="仿宋" w:eastAsia="仿宋"/>
          <w:sz w:val="32"/>
          <w:szCs w:val="32"/>
        </w:rPr>
        <w:t>日</w:t>
      </w:r>
    </w:p>
    <w:p w14:paraId="280FF8B2">
      <w:pPr>
        <w:spacing w:line="560" w:lineRule="exact"/>
        <w:ind w:firstLine="880" w:firstLineChars="200"/>
        <w:jc w:val="both"/>
        <w:rPr>
          <w:rFonts w:hint="eastAsia" w:ascii="Arial Unicode MS" w:hAnsi="宋体" w:eastAsia="Arial Unicode MS"/>
          <w:sz w:val="44"/>
          <w:szCs w:val="44"/>
        </w:rPr>
      </w:pPr>
    </w:p>
    <w:p w14:paraId="6A175A8E">
      <w:pPr>
        <w:spacing w:line="560" w:lineRule="exact"/>
        <w:ind w:firstLine="880" w:firstLineChars="200"/>
        <w:jc w:val="both"/>
        <w:rPr>
          <w:rFonts w:hint="eastAsia" w:ascii="Arial Unicode MS" w:hAnsi="宋体" w:eastAsia="Arial Unicode MS"/>
          <w:sz w:val="44"/>
          <w:szCs w:val="44"/>
        </w:rPr>
      </w:pPr>
    </w:p>
    <w:p w14:paraId="19547492">
      <w:pPr>
        <w:spacing w:line="560" w:lineRule="exact"/>
        <w:ind w:firstLine="880" w:firstLineChars="200"/>
        <w:jc w:val="both"/>
        <w:rPr>
          <w:rFonts w:hint="eastAsia" w:ascii="Arial Unicode MS" w:hAnsi="宋体" w:eastAsia="Arial Unicode MS"/>
          <w:sz w:val="44"/>
          <w:szCs w:val="44"/>
        </w:rPr>
      </w:pPr>
    </w:p>
    <w:p w14:paraId="245592A0">
      <w:pPr>
        <w:spacing w:line="560" w:lineRule="exact"/>
        <w:ind w:firstLine="880" w:firstLineChars="200"/>
        <w:jc w:val="both"/>
        <w:rPr>
          <w:rFonts w:hint="eastAsia" w:ascii="Arial Unicode MS" w:hAnsi="宋体" w:eastAsia="Arial Unicode MS"/>
          <w:sz w:val="44"/>
          <w:szCs w:val="44"/>
        </w:rPr>
      </w:pPr>
    </w:p>
    <w:p w14:paraId="2A6B19E9">
      <w:pPr>
        <w:spacing w:line="560" w:lineRule="exact"/>
        <w:ind w:firstLine="880" w:firstLineChars="200"/>
        <w:jc w:val="both"/>
        <w:rPr>
          <w:rFonts w:hint="eastAsia" w:ascii="Arial Unicode MS" w:hAnsi="宋体" w:eastAsia="Arial Unicode MS"/>
          <w:sz w:val="44"/>
          <w:szCs w:val="44"/>
        </w:rPr>
      </w:pPr>
    </w:p>
    <w:p w14:paraId="02904EFE">
      <w:pPr>
        <w:spacing w:line="560" w:lineRule="exact"/>
        <w:ind w:firstLine="880" w:firstLineChars="200"/>
        <w:jc w:val="both"/>
        <w:rPr>
          <w:rFonts w:hint="eastAsia" w:ascii="Arial Unicode MS" w:hAnsi="宋体" w:eastAsia="Arial Unicode MS"/>
          <w:sz w:val="44"/>
          <w:szCs w:val="44"/>
        </w:rPr>
      </w:pPr>
    </w:p>
    <w:p w14:paraId="31E268AE">
      <w:pPr>
        <w:spacing w:line="560" w:lineRule="exact"/>
        <w:jc w:val="both"/>
        <w:rPr>
          <w:rFonts w:hint="eastAsia" w:ascii="Arial Unicode MS" w:hAnsi="宋体" w:eastAsia="Arial Unicode MS"/>
          <w:sz w:val="44"/>
          <w:szCs w:val="44"/>
        </w:rPr>
      </w:pPr>
    </w:p>
    <w:p w14:paraId="0B1101C6">
      <w:pPr>
        <w:spacing w:line="56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涞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源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县“双随机、一公开”监管工作</w:t>
      </w:r>
    </w:p>
    <w:p w14:paraId="6BFC2F48">
      <w:pPr>
        <w:spacing w:line="560" w:lineRule="exact"/>
        <w:jc w:val="center"/>
        <w:rPr>
          <w:rFonts w:hint="eastAsia" w:ascii="Arial Unicode MS" w:hAnsi="宋体" w:eastAsia="Arial Unicode MS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联络员制度</w:t>
      </w:r>
    </w:p>
    <w:p w14:paraId="7B9BFED7">
      <w:pPr>
        <w:spacing w:line="540" w:lineRule="exact"/>
        <w:jc w:val="center"/>
        <w:rPr>
          <w:rFonts w:hint="eastAsia" w:ascii="宋体" w:hAnsi="宋体"/>
          <w:sz w:val="44"/>
          <w:szCs w:val="44"/>
        </w:rPr>
      </w:pPr>
    </w:p>
    <w:p w14:paraId="626398A6">
      <w:pPr>
        <w:adjustRightInd w:val="0"/>
        <w:snapToGrid w:val="0"/>
        <w:spacing w:line="560" w:lineRule="exact"/>
        <w:ind w:firstLine="640" w:firstLineChars="200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一、明确组织机构及成员</w:t>
      </w:r>
    </w:p>
    <w:p w14:paraId="2A20245B">
      <w:pPr>
        <w:spacing w:line="560" w:lineRule="exact"/>
        <w:ind w:firstLine="480" w:firstLineChars="15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“双随机、一公开”监管工作领导小组各成员单位在本部门承担“双随机、一公开”监管工作的分管领导为主管领导，相关科室负责人或具体负责人员为联络员。</w:t>
      </w:r>
    </w:p>
    <w:p w14:paraId="02017D2E">
      <w:pPr>
        <w:adjustRightInd w:val="0"/>
        <w:snapToGrid w:val="0"/>
        <w:spacing w:line="560" w:lineRule="exact"/>
        <w:ind w:firstLine="640" w:firstLineChars="200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二、工作职责</w:t>
      </w:r>
    </w:p>
    <w:p w14:paraId="1095BC73">
      <w:pPr>
        <w:spacing w:line="56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具体负责承办涉及本部门“双随机、一公开”监管工作，及时与“双随机、一公开”监管工作领导小组办公室进行对接；负责工作的组织协调、培训、抽查、督促落实等事项；联络员有工作调整或变动时，须及时上报县双随办并做好工作衔接。</w:t>
      </w:r>
    </w:p>
    <w:p w14:paraId="7D1E15C5">
      <w:pPr>
        <w:adjustRightInd w:val="0"/>
        <w:snapToGrid w:val="0"/>
        <w:spacing w:line="560" w:lineRule="exact"/>
        <w:ind w:firstLine="640" w:firstLineChars="200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三、召开工作会议</w:t>
      </w:r>
    </w:p>
    <w:p w14:paraId="2B06347B">
      <w:pPr>
        <w:spacing w:line="560" w:lineRule="exact"/>
        <w:ind w:firstLine="640" w:firstLineChars="200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按照上级部门安排部署，适时向主要领导、分管领导汇报“双随机、一公开”监管工作情况，及时召开推进、调度、培训会议，通报工作进展情况、存在的问题及部署下一阶段重点工作，并形成会议纪要。</w:t>
      </w:r>
    </w:p>
    <w:p w14:paraId="7C74DA0F">
      <w:pPr>
        <w:adjustRightInd w:val="0"/>
        <w:snapToGrid w:val="0"/>
        <w:spacing w:line="560" w:lineRule="exact"/>
        <w:ind w:firstLine="640" w:firstLineChars="200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四、严格工作报告</w:t>
      </w:r>
    </w:p>
    <w:p w14:paraId="71B43CBE">
      <w:pPr>
        <w:spacing w:line="56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每月按时报送双随机月报表，每年按时上报全年“双随机、一公开”监管工作总结和下一年度工作计划；加强日常信息反馈，及时报送好的经验做法以及存在的问题，及时向双随机监管工作领导小组办公室提出“双随机、一公开”监管工作意见和建议。</w:t>
      </w:r>
    </w:p>
    <w:p w14:paraId="6C4AD994">
      <w:pPr>
        <w:adjustRightInd w:val="0"/>
        <w:snapToGrid w:val="0"/>
        <w:spacing w:line="560" w:lineRule="exact"/>
        <w:ind w:firstLine="640" w:firstLineChars="200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五、按要求参加会议</w:t>
      </w:r>
    </w:p>
    <w:p w14:paraId="219BBC85">
      <w:pPr>
        <w:spacing w:line="56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按规定要求参加县政府、县双随机办组织召开的调度会、推进会及联络员会议，做好会议精神的传达落实等工作。</w:t>
      </w:r>
    </w:p>
    <w:p w14:paraId="262800AE">
      <w:pPr>
        <w:spacing w:line="560" w:lineRule="exact"/>
        <w:ind w:firstLine="4800" w:firstLineChars="1500"/>
        <w:jc w:val="both"/>
        <w:rPr>
          <w:rFonts w:hint="eastAsia" w:ascii="仿宋_GB2312" w:hAnsi="仿宋" w:eastAsia="仿宋_GB2312"/>
          <w:sz w:val="32"/>
          <w:szCs w:val="32"/>
        </w:rPr>
      </w:pPr>
    </w:p>
    <w:p w14:paraId="06E6323D">
      <w:pPr>
        <w:spacing w:line="560" w:lineRule="exact"/>
        <w:ind w:firstLine="4800" w:firstLineChars="1500"/>
        <w:jc w:val="both"/>
        <w:rPr>
          <w:rFonts w:hint="eastAsia" w:ascii="仿宋_GB2312" w:hAnsi="仿宋" w:eastAsia="仿宋_GB2312"/>
          <w:sz w:val="32"/>
          <w:szCs w:val="32"/>
        </w:rPr>
      </w:pPr>
    </w:p>
    <w:p w14:paraId="59BB095E">
      <w:pPr>
        <w:spacing w:line="560" w:lineRule="exact"/>
        <w:ind w:firstLine="4800" w:firstLineChars="1500"/>
        <w:jc w:val="both"/>
        <w:rPr>
          <w:rFonts w:hint="eastAsia" w:ascii="仿宋_GB2312" w:hAnsi="仿宋" w:eastAsia="仿宋_GB2312"/>
          <w:sz w:val="32"/>
          <w:szCs w:val="32"/>
        </w:rPr>
      </w:pPr>
    </w:p>
    <w:p w14:paraId="70062F9B">
      <w:pPr>
        <w:spacing w:line="560" w:lineRule="exact"/>
        <w:ind w:firstLine="4800" w:firstLineChars="1500"/>
        <w:jc w:val="both"/>
        <w:rPr>
          <w:rFonts w:hint="eastAsia" w:ascii="仿宋_GB2312" w:hAnsi="仿宋" w:eastAsia="仿宋_GB2312"/>
          <w:sz w:val="32"/>
          <w:szCs w:val="32"/>
        </w:rPr>
      </w:pPr>
    </w:p>
    <w:p w14:paraId="68D00D4E">
      <w:pPr>
        <w:spacing w:line="560" w:lineRule="exact"/>
        <w:ind w:firstLine="4800" w:firstLineChars="1500"/>
        <w:jc w:val="both"/>
        <w:rPr>
          <w:rFonts w:hint="eastAsia" w:ascii="仿宋_GB2312" w:hAnsi="仿宋" w:eastAsia="仿宋_GB2312"/>
          <w:sz w:val="32"/>
          <w:szCs w:val="32"/>
        </w:rPr>
      </w:pPr>
    </w:p>
    <w:p w14:paraId="010756CF">
      <w:pPr>
        <w:spacing w:line="560" w:lineRule="exact"/>
        <w:ind w:firstLine="4800" w:firstLineChars="1500"/>
        <w:jc w:val="both"/>
        <w:rPr>
          <w:rFonts w:hint="eastAsia" w:ascii="仿宋_GB2312" w:hAnsi="仿宋" w:eastAsia="仿宋_GB2312"/>
          <w:sz w:val="32"/>
          <w:szCs w:val="32"/>
        </w:rPr>
      </w:pPr>
    </w:p>
    <w:p w14:paraId="280DE134">
      <w:pPr>
        <w:spacing w:line="560" w:lineRule="exact"/>
        <w:ind w:firstLine="4800" w:firstLineChars="1500"/>
        <w:jc w:val="both"/>
        <w:rPr>
          <w:rFonts w:hint="eastAsia" w:ascii="仿宋_GB2312" w:hAnsi="仿宋" w:eastAsia="仿宋_GB2312"/>
          <w:sz w:val="32"/>
          <w:szCs w:val="32"/>
        </w:rPr>
      </w:pPr>
    </w:p>
    <w:p w14:paraId="7B4290BF">
      <w:pPr>
        <w:spacing w:line="560" w:lineRule="exact"/>
        <w:ind w:firstLine="4800" w:firstLineChars="1500"/>
        <w:jc w:val="both"/>
        <w:rPr>
          <w:rFonts w:hint="eastAsia" w:ascii="仿宋_GB2312" w:hAnsi="仿宋" w:eastAsia="仿宋_GB2312"/>
          <w:sz w:val="32"/>
          <w:szCs w:val="32"/>
        </w:rPr>
      </w:pPr>
    </w:p>
    <w:p w14:paraId="60F0BAFD">
      <w:pPr>
        <w:spacing w:line="560" w:lineRule="exact"/>
        <w:ind w:firstLine="4800" w:firstLineChars="1500"/>
        <w:jc w:val="both"/>
        <w:rPr>
          <w:rFonts w:hint="eastAsia" w:ascii="仿宋_GB2312" w:hAnsi="仿宋" w:eastAsia="仿宋_GB2312"/>
          <w:sz w:val="32"/>
          <w:szCs w:val="32"/>
        </w:rPr>
      </w:pPr>
    </w:p>
    <w:p w14:paraId="3011B889">
      <w:pPr>
        <w:spacing w:line="560" w:lineRule="exact"/>
        <w:ind w:right="320"/>
        <w:jc w:val="righ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                              </w:t>
      </w:r>
      <w:bookmarkStart w:id="0" w:name="_GoBack"/>
      <w:bookmarkEnd w:id="0"/>
    </w:p>
    <w:p w14:paraId="2066789B">
      <w:pPr>
        <w:spacing w:line="560" w:lineRule="exact"/>
        <w:rPr>
          <w:rFonts w:hint="eastAsia" w:ascii="仿宋_GB2312" w:hAnsi="仿宋" w:eastAsia="仿宋_GB2312"/>
          <w:sz w:val="32"/>
          <w:szCs w:val="32"/>
        </w:rPr>
      </w:pPr>
    </w:p>
    <w:p w14:paraId="661CFE88">
      <w:pPr>
        <w:pStyle w:val="7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</w:p>
    <w:p w14:paraId="1E530C55">
      <w:pPr>
        <w:pStyle w:val="7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23" w:rightChars="11" w:firstLine="420" w:firstLineChars="200"/>
        <w:textAlignment w:val="auto"/>
        <w:rPr>
          <w:rStyle w:val="22"/>
          <w:rFonts w:hint="eastAsia" w:ascii="仿宋_GB2312" w:hAnsi="仿宋_GB2312" w:eastAsia="仿宋_GB2312" w:cs="仿宋_GB2312"/>
          <w:color w:val="auto"/>
          <w:u w:val="none"/>
        </w:rPr>
      </w:pPr>
    </w:p>
    <w:p w14:paraId="7AF816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3E3418A8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18858EE6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38AED34B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4E1642DD">
      <w:pPr>
        <w:pStyle w:val="7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3322D0F8">
      <w:pPr>
        <w:pStyle w:val="7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714E1FDE">
      <w:pPr>
        <w:pStyle w:val="7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5BAC2DE3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3BA4E6DB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7ADBB1E4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672E3B28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32ABB581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</w:pPr>
    </w:p>
    <w:p w14:paraId="335486F9">
      <w:pPr>
        <w:widowControl/>
        <w:kinsoku w:val="0"/>
        <w:snapToGrid w:val="0"/>
        <w:spacing w:before="162" w:line="230" w:lineRule="auto"/>
        <w:jc w:val="left"/>
        <w:textAlignment w:val="baseline"/>
        <w:rPr>
          <w:rFonts w:hint="eastAsia" w:ascii="黑体" w:hAnsi="黑体" w:eastAsia="黑体" w:cs="黑体"/>
          <w:color w:val="000000"/>
          <w:sz w:val="32"/>
          <w:szCs w:val="32"/>
          <w:lang w:eastAsia="en-US"/>
        </w:rPr>
        <w:sectPr>
          <w:footerReference r:id="rId3" w:type="default"/>
          <w:pgSz w:w="11906" w:h="16838"/>
          <w:pgMar w:top="1985" w:right="1474" w:bottom="1701" w:left="1588" w:header="851" w:footer="992" w:gutter="0"/>
          <w:cols w:space="425" w:num="1"/>
          <w:docGrid w:type="lines" w:linePitch="312" w:charSpace="0"/>
        </w:sectPr>
      </w:pPr>
    </w:p>
    <w:p w14:paraId="12CB67D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eastAsia="仿宋" w:cs="宋体"/>
          <w:sz w:val="32"/>
          <w:szCs w:val="32"/>
          <w:lang w:val="en-US" w:eastAsia="zh-CN"/>
        </w:rPr>
      </w:pPr>
      <w:r>
        <w:rPr>
          <w:rFonts w:hint="eastAsia" w:ascii="仿宋" w:eastAsia="仿宋" w:cs="宋体"/>
          <w:kern w:val="0"/>
          <w:sz w:val="32"/>
          <w:szCs w:val="32"/>
          <w:lang w:val="en-US" w:eastAsia="zh-CN"/>
        </w:rPr>
        <w:t xml:space="preserve">                          </w:t>
      </w:r>
    </w:p>
    <w:sectPr>
      <w:footerReference r:id="rId4" w:type="default"/>
      <w:pgSz w:w="11906" w:h="16838"/>
      <w:pgMar w:top="1984" w:right="1588" w:bottom="2098" w:left="1474" w:header="851" w:footer="992" w:gutter="0"/>
      <w:pgNumType w:fmt="numberInDash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496346191"/>
      <w:docPartObj>
        <w:docPartGallery w:val="autotext"/>
      </w:docPartObj>
    </w:sdtPr>
    <w:sdtContent>
      <w:p w14:paraId="7C76E330">
        <w:pPr>
          <w:pStyle w:val="1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5C7940CB"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06663455"/>
      <w:docPartList>
        <w:docPartGallery w:val="autotext"/>
      </w:docPartList>
    </w:sdtPr>
    <w:sdtContent>
      <w:p w14:paraId="3865E383">
        <w:pPr>
          <w:pStyle w:val="1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1 -</w:t>
        </w:r>
        <w:r>
          <w:fldChar w:fldCharType="end"/>
        </w:r>
      </w:p>
    </w:sdtContent>
  </w:sdt>
  <w:p w14:paraId="516B8E74">
    <w:pPr>
      <w:pStyle w:val="11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docVars>
    <w:docVar w:name="commondata" w:val="eyJoZGlkIjoiNmQxNDUwYWIzNmY3MWFjYzFlYzkzYTJhOGFjMjhkNDkifQ=="/>
  </w:docVars>
  <w:rsids>
    <w:rsidRoot w:val="00000000"/>
    <w:rsid w:val="070763B0"/>
    <w:rsid w:val="0757624F"/>
    <w:rsid w:val="1E4E1D03"/>
    <w:rsid w:val="1EBE39BB"/>
    <w:rsid w:val="28F55633"/>
    <w:rsid w:val="298C1478"/>
    <w:rsid w:val="2E0B0813"/>
    <w:rsid w:val="379A17EF"/>
    <w:rsid w:val="459A45A1"/>
    <w:rsid w:val="4B1D4149"/>
    <w:rsid w:val="4DB51D17"/>
    <w:rsid w:val="567E31BC"/>
    <w:rsid w:val="61C6707F"/>
    <w:rsid w:val="683E1B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spacing w:beforeAutospacing="1" w:afterAutospacing="1"/>
      <w:jc w:val="left"/>
      <w:outlineLvl w:val="1"/>
    </w:pPr>
    <w:rPr>
      <w:rFonts w:asci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8">
    <w:name w:val="Default Paragraph Font"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spacing w:line="360" w:lineRule="auto"/>
      <w:ind w:firstLine="200" w:firstLineChars="200"/>
    </w:pPr>
    <w:rPr>
      <w:rFonts w:eastAsia="仿宋"/>
      <w:sz w:val="28"/>
    </w:rPr>
  </w:style>
  <w:style w:type="paragraph" w:styleId="6">
    <w:name w:val="index 5"/>
    <w:basedOn w:val="1"/>
    <w:next w:val="1"/>
    <w:qFormat/>
    <w:uiPriority w:val="0"/>
    <w:pPr>
      <w:ind w:left="1680"/>
    </w:pPr>
    <w:rPr>
      <w:rFonts w:ascii="仿宋" w:eastAsia="仿宋"/>
      <w:sz w:val="32"/>
      <w:szCs w:val="32"/>
    </w:rPr>
  </w:style>
  <w:style w:type="paragraph" w:styleId="7">
    <w:name w:val="Body Text"/>
    <w:basedOn w:val="1"/>
    <w:qFormat/>
    <w:uiPriority w:val="0"/>
    <w:pPr>
      <w:spacing w:after="120"/>
    </w:pPr>
    <w:rPr>
      <w:rFonts w:ascii="Calibri" w:hAnsi="Calibri" w:eastAsia="宋体" w:cs="Times New Roman"/>
    </w:rPr>
  </w:style>
  <w:style w:type="paragraph" w:styleId="8">
    <w:name w:val="Body Text Indent"/>
    <w:basedOn w:val="1"/>
    <w:qFormat/>
    <w:uiPriority w:val="0"/>
    <w:pPr>
      <w:ind w:firstLine="630"/>
    </w:pPr>
    <w:rPr>
      <w:rFonts w:eastAsia="仿宋_GB2312"/>
      <w:sz w:val="32"/>
    </w:rPr>
  </w:style>
  <w:style w:type="paragraph" w:styleId="9">
    <w:name w:val="Date"/>
    <w:basedOn w:val="1"/>
    <w:next w:val="1"/>
    <w:qFormat/>
    <w:uiPriority w:val="0"/>
    <w:pPr>
      <w:ind w:left="2500" w:leftChars="2500"/>
    </w:pPr>
  </w:style>
  <w:style w:type="paragraph" w:styleId="10">
    <w:name w:val="Balloon Text"/>
    <w:basedOn w:val="1"/>
    <w:qFormat/>
    <w:uiPriority w:val="0"/>
    <w:rPr>
      <w:sz w:val="18"/>
      <w:szCs w:val="18"/>
    </w:r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next w:val="13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13">
    <w:name w:val="引用1"/>
    <w:basedOn w:val="1"/>
    <w:next w:val="1"/>
    <w:qFormat/>
    <w:uiPriority w:val="0"/>
    <w:pPr>
      <w:ind w:left="864" w:right="864"/>
      <w:jc w:val="center"/>
    </w:pPr>
    <w:rPr>
      <w:rFonts w:ascii="Times New Roman" w:hAnsi="Times New Roman" w:eastAsia="宋体" w:cs="Times New Roman"/>
      <w:i/>
      <w:iCs/>
      <w:color w:val="000000"/>
    </w:rPr>
  </w:style>
  <w:style w:type="paragraph" w:styleId="1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5">
    <w:name w:val="Title"/>
    <w:basedOn w:val="1"/>
    <w:next w:val="8"/>
    <w:qFormat/>
    <w:uiPriority w:val="0"/>
    <w:pPr>
      <w:spacing w:line="0" w:lineRule="atLeast"/>
      <w:jc w:val="center"/>
    </w:pPr>
    <w:rPr>
      <w:rFonts w:ascii="Arial" w:hAnsi="Arial" w:eastAsia="黑体"/>
      <w:sz w:val="52"/>
    </w:rPr>
  </w:style>
  <w:style w:type="paragraph" w:styleId="16">
    <w:name w:val="Body Text First Indent 2"/>
    <w:basedOn w:val="8"/>
    <w:qFormat/>
    <w:uiPriority w:val="0"/>
    <w:pPr>
      <w:spacing w:after="120"/>
      <w:ind w:left="200" w:leftChars="200" w:firstLine="200" w:firstLineChars="200"/>
    </w:pPr>
    <w:rPr>
      <w:rFonts w:eastAsia="宋体"/>
      <w:sz w:val="21"/>
    </w:rPr>
  </w:style>
  <w:style w:type="character" w:styleId="19">
    <w:name w:val="Strong"/>
    <w:basedOn w:val="18"/>
    <w:qFormat/>
    <w:uiPriority w:val="0"/>
    <w:rPr>
      <w:b/>
    </w:rPr>
  </w:style>
  <w:style w:type="character" w:styleId="20">
    <w:name w:val="FollowedHyperlink"/>
    <w:basedOn w:val="18"/>
    <w:qFormat/>
    <w:uiPriority w:val="0"/>
    <w:rPr>
      <w:color w:val="333333"/>
      <w:u w:val="none"/>
    </w:rPr>
  </w:style>
  <w:style w:type="character" w:styleId="21">
    <w:name w:val="Emphasis"/>
    <w:basedOn w:val="18"/>
    <w:qFormat/>
    <w:uiPriority w:val="0"/>
    <w:rPr>
      <w:i/>
    </w:rPr>
  </w:style>
  <w:style w:type="character" w:styleId="22">
    <w:name w:val="Hyperlink"/>
    <w:basedOn w:val="18"/>
    <w:qFormat/>
    <w:uiPriority w:val="0"/>
    <w:rPr>
      <w:color w:val="0000FF"/>
      <w:u w:val="single"/>
    </w:rPr>
  </w:style>
  <w:style w:type="character" w:customStyle="1" w:styleId="23">
    <w:name w:val="gwds_nopic"/>
    <w:basedOn w:val="18"/>
    <w:qFormat/>
    <w:uiPriority w:val="0"/>
  </w:style>
  <w:style w:type="character" w:customStyle="1" w:styleId="24">
    <w:name w:val="gwds_nopic1"/>
    <w:basedOn w:val="18"/>
    <w:qFormat/>
    <w:uiPriority w:val="0"/>
  </w:style>
  <w:style w:type="character" w:customStyle="1" w:styleId="25">
    <w:name w:val="gwds_nopic2"/>
    <w:basedOn w:val="18"/>
    <w:qFormat/>
    <w:uiPriority w:val="0"/>
  </w:style>
  <w:style w:type="character" w:customStyle="1" w:styleId="26">
    <w:name w:val="gwds_more4"/>
    <w:basedOn w:val="18"/>
    <w:qFormat/>
    <w:uiPriority w:val="0"/>
  </w:style>
  <w:style w:type="character" w:customStyle="1" w:styleId="27">
    <w:name w:val="font61"/>
    <w:basedOn w:val="18"/>
    <w:qFormat/>
    <w:uiPriority w:val="0"/>
    <w:rPr>
      <w:rFonts w:ascii="仿宋_GB2312" w:eastAsia="仿宋_GB2312" w:cs="仿宋_GB2312"/>
      <w:color w:val="000000"/>
      <w:sz w:val="22"/>
      <w:szCs w:val="22"/>
      <w:u w:val="none"/>
    </w:rPr>
  </w:style>
  <w:style w:type="paragraph" w:styleId="28">
    <w:name w:val="List Paragraph"/>
    <w:basedOn w:val="1"/>
    <w:qFormat/>
    <w:uiPriority w:val="0"/>
    <w:pPr>
      <w:ind w:firstLine="200" w:firstLineChars="200"/>
    </w:pPr>
  </w:style>
  <w:style w:type="paragraph" w:customStyle="1" w:styleId="29">
    <w:name w:val="Heading3"/>
    <w:basedOn w:val="1"/>
    <w:next w:val="1"/>
    <w:qFormat/>
    <w:uiPriority w:val="99"/>
    <w:pPr>
      <w:keepNext/>
      <w:keepLines/>
      <w:spacing w:line="560" w:lineRule="exact"/>
      <w:textAlignment w:val="baseline"/>
    </w:pPr>
    <w:rPr>
      <w:rFonts w:ascii="Calibri" w:hAnsi="Calibri" w:cs="Calibri"/>
      <w:b/>
      <w:bCs/>
    </w:rPr>
  </w:style>
  <w:style w:type="character" w:customStyle="1" w:styleId="30">
    <w:name w:val="font31"/>
    <w:basedOn w:val="18"/>
    <w:qFormat/>
    <w:uiPriority w:val="0"/>
    <w:rPr>
      <w:rFonts w:hint="eastAsia" w:ascii="仿宋" w:hAnsi="仿宋" w:eastAsia="仿宋" w:cs="仿宋"/>
      <w:color w:val="FF0000"/>
      <w:sz w:val="18"/>
      <w:szCs w:val="18"/>
      <w:u w:val="none"/>
    </w:rPr>
  </w:style>
  <w:style w:type="character" w:customStyle="1" w:styleId="31">
    <w:name w:val="font21"/>
    <w:basedOn w:val="18"/>
    <w:qFormat/>
    <w:uiPriority w:val="0"/>
    <w:rPr>
      <w:rFonts w:hint="eastAsia" w:ascii="仿宋" w:hAnsi="仿宋" w:eastAsia="仿宋" w:cs="仿宋"/>
      <w:color w:val="C00000"/>
      <w:sz w:val="18"/>
      <w:szCs w:val="18"/>
      <w:u w:val="none"/>
    </w:rPr>
  </w:style>
  <w:style w:type="character" w:customStyle="1" w:styleId="32">
    <w:name w:val="font131"/>
    <w:basedOn w:val="18"/>
    <w:qFormat/>
    <w:uiPriority w:val="0"/>
    <w:rPr>
      <w:rFonts w:hint="eastAsia" w:ascii="仿宋" w:hAnsi="仿宋" w:eastAsia="仿宋" w:cs="仿宋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微软中国</Company>
  <Pages>5</Pages>
  <Words>3275</Words>
  <Characters>3395</Characters>
  <Lines>35</Lines>
  <Paragraphs>22</Paragraphs>
  <TotalTime>2</TotalTime>
  <ScaleCrop>false</ScaleCrop>
  <LinksUpToDate>false</LinksUpToDate>
  <CharactersWithSpaces>3519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2021-07-14T23:42:00Z</dcterms:created>
  <dc:creator>基层处</dc:creator>
  <cp:lastModifiedBy>lenovo</cp:lastModifiedBy>
  <cp:lastPrinted>2026-03-25T02:23:00Z</cp:lastPrinted>
  <dcterms:modified xsi:type="dcterms:W3CDTF">2026-03-25T03:14:22Z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25A02F472A6247D5860A4F5D6236A8E1</vt:lpwstr>
  </property>
  <property fmtid="{D5CDD505-2E9C-101B-9397-08002B2CF9AE}" pid="4" name="KSOTemplateDocerSaveRecord">
    <vt:lpwstr>eyJoZGlkIjoiMDAwN2YzNDY5NjRiYThiNWIyMjU2NzA3OWRmMzhmNDYifQ==</vt:lpwstr>
  </property>
</Properties>
</file>