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5CACE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仿宋_GB2312" w:eastAsia="仿宋_GB2312" w:cs="仿宋_GB2312"/>
          <w:kern w:val="0"/>
          <w:sz w:val="32"/>
          <w:szCs w:val="32"/>
        </w:rPr>
      </w:pPr>
    </w:p>
    <w:p w14:paraId="16FF8EB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仿宋_GB2312" w:eastAsia="仿宋_GB2312" w:cs="仿宋_GB2312"/>
          <w:kern w:val="0"/>
          <w:sz w:val="32"/>
          <w:szCs w:val="32"/>
        </w:rPr>
      </w:pPr>
    </w:p>
    <w:p w14:paraId="6D13E8F2">
      <w:pPr>
        <w:keepNext w:val="0"/>
        <w:keepLines w:val="0"/>
        <w:pageBreakBefore w:val="0"/>
        <w:widowControl w:val="0"/>
        <w:kinsoku/>
        <w:wordWrap/>
        <w:overflowPunct/>
        <w:topLinePunct w:val="0"/>
        <w:autoSpaceDE/>
        <w:autoSpaceDN/>
        <w:bidi w:val="0"/>
        <w:adjustRightInd/>
        <w:snapToGrid/>
        <w:spacing w:after="0" w:line="360" w:lineRule="auto"/>
        <w:ind w:left="0"/>
        <w:jc w:val="both"/>
        <w:textAlignment w:val="auto"/>
        <w:rPr>
          <w:rFonts w:hint="eastAsia" w:ascii="宋体" w:eastAsia="宋体" w:cs="宋体"/>
          <w:b/>
          <w:sz w:val="44"/>
          <w:szCs w:val="44"/>
        </w:rPr>
      </w:pPr>
    </w:p>
    <w:p w14:paraId="5052DAF4">
      <w:pPr>
        <w:pageBreakBefore w:val="0"/>
        <w:wordWrap/>
        <w:topLinePunct w:val="0"/>
        <w:bidi w:val="0"/>
        <w:spacing w:line="560" w:lineRule="exact"/>
        <w:ind w:left="0" w:leftChars="0"/>
        <w:jc w:val="center"/>
        <w:rPr>
          <w:rFonts w:hint="default" w:ascii="宋体" w:hAnsi="宋体" w:eastAsia="宋体" w:cs="宋体"/>
          <w:b/>
          <w:bCs/>
          <w:sz w:val="44"/>
          <w:szCs w:val="44"/>
          <w:lang w:val="en-US"/>
        </w:rPr>
      </w:pPr>
      <w:r>
        <w:rPr>
          <w:rFonts w:hint="eastAsia" w:ascii="宋体" w:hAnsi="宋体" w:eastAsia="宋体" w:cs="宋体"/>
          <w:b/>
          <w:bCs/>
          <w:sz w:val="44"/>
          <w:szCs w:val="44"/>
          <w:lang w:val="en-US" w:eastAsia="zh-CN"/>
        </w:rPr>
        <w:t>涞源县</w:t>
      </w:r>
      <w:r>
        <w:rPr>
          <w:rFonts w:hint="eastAsia" w:ascii="宋体" w:hAnsi="宋体" w:cs="宋体"/>
          <w:b/>
          <w:bCs/>
          <w:sz w:val="44"/>
          <w:szCs w:val="44"/>
          <w:lang w:val="en-US" w:eastAsia="zh-CN"/>
        </w:rPr>
        <w:t>卫生健康局</w:t>
      </w:r>
    </w:p>
    <w:p w14:paraId="6DF7494B">
      <w:pPr>
        <w:pageBreakBefore w:val="0"/>
        <w:kinsoku w:val="0"/>
        <w:wordWrap/>
        <w:overflowPunct w:val="0"/>
        <w:topLinePunct w:val="0"/>
        <w:autoSpaceDE w:val="0"/>
        <w:autoSpaceDN w:val="0"/>
        <w:bidi w:val="0"/>
        <w:spacing w:line="560" w:lineRule="exact"/>
        <w:ind w:left="0" w:leftChars="0"/>
        <w:jc w:val="center"/>
        <w:rPr>
          <w:rFonts w:hint="eastAsia" w:ascii="宋体" w:hAnsi="宋体" w:eastAsia="宋体" w:cs="宋体"/>
          <w:b/>
          <w:bCs/>
          <w:snapToGrid w:val="0"/>
          <w:kern w:val="0"/>
          <w:sz w:val="44"/>
          <w:szCs w:val="24"/>
        </w:rPr>
      </w:pPr>
      <w:r>
        <w:rPr>
          <w:rFonts w:hint="eastAsia" w:ascii="宋体" w:hAnsi="宋体" w:eastAsia="宋体" w:cs="宋体"/>
          <w:b/>
          <w:bCs/>
          <w:snapToGrid w:val="0"/>
          <w:kern w:val="0"/>
          <w:sz w:val="44"/>
          <w:szCs w:val="24"/>
        </w:rPr>
        <w:t>关于印发《202</w:t>
      </w:r>
      <w:r>
        <w:rPr>
          <w:rFonts w:hint="eastAsia" w:ascii="宋体" w:hAnsi="宋体" w:eastAsia="宋体" w:cs="宋体"/>
          <w:b/>
          <w:bCs/>
          <w:snapToGrid w:val="0"/>
          <w:kern w:val="0"/>
          <w:sz w:val="44"/>
          <w:szCs w:val="24"/>
          <w:lang w:val="en-US" w:eastAsia="zh-CN"/>
        </w:rPr>
        <w:t>6</w:t>
      </w:r>
      <w:r>
        <w:rPr>
          <w:rFonts w:hint="eastAsia" w:ascii="宋体" w:hAnsi="宋体" w:eastAsia="宋体" w:cs="宋体"/>
          <w:b/>
          <w:bCs/>
          <w:snapToGrid w:val="0"/>
          <w:kern w:val="0"/>
          <w:sz w:val="44"/>
          <w:szCs w:val="24"/>
        </w:rPr>
        <w:t>年“双随机、一公开”</w:t>
      </w:r>
    </w:p>
    <w:p w14:paraId="0795459C">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outlineLvl w:val="9"/>
        <w:rPr>
          <w:rFonts w:hint="eastAsia" w:ascii="宋体" w:hAnsi="宋体" w:eastAsia="宋体" w:cs="宋体"/>
          <w:b/>
          <w:bCs/>
          <w:spacing w:val="-4"/>
          <w:kern w:val="0"/>
          <w:sz w:val="44"/>
          <w:szCs w:val="44"/>
          <w:lang w:val="en-US" w:eastAsia="zh-CN" w:bidi="ar-SA"/>
        </w:rPr>
      </w:pPr>
      <w:r>
        <w:rPr>
          <w:rFonts w:hint="eastAsia" w:ascii="宋体" w:hAnsi="宋体" w:eastAsia="宋体" w:cs="宋体"/>
          <w:b/>
          <w:bCs/>
          <w:snapToGrid w:val="0"/>
          <w:kern w:val="0"/>
          <w:sz w:val="44"/>
          <w:szCs w:val="24"/>
        </w:rPr>
        <w:t>监管工作实施方案》</w:t>
      </w:r>
      <w:r>
        <w:rPr>
          <w:rFonts w:hint="eastAsia" w:ascii="宋体" w:hAnsi="宋体" w:eastAsia="宋体" w:cs="宋体"/>
          <w:b/>
          <w:bCs/>
          <w:spacing w:val="-4"/>
          <w:kern w:val="0"/>
          <w:sz w:val="44"/>
          <w:szCs w:val="44"/>
          <w:lang w:val="en-US" w:eastAsia="zh-CN" w:bidi="ar-SA"/>
        </w:rPr>
        <w:t>和抽查工作计划的</w:t>
      </w:r>
    </w:p>
    <w:p w14:paraId="1B4E13A3">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outlineLvl w:val="9"/>
        <w:rPr>
          <w:rFonts w:hint="eastAsia" w:ascii="宋体" w:hAnsi="宋体" w:eastAsia="宋体" w:cs="宋体"/>
          <w:b/>
          <w:bCs/>
          <w:spacing w:val="-4"/>
        </w:rPr>
      </w:pPr>
      <w:r>
        <w:rPr>
          <w:rFonts w:hint="eastAsia" w:ascii="宋体" w:hAnsi="宋体" w:eastAsia="宋体" w:cs="宋体"/>
          <w:b/>
          <w:bCs/>
          <w:spacing w:val="-4"/>
          <w:kern w:val="0"/>
          <w:sz w:val="44"/>
          <w:szCs w:val="44"/>
          <w:lang w:val="en-US" w:eastAsia="zh-CN" w:bidi="ar-SA"/>
        </w:rPr>
        <w:t>通    知</w:t>
      </w:r>
    </w:p>
    <w:p w14:paraId="3F95C356">
      <w:pPr>
        <w:keepNext w:val="0"/>
        <w:keepLines w:val="0"/>
        <w:pageBreakBefore w:val="0"/>
        <w:widowControl w:val="0"/>
        <w:kinsoku w:val="0"/>
        <w:wordWrap/>
        <w:overflowPunct w:val="0"/>
        <w:topLinePunct w:val="0"/>
        <w:autoSpaceDE w:val="0"/>
        <w:autoSpaceDN w:val="0"/>
        <w:bidi w:val="0"/>
        <w:adjustRightInd/>
        <w:snapToGrid/>
        <w:spacing w:line="560" w:lineRule="exact"/>
        <w:ind w:left="0" w:leftChars="0"/>
        <w:jc w:val="center"/>
        <w:textAlignment w:val="auto"/>
        <w:rPr>
          <w:rFonts w:hint="default" w:ascii="Times New Roman" w:hAnsi="Times New Roman" w:cs="Times New Roman"/>
          <w:sz w:val="33"/>
          <w:szCs w:val="33"/>
        </w:rPr>
      </w:pPr>
    </w:p>
    <w:p w14:paraId="5A282946">
      <w:pPr>
        <w:pageBreakBefore w:val="0"/>
        <w:widowControl/>
        <w:kinsoku/>
        <w:wordWrap/>
        <w:overflowPunct/>
        <w:topLinePunct w:val="0"/>
        <w:autoSpaceDE/>
        <w:autoSpaceDN/>
        <w:bidi w:val="0"/>
        <w:adjustRightInd/>
        <w:snapToGrid/>
        <w:spacing w:line="560" w:lineRule="exact"/>
        <w:ind w:left="0" w:leftChars="0" w:right="0"/>
        <w:jc w:val="left"/>
        <w:rPr>
          <w:rFonts w:hint="eastAsia" w:ascii="仿宋_GB2312" w:hAnsi="仿宋_GB2312" w:eastAsia="仿宋_GB2312" w:cs="仿宋_GB2312"/>
          <w:snapToGrid w:val="0"/>
          <w:color w:val="000000"/>
          <w:w w:val="100"/>
          <w:sz w:val="32"/>
          <w:szCs w:val="32"/>
        </w:rPr>
      </w:pPr>
      <w:bookmarkStart w:id="0" w:name="OLE_LINK2"/>
      <w:r>
        <w:rPr>
          <w:rFonts w:hint="eastAsia" w:ascii="仿宋_GB2312" w:hAnsi="仿宋" w:eastAsia="仿宋_GB2312" w:cs="仿宋_GB2312"/>
          <w:color w:val="000000"/>
          <w:sz w:val="32"/>
          <w:szCs w:val="32"/>
          <w:lang w:bidi="ar"/>
        </w:rPr>
        <w:t>卫生监督所、局机关相关股室：</w:t>
      </w:r>
      <w:bookmarkEnd w:id="0"/>
    </w:p>
    <w:p w14:paraId="5D0529D7">
      <w:pPr>
        <w:pStyle w:val="29"/>
        <w:pageBreakBefore w:val="0"/>
        <w:kinsoku/>
        <w:wordWrap/>
        <w:overflowPunct/>
        <w:topLinePunct w:val="0"/>
        <w:autoSpaceDE/>
        <w:autoSpaceDN/>
        <w:bidi w:val="0"/>
        <w:adjustRightInd/>
        <w:snapToGrid/>
        <w:spacing w:line="560" w:lineRule="exact"/>
        <w:ind w:left="0" w:leftChars="0" w:right="0" w:firstLine="640" w:firstLineChars="200"/>
        <w:jc w:val="both"/>
        <w:rPr>
          <w:rFonts w:hint="eastAsia" w:ascii="仿宋_GB2312" w:hAnsi="仿宋_GB2312" w:eastAsia="仿宋_GB2312" w:cs="仿宋_GB2312"/>
          <w:color w:val="000000"/>
          <w:sz w:val="32"/>
          <w:szCs w:val="32"/>
        </w:rPr>
      </w:pPr>
      <w:r>
        <w:rPr>
          <w:rFonts w:hint="eastAsia" w:ascii="仿宋_GB2312" w:hAnsi="仿宋_GB2312" w:eastAsia="仿宋_GB2312" w:cs="仿宋_GB2312"/>
          <w:b w:val="0"/>
          <w:bCs w:val="0"/>
          <w:color w:val="auto"/>
          <w:kern w:val="0"/>
          <w:sz w:val="32"/>
          <w:szCs w:val="32"/>
          <w:lang w:val="en-US" w:eastAsia="zh-CN" w:bidi="ar-SA"/>
        </w:rPr>
        <w:t>按照国家、省、市有关工作部署要求，为进一步推进“双随机、一公开”监管工作，我局制定了《</w:t>
      </w:r>
      <w:r>
        <w:rPr>
          <w:rFonts w:hint="default" w:ascii="Times New Roman" w:hAnsi="Times New Roman" w:eastAsia="仿宋_GB2312" w:cs="Times New Roman"/>
          <w:b w:val="0"/>
          <w:bCs w:val="0"/>
          <w:color w:val="auto"/>
          <w:kern w:val="0"/>
          <w:sz w:val="32"/>
          <w:szCs w:val="32"/>
          <w:lang w:val="en-US" w:eastAsia="zh-CN" w:bidi="ar-SA"/>
        </w:rPr>
        <w:t>202</w:t>
      </w:r>
      <w:r>
        <w:rPr>
          <w:rFonts w:hint="eastAsia" w:ascii="Times New Roman" w:hAnsi="Times New Roman" w:eastAsia="仿宋_GB2312" w:cs="Times New Roman"/>
          <w:b w:val="0"/>
          <w:bCs w:val="0"/>
          <w:color w:val="auto"/>
          <w:kern w:val="0"/>
          <w:sz w:val="32"/>
          <w:szCs w:val="32"/>
          <w:lang w:val="en-US" w:eastAsia="zh-CN" w:bidi="ar-SA"/>
        </w:rPr>
        <w:t>6</w:t>
      </w:r>
      <w:r>
        <w:rPr>
          <w:rFonts w:hint="eastAsia" w:ascii="仿宋_GB2312" w:hAnsi="仿宋_GB2312" w:eastAsia="仿宋_GB2312" w:cs="仿宋_GB2312"/>
          <w:b w:val="0"/>
          <w:bCs w:val="0"/>
          <w:color w:val="auto"/>
          <w:kern w:val="0"/>
          <w:sz w:val="32"/>
          <w:szCs w:val="32"/>
          <w:lang w:val="en-US" w:eastAsia="zh-CN" w:bidi="ar-SA"/>
        </w:rPr>
        <w:t>年涞源县“双随机、一公开”监管工作实施方案》，并组织编制了本级各部门</w:t>
      </w:r>
      <w:r>
        <w:rPr>
          <w:rFonts w:hint="eastAsia" w:ascii="Times New Roman" w:hAnsi="Times New Roman" w:eastAsia="仿宋_GB2312" w:cs="Times New Roman"/>
          <w:b w:val="0"/>
          <w:bCs w:val="0"/>
          <w:color w:val="auto"/>
          <w:kern w:val="0"/>
          <w:sz w:val="32"/>
          <w:szCs w:val="32"/>
          <w:lang w:val="en-US" w:eastAsia="zh-CN" w:bidi="ar-SA"/>
        </w:rPr>
        <w:t>2026</w:t>
      </w:r>
      <w:r>
        <w:rPr>
          <w:rFonts w:hint="eastAsia" w:ascii="仿宋_GB2312" w:hAnsi="仿宋_GB2312" w:eastAsia="仿宋_GB2312" w:cs="仿宋_GB2312"/>
          <w:b w:val="0"/>
          <w:bCs w:val="0"/>
          <w:color w:val="auto"/>
          <w:kern w:val="0"/>
          <w:sz w:val="32"/>
          <w:szCs w:val="32"/>
          <w:lang w:val="en-US" w:eastAsia="zh-CN" w:bidi="ar-SA"/>
        </w:rPr>
        <w:t>年“双随机、一公开”抽查工作计划，在此基础上汇总形成《涞源县</w:t>
      </w:r>
      <w:r>
        <w:rPr>
          <w:rFonts w:hint="eastAsia" w:ascii="Times New Roman" w:hAnsi="Times New Roman" w:eastAsia="仿宋_GB2312" w:cs="Times New Roman"/>
          <w:b w:val="0"/>
          <w:bCs w:val="0"/>
          <w:color w:val="auto"/>
          <w:kern w:val="0"/>
          <w:sz w:val="32"/>
          <w:szCs w:val="32"/>
          <w:lang w:val="en-US" w:eastAsia="zh-CN" w:bidi="ar-SA"/>
        </w:rPr>
        <w:t>2026</w:t>
      </w:r>
      <w:r>
        <w:rPr>
          <w:rFonts w:hint="eastAsia" w:ascii="仿宋_GB2312" w:hAnsi="仿宋_GB2312" w:eastAsia="仿宋_GB2312" w:cs="仿宋_GB2312"/>
          <w:b w:val="0"/>
          <w:bCs w:val="0"/>
          <w:color w:val="auto"/>
          <w:kern w:val="0"/>
          <w:sz w:val="32"/>
          <w:szCs w:val="32"/>
          <w:lang w:val="en-US" w:eastAsia="zh-CN" w:bidi="ar-SA"/>
        </w:rPr>
        <w:t>年度随机抽查工作计划》，现印发给你们，请认真执行，并将</w:t>
      </w:r>
      <w:r>
        <w:rPr>
          <w:rFonts w:hint="eastAsia" w:ascii="Times New Roman" w:hAnsi="Times New Roman" w:eastAsia="仿宋_GB2312" w:cs="Times New Roman"/>
          <w:b w:val="0"/>
          <w:bCs w:val="0"/>
          <w:color w:val="auto"/>
          <w:kern w:val="0"/>
          <w:sz w:val="32"/>
          <w:szCs w:val="32"/>
          <w:lang w:val="en-US" w:eastAsia="zh-CN" w:bidi="ar-SA"/>
        </w:rPr>
        <w:t>2026</w:t>
      </w:r>
      <w:r>
        <w:rPr>
          <w:rFonts w:hint="eastAsia" w:ascii="仿宋_GB2312" w:hAnsi="仿宋_GB2312" w:eastAsia="仿宋_GB2312" w:cs="仿宋_GB2312"/>
          <w:b w:val="0"/>
          <w:bCs w:val="0"/>
          <w:color w:val="auto"/>
          <w:kern w:val="0"/>
          <w:sz w:val="32"/>
          <w:szCs w:val="32"/>
          <w:lang w:val="en-US" w:eastAsia="zh-CN" w:bidi="ar-SA"/>
        </w:rPr>
        <w:t>年度抽查计划在相关门户网站上进行公示。</w:t>
      </w:r>
    </w:p>
    <w:p w14:paraId="68CEC54A">
      <w:pPr>
        <w:keepNext w:val="0"/>
        <w:keepLines w:val="0"/>
        <w:pageBreakBefore w:val="0"/>
        <w:widowControl w:val="0"/>
        <w:kinsoku/>
        <w:wordWrap/>
        <w:overflowPunct/>
        <w:topLinePunct w:val="0"/>
        <w:autoSpaceDE/>
        <w:autoSpaceDN/>
        <w:bidi w:val="0"/>
        <w:adjustRightInd/>
        <w:snapToGrid/>
        <w:spacing w:line="560" w:lineRule="exact"/>
        <w:ind w:left="0" w:leftChars="0" w:right="0"/>
        <w:jc w:val="both"/>
        <w:textAlignment w:val="auto"/>
        <w:outlineLvl w:val="9"/>
        <w:rPr>
          <w:rFonts w:hint="eastAsia" w:ascii="仿宋_GB2312" w:hAnsi="仿宋_GB2312" w:eastAsia="仿宋_GB2312" w:cs="仿宋_GB2312"/>
          <w:color w:val="000000"/>
          <w:sz w:val="32"/>
          <w:szCs w:val="32"/>
        </w:rPr>
      </w:pPr>
    </w:p>
    <w:p w14:paraId="17814BAF">
      <w:pPr>
        <w:keepNext w:val="0"/>
        <w:keepLines w:val="0"/>
        <w:pageBreakBefore w:val="0"/>
        <w:widowControl w:val="0"/>
        <w:kinsoku/>
        <w:wordWrap/>
        <w:overflowPunct/>
        <w:topLinePunct w:val="0"/>
        <w:autoSpaceDE/>
        <w:autoSpaceDN/>
        <w:bidi w:val="0"/>
        <w:adjustRightInd/>
        <w:snapToGrid/>
        <w:spacing w:line="560" w:lineRule="exact"/>
        <w:ind w:left="0" w:leftChars="0" w:right="0"/>
        <w:jc w:val="both"/>
        <w:textAlignment w:val="auto"/>
        <w:outlineLvl w:val="9"/>
        <w:rPr>
          <w:rFonts w:hint="default" w:ascii="Times New Roman" w:hAnsi="Times New Roman" w:eastAsia="仿宋_GB2312" w:cs="Times New Roman"/>
          <w:color w:val="000000"/>
          <w:sz w:val="32"/>
          <w:szCs w:val="32"/>
        </w:rPr>
      </w:pPr>
      <w:r>
        <w:rPr>
          <w:rFonts w:hint="eastAsia" w:ascii="仿宋_GB2312" w:hAnsi="仿宋_GB2312" w:eastAsia="仿宋_GB2312" w:cs="仿宋_GB2312"/>
          <w:color w:val="000000"/>
          <w:sz w:val="32"/>
          <w:szCs w:val="32"/>
        </w:rPr>
        <w:t>附件：</w:t>
      </w:r>
      <w:r>
        <w:rPr>
          <w:rFonts w:hint="default" w:ascii="Times New Roman" w:hAnsi="Times New Roman" w:eastAsia="仿宋_GB2312" w:cs="Times New Roman"/>
          <w:color w:val="000000"/>
          <w:sz w:val="32"/>
          <w:szCs w:val="32"/>
        </w:rPr>
        <w:t>1.202</w:t>
      </w:r>
      <w:r>
        <w:rPr>
          <w:rFonts w:hint="eastAsia" w:ascii="Times New Roman" w:hAnsi="Times New Roman" w:eastAsia="仿宋_GB2312" w:cs="Times New Roman"/>
          <w:color w:val="000000"/>
          <w:sz w:val="32"/>
          <w:szCs w:val="32"/>
          <w:lang w:val="en-US" w:eastAsia="zh-CN"/>
        </w:rPr>
        <w:t>6</w:t>
      </w:r>
      <w:r>
        <w:rPr>
          <w:rFonts w:hint="default" w:ascii="Times New Roman" w:hAnsi="Times New Roman" w:eastAsia="仿宋_GB2312" w:cs="Times New Roman"/>
          <w:color w:val="000000"/>
          <w:sz w:val="32"/>
          <w:szCs w:val="32"/>
        </w:rPr>
        <w:t>年</w:t>
      </w:r>
      <w:r>
        <w:rPr>
          <w:rFonts w:hint="eastAsia" w:eastAsia="仿宋_GB2312" w:cs="Times New Roman"/>
          <w:color w:val="000000"/>
          <w:sz w:val="32"/>
          <w:szCs w:val="32"/>
          <w:lang w:eastAsia="zh-CN"/>
        </w:rPr>
        <w:t>涞源县</w:t>
      </w:r>
      <w:r>
        <w:rPr>
          <w:rFonts w:hint="default" w:ascii="Times New Roman" w:hAnsi="Times New Roman" w:eastAsia="仿宋_GB2312" w:cs="Times New Roman"/>
          <w:color w:val="000000"/>
          <w:sz w:val="32"/>
          <w:szCs w:val="32"/>
        </w:rPr>
        <w:t>“双随机、一公开”监管工作实施方案</w:t>
      </w:r>
    </w:p>
    <w:p w14:paraId="7320F985">
      <w:pPr>
        <w:keepNext w:val="0"/>
        <w:keepLines w:val="0"/>
        <w:pageBreakBefore w:val="0"/>
        <w:widowControl w:val="0"/>
        <w:kinsoku/>
        <w:wordWrap/>
        <w:overflowPunct/>
        <w:topLinePunct w:val="0"/>
        <w:autoSpaceDE/>
        <w:autoSpaceDN/>
        <w:bidi w:val="0"/>
        <w:adjustRightInd/>
        <w:snapToGrid/>
        <w:spacing w:line="560" w:lineRule="exact"/>
        <w:ind w:left="0" w:leftChars="0" w:right="0" w:firstLine="960" w:firstLineChars="300"/>
        <w:jc w:val="both"/>
        <w:textAlignment w:val="auto"/>
        <w:outlineLvl w:val="9"/>
        <w:rPr>
          <w:rFonts w:hint="eastAsia" w:eastAsia="仿宋_GB2312" w:cs="Times New Roman"/>
          <w:b w:val="0"/>
          <w:bCs w:val="0"/>
          <w:color w:val="auto"/>
          <w:kern w:val="0"/>
          <w:sz w:val="32"/>
          <w:szCs w:val="32"/>
          <w:lang w:val="en-US" w:eastAsia="zh-CN" w:bidi="ar-SA"/>
        </w:rPr>
      </w:pPr>
      <w:r>
        <w:rPr>
          <w:rFonts w:hint="eastAsia" w:ascii="Times New Roman" w:hAnsi="Times New Roman" w:eastAsia="仿宋_GB2312" w:cs="Times New Roman"/>
          <w:color w:val="000000"/>
          <w:sz w:val="32"/>
          <w:szCs w:val="32"/>
          <w:lang w:val="en-US" w:eastAsia="zh-CN"/>
        </w:rPr>
        <w:t>2.</w:t>
      </w:r>
      <w:r>
        <w:rPr>
          <w:rFonts w:hint="eastAsia" w:eastAsia="仿宋_GB2312" w:cs="Times New Roman"/>
          <w:color w:val="000000"/>
          <w:sz w:val="32"/>
          <w:szCs w:val="32"/>
          <w:lang w:eastAsia="zh-CN"/>
        </w:rPr>
        <w:t>涞源县</w:t>
      </w:r>
      <w:r>
        <w:rPr>
          <w:rFonts w:hint="default" w:ascii="Times New Roman" w:hAnsi="Times New Roman" w:eastAsia="仿宋_GB2312" w:cs="Times New Roman"/>
          <w:color w:val="000000"/>
          <w:sz w:val="32"/>
          <w:szCs w:val="32"/>
        </w:rPr>
        <w:t>202</w:t>
      </w:r>
      <w:r>
        <w:rPr>
          <w:rFonts w:hint="eastAsia" w:ascii="Times New Roman" w:hAnsi="Times New Roman" w:eastAsia="仿宋_GB2312" w:cs="Times New Roman"/>
          <w:color w:val="000000"/>
          <w:sz w:val="32"/>
          <w:szCs w:val="32"/>
          <w:lang w:val="en-US" w:eastAsia="zh-CN"/>
        </w:rPr>
        <w:t>6</w:t>
      </w:r>
      <w:r>
        <w:rPr>
          <w:rFonts w:hint="default" w:ascii="Times New Roman" w:hAnsi="Times New Roman" w:eastAsia="仿宋_GB2312" w:cs="Times New Roman"/>
          <w:color w:val="000000"/>
          <w:sz w:val="32"/>
          <w:szCs w:val="32"/>
        </w:rPr>
        <w:t>年</w:t>
      </w:r>
      <w:r>
        <w:rPr>
          <w:rFonts w:hint="default" w:ascii="Times New Roman" w:hAnsi="Times New Roman" w:eastAsia="仿宋_GB2312" w:cs="Times New Roman"/>
          <w:color w:val="000000"/>
          <w:sz w:val="32"/>
          <w:szCs w:val="32"/>
          <w:lang w:val="en-US" w:eastAsia="zh-CN"/>
        </w:rPr>
        <w:t>度</w:t>
      </w:r>
      <w:r>
        <w:rPr>
          <w:rFonts w:hint="default" w:ascii="Times New Roman" w:hAnsi="Times New Roman" w:eastAsia="仿宋_GB2312" w:cs="Times New Roman"/>
          <w:color w:val="000000"/>
          <w:sz w:val="32"/>
          <w:szCs w:val="32"/>
        </w:rPr>
        <w:t>随机抽查</w:t>
      </w:r>
      <w:r>
        <w:rPr>
          <w:rFonts w:hint="default" w:ascii="Times New Roman" w:hAnsi="Times New Roman" w:eastAsia="仿宋_GB2312" w:cs="Times New Roman"/>
          <w:color w:val="000000"/>
          <w:sz w:val="32"/>
          <w:szCs w:val="32"/>
          <w:lang w:val="en-US" w:eastAsia="zh-CN"/>
        </w:rPr>
        <w:t>工作</w:t>
      </w:r>
    </w:p>
    <w:p w14:paraId="0A7E5FF5">
      <w:pPr>
        <w:keepNext w:val="0"/>
        <w:keepLines w:val="0"/>
        <w:pageBreakBefore w:val="0"/>
        <w:widowControl w:val="0"/>
        <w:numPr>
          <w:ilvl w:val="0"/>
          <w:numId w:val="0"/>
        </w:numPr>
        <w:tabs>
          <w:tab w:val="left" w:pos="2156"/>
        </w:tabs>
        <w:kinsoku/>
        <w:wordWrap/>
        <w:overflowPunct/>
        <w:topLinePunct w:val="0"/>
        <w:autoSpaceDE/>
        <w:autoSpaceDN/>
        <w:bidi w:val="0"/>
        <w:adjustRightInd/>
        <w:snapToGrid/>
        <w:spacing w:line="560" w:lineRule="exact"/>
        <w:ind w:left="0" w:leftChars="0" w:right="0" w:rightChars="0"/>
        <w:jc w:val="both"/>
        <w:textAlignment w:val="auto"/>
        <w:outlineLvl w:val="9"/>
        <w:rPr>
          <w:rFonts w:hint="eastAsia" w:eastAsia="仿宋_GB2312" w:cs="Times New Roman"/>
          <w:b w:val="0"/>
          <w:bCs w:val="0"/>
          <w:color w:val="auto"/>
          <w:kern w:val="0"/>
          <w:sz w:val="32"/>
          <w:szCs w:val="32"/>
          <w:lang w:val="en-US" w:eastAsia="zh-CN" w:bidi="ar-SA"/>
        </w:rPr>
      </w:pPr>
    </w:p>
    <w:p w14:paraId="74327A93">
      <w:pPr>
        <w:keepNext w:val="0"/>
        <w:keepLines w:val="0"/>
        <w:pageBreakBefore w:val="0"/>
        <w:widowControl w:val="0"/>
        <w:numPr>
          <w:ilvl w:val="0"/>
          <w:numId w:val="0"/>
        </w:numPr>
        <w:tabs>
          <w:tab w:val="left" w:pos="2156"/>
        </w:tabs>
        <w:kinsoku/>
        <w:wordWrap/>
        <w:overflowPunct/>
        <w:topLinePunct w:val="0"/>
        <w:autoSpaceDE/>
        <w:autoSpaceDN/>
        <w:bidi w:val="0"/>
        <w:adjustRightInd/>
        <w:snapToGrid/>
        <w:spacing w:line="560" w:lineRule="exact"/>
        <w:ind w:left="638" w:leftChars="304" w:right="0" w:rightChars="0" w:firstLine="5120" w:firstLineChars="1600"/>
        <w:jc w:val="both"/>
        <w:textAlignment w:val="auto"/>
        <w:outlineLvl w:val="9"/>
        <w:rPr>
          <w:rFonts w:hint="eastAsia" w:eastAsia="仿宋_GB2312" w:cs="Times New Roman"/>
          <w:b w:val="0"/>
          <w:bCs w:val="0"/>
          <w:color w:val="auto"/>
          <w:kern w:val="0"/>
          <w:sz w:val="32"/>
          <w:szCs w:val="32"/>
          <w:lang w:val="en-US" w:eastAsia="zh-CN" w:bidi="ar-SA"/>
        </w:rPr>
      </w:pPr>
      <w:r>
        <w:rPr>
          <w:rFonts w:hint="eastAsia" w:eastAsia="仿宋_GB2312" w:cs="Times New Roman"/>
          <w:b w:val="0"/>
          <w:bCs w:val="0"/>
          <w:color w:val="auto"/>
          <w:kern w:val="0"/>
          <w:sz w:val="32"/>
          <w:szCs w:val="32"/>
          <w:lang w:val="en-US" w:eastAsia="zh-CN" w:bidi="ar-SA"/>
        </w:rPr>
        <w:t xml:space="preserve">涞源县卫生健康局                                                             </w:t>
      </w:r>
    </w:p>
    <w:p w14:paraId="7758C2C4">
      <w:pPr>
        <w:keepNext w:val="0"/>
        <w:keepLines w:val="0"/>
        <w:pageBreakBefore w:val="0"/>
        <w:widowControl w:val="0"/>
        <w:numPr>
          <w:ilvl w:val="0"/>
          <w:numId w:val="0"/>
        </w:numPr>
        <w:tabs>
          <w:tab w:val="left" w:pos="2156"/>
        </w:tabs>
        <w:kinsoku/>
        <w:wordWrap/>
        <w:overflowPunct/>
        <w:topLinePunct w:val="0"/>
        <w:autoSpaceDE/>
        <w:autoSpaceDN/>
        <w:bidi w:val="0"/>
        <w:adjustRightInd/>
        <w:snapToGrid/>
        <w:spacing w:line="560" w:lineRule="exact"/>
        <w:ind w:left="638" w:leftChars="304" w:right="0" w:rightChars="0" w:firstLine="5120" w:firstLineChars="1600"/>
        <w:jc w:val="both"/>
        <w:textAlignment w:val="auto"/>
        <w:outlineLvl w:val="9"/>
        <w:rPr>
          <w:rFonts w:hint="eastAsia" w:ascii="仿宋" w:hAnsi="仿宋" w:eastAsia="仿宋" w:cs="仿宋"/>
          <w:b w:val="0"/>
          <w:bCs w:val="0"/>
          <w:color w:val="auto"/>
          <w:kern w:val="0"/>
          <w:sz w:val="32"/>
          <w:szCs w:val="32"/>
          <w:lang w:val="en-US" w:eastAsia="zh-CN" w:bidi="ar-SA"/>
        </w:rPr>
      </w:pPr>
      <w:r>
        <w:rPr>
          <w:rFonts w:hint="eastAsia" w:ascii="仿宋" w:hAnsi="仿宋" w:eastAsia="仿宋" w:cs="仿宋"/>
          <w:b w:val="0"/>
          <w:bCs w:val="0"/>
          <w:color w:val="auto"/>
          <w:kern w:val="0"/>
          <w:sz w:val="32"/>
          <w:szCs w:val="32"/>
          <w:lang w:val="en-US" w:eastAsia="zh-CN" w:bidi="ar-SA"/>
        </w:rPr>
        <w:t>2026年2月13日</w:t>
      </w:r>
    </w:p>
    <w:p w14:paraId="3718FD87">
      <w:pPr>
        <w:pStyle w:val="2"/>
        <w:rPr>
          <w:rFonts w:hint="eastAsia" w:ascii="仿宋" w:hAnsi="仿宋" w:eastAsia="仿宋" w:cs="仿宋"/>
          <w:b w:val="0"/>
          <w:bCs w:val="0"/>
          <w:color w:val="auto"/>
          <w:kern w:val="0"/>
          <w:sz w:val="32"/>
          <w:szCs w:val="32"/>
          <w:lang w:val="en-US" w:eastAsia="zh-CN" w:bidi="ar-SA"/>
        </w:rPr>
      </w:pPr>
    </w:p>
    <w:p w14:paraId="4367A5E1">
      <w:pP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附件1</w:t>
      </w:r>
    </w:p>
    <w:p w14:paraId="1A421EE4">
      <w:pPr>
        <w:ind w:firstLine="1735" w:firstLineChars="400"/>
        <w:rPr>
          <w:rFonts w:hint="eastAsia" w:ascii="宋体" w:hAnsi="宋体" w:eastAsia="宋体" w:cs="宋体"/>
          <w:b/>
          <w:bCs/>
          <w:spacing w:val="-4"/>
          <w:kern w:val="0"/>
          <w:sz w:val="44"/>
          <w:szCs w:val="44"/>
          <w:lang w:val="en-US" w:eastAsia="zh-CN" w:bidi="ar-SA"/>
        </w:rPr>
      </w:pPr>
      <w:r>
        <w:rPr>
          <w:rFonts w:hint="eastAsia" w:ascii="宋体" w:hAnsi="宋体" w:eastAsia="宋体" w:cs="宋体"/>
          <w:b/>
          <w:bCs/>
          <w:spacing w:val="-4"/>
          <w:kern w:val="0"/>
          <w:sz w:val="44"/>
          <w:szCs w:val="44"/>
          <w:lang w:val="en-US" w:eastAsia="zh-CN" w:bidi="ar-SA"/>
        </w:rPr>
        <w:t>2</w:t>
      </w:r>
      <w:bookmarkStart w:id="1" w:name="OLE_LINK1"/>
      <w:r>
        <w:rPr>
          <w:rFonts w:hint="eastAsia" w:ascii="宋体" w:hAnsi="宋体" w:eastAsia="宋体" w:cs="宋体"/>
          <w:b/>
          <w:bCs/>
          <w:spacing w:val="-4"/>
          <w:kern w:val="0"/>
          <w:sz w:val="44"/>
          <w:szCs w:val="44"/>
          <w:lang w:val="en-US" w:eastAsia="zh-CN" w:bidi="ar-SA"/>
        </w:rPr>
        <w:t>026年涞源县“双随机、一公开”</w:t>
      </w:r>
    </w:p>
    <w:p w14:paraId="521802C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b/>
          <w:bCs/>
          <w:spacing w:val="-4"/>
          <w:kern w:val="0"/>
          <w:sz w:val="44"/>
          <w:szCs w:val="44"/>
          <w:lang w:val="en-US" w:eastAsia="zh-CN" w:bidi="ar-SA"/>
        </w:rPr>
      </w:pPr>
      <w:r>
        <w:rPr>
          <w:rFonts w:hint="eastAsia" w:ascii="宋体" w:hAnsi="宋体" w:eastAsia="宋体" w:cs="宋体"/>
          <w:b/>
          <w:bCs/>
          <w:spacing w:val="-4"/>
          <w:kern w:val="0"/>
          <w:sz w:val="44"/>
          <w:szCs w:val="44"/>
          <w:lang w:val="en-US" w:eastAsia="zh-CN" w:bidi="ar-SA"/>
        </w:rPr>
        <w:t>监管工作实施方案</w:t>
      </w:r>
    </w:p>
    <w:bookmarkEnd w:id="1"/>
    <w:p w14:paraId="02700BCD">
      <w:pPr>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outlineLvl w:val="9"/>
        <w:rPr>
          <w:rFonts w:hint="eastAsia" w:ascii="仿宋_GB2312" w:hAnsi="仿宋_GB2312" w:eastAsia="仿宋_GB2312" w:cs="仿宋_GB2312"/>
          <w:color w:val="000000"/>
          <w:kern w:val="60"/>
          <w:sz w:val="32"/>
          <w:szCs w:val="32"/>
        </w:rPr>
      </w:pPr>
    </w:p>
    <w:p w14:paraId="05AA0C3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0"/>
          <w:sz w:val="32"/>
          <w:szCs w:val="32"/>
          <w:lang w:val="en-US" w:eastAsia="zh-CN" w:bidi="ar-SA"/>
        </w:rPr>
        <w:t>为深入贯彻落实国家、省、市关于优化营商环境部署要求，持续深化“双随机、一公开”监管，提升监管效能，根据《国务院关于在市场监管领域全面推行部门联合“双随机、一公开”监管的意见》（国发〔2019〕5号）、《国务院办公厅关于严格规范涉企行政检查的意见》（国办发〔2024〕54号）、《市场监管总局关于全面深化“双随机、一公开”监管规范涉企行政检查服务高质量发展的意见》（国市监信规〔2024〕5号）等文件要求，制定本方案。</w:t>
      </w:r>
    </w:p>
    <w:p w14:paraId="075EEEA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color w:val="FF0000"/>
          <w:kern w:val="60"/>
          <w:sz w:val="32"/>
          <w:szCs w:val="32"/>
        </w:rPr>
      </w:pPr>
      <w:r>
        <w:rPr>
          <w:rFonts w:hint="eastAsia" w:ascii="黑体" w:hAnsi="黑体" w:eastAsia="黑体" w:cs="黑体"/>
          <w:color w:val="000000"/>
          <w:kern w:val="60"/>
          <w:sz w:val="32"/>
          <w:szCs w:val="32"/>
          <w:lang w:eastAsia="zh-CN"/>
        </w:rPr>
        <w:t>一、</w:t>
      </w:r>
      <w:r>
        <w:rPr>
          <w:rFonts w:hint="eastAsia" w:ascii="黑体" w:hAnsi="黑体" w:eastAsia="黑体" w:cs="黑体"/>
          <w:color w:val="000000"/>
          <w:kern w:val="60"/>
          <w:sz w:val="32"/>
          <w:szCs w:val="32"/>
        </w:rPr>
        <w:t>工作思路</w:t>
      </w:r>
    </w:p>
    <w:p w14:paraId="6A37E9C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themeColor="text1"/>
          <w:kern w:val="60"/>
          <w:sz w:val="32"/>
          <w:szCs w:val="32"/>
          <w:lang w:eastAsia="zh-CN"/>
          <w14:textFill>
            <w14:solidFill>
              <w14:schemeClr w14:val="tx1"/>
            </w14:solidFill>
          </w14:textFill>
        </w:rPr>
      </w:pPr>
      <w:r>
        <w:rPr>
          <w:rFonts w:hint="eastAsia" w:ascii="仿宋_GB2312" w:hAnsi="仿宋_GB2312" w:eastAsia="仿宋_GB2312" w:cs="仿宋_GB2312"/>
          <w:color w:val="auto"/>
          <w:kern w:val="60"/>
          <w:sz w:val="32"/>
          <w:szCs w:val="32"/>
          <w:lang w:eastAsia="zh-CN"/>
        </w:rPr>
        <w:t>（一）持续深化部门联合抽查，进一步拓展“一业一查”部门联合模式，</w:t>
      </w:r>
      <w:r>
        <w:rPr>
          <w:rFonts w:hint="eastAsia" w:ascii="仿宋_GB2312" w:hAnsi="仿宋_GB2312" w:eastAsia="仿宋_GB2312" w:cs="仿宋_GB2312"/>
          <w:color w:val="000000" w:themeColor="text1"/>
          <w:kern w:val="60"/>
          <w:sz w:val="32"/>
          <w:szCs w:val="32"/>
          <w:lang w:val="en-US" w:eastAsia="zh-CN"/>
          <w14:textFill>
            <w14:solidFill>
              <w14:schemeClr w14:val="tx1"/>
            </w14:solidFill>
          </w14:textFill>
        </w:rPr>
        <w:t>着重做好“一业一查”精细化管理，</w:t>
      </w:r>
      <w:r>
        <w:rPr>
          <w:rFonts w:hint="eastAsia" w:ascii="仿宋_GB2312" w:hAnsi="仿宋_GB2312" w:eastAsia="仿宋_GB2312" w:cs="仿宋_GB2312"/>
          <w:color w:val="000000" w:themeColor="text1"/>
          <w:kern w:val="60"/>
          <w:sz w:val="32"/>
          <w:szCs w:val="32"/>
          <w:lang w:eastAsia="zh-CN"/>
          <w14:textFill>
            <w14:solidFill>
              <w14:schemeClr w14:val="tx1"/>
            </w14:solidFill>
          </w14:textFill>
        </w:rPr>
        <w:t>不断扩大部门联合随机抽查的覆盖面、占比率，切实减少涉企检查频次</w:t>
      </w:r>
      <w:r>
        <w:rPr>
          <w:rFonts w:hint="eastAsia" w:ascii="仿宋_GB2312" w:hAnsi="仿宋_GB2312" w:eastAsia="仿宋_GB2312" w:cs="仿宋_GB2312"/>
          <w:color w:val="000000" w:themeColor="text1"/>
          <w:kern w:val="60"/>
          <w:sz w:val="32"/>
          <w:szCs w:val="32"/>
          <w:lang w:val="en-US" w:eastAsia="zh-CN"/>
          <w14:textFill>
            <w14:solidFill>
              <w14:schemeClr w14:val="tx1"/>
            </w14:solidFill>
          </w14:textFill>
        </w:rPr>
        <w:t>，形成保定品牌。在随机抽查后处理上求实效，及时组织对检查发现问题的后处理工作，依法依规调查处理，督促整改到位，提高发现问题立案率，形成监管闭环。</w:t>
      </w:r>
    </w:p>
    <w:p w14:paraId="02E9A9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kern w:val="60"/>
          <w:sz w:val="32"/>
          <w:szCs w:val="32"/>
          <w:lang w:eastAsia="zh-CN"/>
        </w:rPr>
      </w:pPr>
      <w:r>
        <w:rPr>
          <w:rFonts w:hint="eastAsia" w:ascii="仿宋_GB2312" w:hAnsi="仿宋_GB2312" w:eastAsia="仿宋_GB2312" w:cs="仿宋_GB2312"/>
          <w:color w:val="auto"/>
          <w:kern w:val="60"/>
          <w:sz w:val="32"/>
          <w:szCs w:val="32"/>
          <w:lang w:eastAsia="zh-CN"/>
        </w:rPr>
        <w:t>（</w:t>
      </w:r>
      <w:r>
        <w:rPr>
          <w:rFonts w:hint="eastAsia" w:ascii="仿宋_GB2312" w:hAnsi="仿宋_GB2312" w:eastAsia="仿宋_GB2312" w:cs="仿宋_GB2312"/>
          <w:color w:val="auto"/>
          <w:kern w:val="60"/>
          <w:sz w:val="32"/>
          <w:szCs w:val="32"/>
          <w:lang w:val="en-US" w:eastAsia="zh-CN"/>
        </w:rPr>
        <w:t>二</w:t>
      </w:r>
      <w:r>
        <w:rPr>
          <w:rFonts w:hint="eastAsia" w:ascii="仿宋_GB2312" w:hAnsi="仿宋_GB2312" w:eastAsia="仿宋_GB2312" w:cs="仿宋_GB2312"/>
          <w:color w:val="auto"/>
          <w:kern w:val="60"/>
          <w:sz w:val="32"/>
          <w:szCs w:val="32"/>
          <w:lang w:eastAsia="zh-CN"/>
        </w:rPr>
        <w:t>）持续推进差异化抽查，巩固企业信用风险分类结果在“双随机、一公开”监管中常态化运用，结合投诉举报、舆情监测、风险预警等情形，进一步拓展、深化运用场景，提升监管执法效能。</w:t>
      </w:r>
    </w:p>
    <w:p w14:paraId="718EADA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auto"/>
          <w:kern w:val="60"/>
          <w:sz w:val="32"/>
          <w:szCs w:val="32"/>
        </w:rPr>
      </w:pPr>
      <w:r>
        <w:rPr>
          <w:rFonts w:hint="eastAsia" w:ascii="仿宋_GB2312" w:hAnsi="仿宋_GB2312" w:eastAsia="仿宋_GB2312" w:cs="仿宋_GB2312"/>
          <w:color w:val="auto"/>
          <w:kern w:val="60"/>
          <w:sz w:val="32"/>
          <w:szCs w:val="32"/>
          <w:lang w:eastAsia="zh-CN"/>
        </w:rPr>
        <w:t>（</w:t>
      </w:r>
      <w:r>
        <w:rPr>
          <w:rFonts w:hint="eastAsia" w:ascii="仿宋_GB2312" w:hAnsi="仿宋_GB2312" w:eastAsia="仿宋_GB2312" w:cs="仿宋_GB2312"/>
          <w:color w:val="auto"/>
          <w:kern w:val="60"/>
          <w:sz w:val="32"/>
          <w:szCs w:val="32"/>
          <w:lang w:val="en-US" w:eastAsia="zh-CN"/>
        </w:rPr>
        <w:t>三</w:t>
      </w:r>
      <w:r>
        <w:rPr>
          <w:rFonts w:hint="eastAsia" w:ascii="仿宋_GB2312" w:hAnsi="仿宋_GB2312" w:eastAsia="仿宋_GB2312" w:cs="仿宋_GB2312"/>
          <w:color w:val="auto"/>
          <w:kern w:val="60"/>
          <w:sz w:val="32"/>
          <w:szCs w:val="32"/>
          <w:lang w:eastAsia="zh-CN"/>
        </w:rPr>
        <w:t>）进一步规范检查行为，回应经营主体和社会关切，有效防止多头检查、重复检查，避免随意、任性、运动式检查。</w:t>
      </w:r>
    </w:p>
    <w:p w14:paraId="5ECC5FA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color w:val="000000"/>
          <w:kern w:val="60"/>
          <w:sz w:val="32"/>
          <w:szCs w:val="32"/>
        </w:rPr>
      </w:pPr>
      <w:r>
        <w:rPr>
          <w:rFonts w:hint="eastAsia" w:ascii="黑体" w:hAnsi="黑体" w:eastAsia="黑体" w:cs="黑体"/>
          <w:color w:val="000000"/>
          <w:kern w:val="60"/>
          <w:sz w:val="32"/>
          <w:szCs w:val="32"/>
        </w:rPr>
        <w:t>二、主要工作任务</w:t>
      </w:r>
    </w:p>
    <w:p w14:paraId="1C51DFCD">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b/>
          <w:bCs/>
          <w:color w:val="000000"/>
          <w:kern w:val="60"/>
          <w:sz w:val="32"/>
          <w:szCs w:val="32"/>
        </w:rPr>
      </w:pPr>
      <w:r>
        <w:rPr>
          <w:rFonts w:hint="eastAsia" w:ascii="楷体_GB2312" w:hAnsi="楷体_GB2312" w:eastAsia="楷体_GB2312" w:cs="楷体_GB2312"/>
          <w:b/>
          <w:color w:val="000000"/>
          <w:kern w:val="60"/>
          <w:sz w:val="32"/>
          <w:szCs w:val="32"/>
        </w:rPr>
        <w:t>（一）夯实工作基础。</w:t>
      </w:r>
      <w:r>
        <w:rPr>
          <w:rFonts w:hint="eastAsia" w:ascii="仿宋_GB2312" w:hAnsi="仿宋_GB2312" w:eastAsia="仿宋_GB2312" w:cs="仿宋_GB2312"/>
          <w:b w:val="0"/>
          <w:bCs/>
          <w:color w:val="000000"/>
          <w:kern w:val="60"/>
          <w:sz w:val="32"/>
          <w:szCs w:val="32"/>
        </w:rPr>
        <w:t>依托</w:t>
      </w:r>
      <w:r>
        <w:rPr>
          <w:rFonts w:hint="eastAsia" w:ascii="仿宋_GB2312" w:hAnsi="仿宋_GB2312" w:eastAsia="仿宋_GB2312" w:cs="仿宋_GB2312"/>
          <w:b w:val="0"/>
          <w:bCs/>
          <w:color w:val="000000"/>
          <w:kern w:val="60"/>
          <w:sz w:val="32"/>
          <w:szCs w:val="32"/>
          <w:lang w:val="en-US" w:eastAsia="zh-CN"/>
        </w:rPr>
        <w:t>河北省双随机执法</w:t>
      </w:r>
      <w:r>
        <w:rPr>
          <w:rFonts w:hint="eastAsia" w:ascii="仿宋_GB2312" w:hAnsi="仿宋_GB2312" w:eastAsia="仿宋_GB2312" w:cs="仿宋_GB2312"/>
          <w:b w:val="0"/>
          <w:bCs/>
          <w:color w:val="000000"/>
          <w:kern w:val="60"/>
          <w:sz w:val="32"/>
          <w:szCs w:val="32"/>
        </w:rPr>
        <w:t>监管平台，持续完善“一单两库一指引”</w:t>
      </w:r>
      <w:r>
        <w:rPr>
          <w:rFonts w:hint="eastAsia" w:ascii="仿宋_GB2312" w:hAnsi="仿宋_GB2312" w:eastAsia="仿宋_GB2312" w:cs="仿宋_GB2312"/>
          <w:b w:val="0"/>
          <w:bCs/>
          <w:color w:val="auto"/>
          <w:kern w:val="60"/>
          <w:sz w:val="32"/>
          <w:szCs w:val="32"/>
        </w:rPr>
        <w:t>。在省级部门调整完毕后，市级及以下有关部门要依据本级涉及的监管领域、“三定”方案中的监管职责及监管事权，对清单中的事项进行认领，形成本级的随机抽查事项清单。</w:t>
      </w:r>
      <w:r>
        <w:rPr>
          <w:rFonts w:hint="eastAsia" w:ascii="仿宋_GB2312" w:hAnsi="仿宋_GB2312" w:eastAsia="仿宋_GB2312" w:cs="仿宋_GB2312"/>
          <w:b w:val="0"/>
          <w:bCs/>
          <w:color w:val="000000"/>
          <w:kern w:val="60"/>
          <w:sz w:val="32"/>
          <w:szCs w:val="32"/>
        </w:rPr>
        <w:t>要严格落实对行政检查实施主体“四个严禁”要求，动态调整检查对象名录库和执法检查人员名录库，确保“应纳尽纳”。依托升级后的标注体系，科学、准确地对检查对象和执法人员进行分类标注，实现对检查对象的精准抽取、执法人员的精准匹配。</w:t>
      </w:r>
      <w:r>
        <w:rPr>
          <w:rFonts w:hint="eastAsia" w:ascii="楷体_GB2312" w:hAnsi="楷体_GB2312" w:eastAsia="楷体_GB2312" w:cs="楷体_GB2312"/>
          <w:b/>
          <w:bCs/>
          <w:color w:val="000000"/>
          <w:kern w:val="60"/>
          <w:sz w:val="32"/>
          <w:szCs w:val="32"/>
          <w:lang w:val="en-US" w:eastAsia="zh-CN" w:bidi="ar-SA"/>
        </w:rPr>
        <w:t>（责任单位：各有关部门，完成时限：4月底前）</w:t>
      </w:r>
    </w:p>
    <w:p w14:paraId="4C93BF4D">
      <w:pPr>
        <w:pStyle w:val="2"/>
        <w:keepNext w:val="0"/>
        <w:keepLines w:val="0"/>
        <w:pageBreakBefore w:val="0"/>
        <w:widowControl w:val="0"/>
        <w:kinsoku/>
        <w:wordWrap/>
        <w:overflowPunct/>
        <w:topLinePunct w:val="0"/>
        <w:autoSpaceDE w:val="0"/>
        <w:autoSpaceDN w:val="0"/>
        <w:bidi w:val="0"/>
        <w:adjustRightInd w:val="0"/>
        <w:snapToGrid/>
        <w:spacing w:line="560" w:lineRule="exact"/>
        <w:ind w:left="0" w:firstLine="643" w:firstLineChars="200"/>
        <w:jc w:val="both"/>
        <w:textAlignment w:val="auto"/>
        <w:rPr>
          <w:rFonts w:hint="eastAsia" w:ascii="楷体_GB2312" w:hAnsi="楷体_GB2312" w:eastAsia="楷体_GB2312" w:cs="楷体_GB2312"/>
          <w:b/>
          <w:bCs/>
          <w:color w:val="000000"/>
          <w:kern w:val="60"/>
          <w:sz w:val="32"/>
          <w:szCs w:val="32"/>
          <w:lang w:val="en-US" w:eastAsia="zh-CN" w:bidi="ar-SA"/>
        </w:rPr>
      </w:pPr>
      <w:r>
        <w:rPr>
          <w:rFonts w:hint="eastAsia" w:ascii="楷体_GB2312" w:hAnsi="楷体_GB2312" w:eastAsia="楷体_GB2312" w:cs="楷体_GB2312"/>
          <w:b/>
          <w:color w:val="000000"/>
          <w:kern w:val="60"/>
          <w:sz w:val="32"/>
          <w:szCs w:val="32"/>
          <w:lang w:val="en-US" w:eastAsia="zh-CN" w:bidi="ar-SA"/>
        </w:rPr>
        <w:t>（二）深化联合监管。</w:t>
      </w:r>
      <w:r>
        <w:rPr>
          <w:rFonts w:hint="eastAsia" w:ascii="仿宋_GB2312" w:hAnsi="仿宋_GB2312" w:eastAsia="仿宋_GB2312" w:cs="仿宋_GB2312"/>
          <w:b w:val="0"/>
          <w:bCs/>
          <w:color w:val="000000"/>
          <w:kern w:val="60"/>
          <w:sz w:val="32"/>
          <w:szCs w:val="32"/>
          <w:lang w:val="en-US" w:eastAsia="zh-CN" w:bidi="ar-SA"/>
        </w:rPr>
        <w:t>强化部门内及部门间的协调联动，建立完善长效联合抽查工作机制，确保实现“能合并实施的不得重复检查、能联合实施的不得多头检查”。全面深化“一业一查”部门联合抽查模式。</w:t>
      </w:r>
      <w:r>
        <w:rPr>
          <w:rFonts w:hint="eastAsia" w:ascii="仿宋_GB2312" w:hAnsi="仿宋_GB2312" w:eastAsia="仿宋_GB2312" w:cs="仿宋_GB2312"/>
          <w:b w:val="0"/>
          <w:bCs/>
          <w:color w:val="auto"/>
          <w:kern w:val="60"/>
          <w:sz w:val="32"/>
          <w:szCs w:val="32"/>
          <w:lang w:val="en-US" w:eastAsia="zh-CN" w:bidi="ar-SA"/>
        </w:rPr>
        <w:t>各县直有关部门要以全省“一业一查”部门联合随机抽查事项清单为指导，</w:t>
      </w:r>
      <w:r>
        <w:rPr>
          <w:rFonts w:hint="eastAsia" w:ascii="仿宋_GB2312" w:hAnsi="仿宋_GB2312" w:eastAsia="仿宋_GB2312" w:cs="仿宋_GB2312"/>
          <w:b w:val="0"/>
          <w:bCs/>
          <w:color w:val="000000"/>
          <w:kern w:val="60"/>
          <w:sz w:val="32"/>
          <w:szCs w:val="32"/>
          <w:lang w:val="en-US" w:eastAsia="zh-CN" w:bidi="ar-SA"/>
        </w:rPr>
        <w:t>充分结合本地监管实际组织开展本地“一业一查”部门联合随机抽查，并在实践中不断拓展范围、领域，在兼顾成本与效能的前提下，扩大部门联合随机抽查的覆盖面、占比率，确保本地区今年联合抽查次数占随机抽查总次数的比例不低于70%，部门联合抽查户数占随机抽查总户数的比例不低于50%，推动部门联合抽查常态化，切实压减涉企检查频次，在确保监管效能的前提下不断减少对企业正常经营活动的干扰。</w:t>
      </w:r>
      <w:r>
        <w:rPr>
          <w:rFonts w:hint="eastAsia" w:ascii="楷体_GB2312" w:hAnsi="楷体_GB2312" w:eastAsia="楷体_GB2312" w:cs="楷体_GB2312"/>
          <w:b/>
          <w:bCs/>
          <w:color w:val="000000"/>
          <w:kern w:val="60"/>
          <w:sz w:val="32"/>
          <w:szCs w:val="32"/>
          <w:lang w:val="en-US" w:eastAsia="zh-CN" w:bidi="ar-SA"/>
        </w:rPr>
        <w:t>（责任单位：各有关部门，完成时限：全年）</w:t>
      </w:r>
    </w:p>
    <w:p w14:paraId="2377421C">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楷体_GB2312" w:hAnsi="楷体_GB2312" w:eastAsia="楷体_GB2312" w:cs="楷体_GB2312"/>
          <w:b/>
          <w:bCs/>
          <w:color w:val="000000"/>
          <w:kern w:val="60"/>
          <w:sz w:val="32"/>
          <w:szCs w:val="32"/>
        </w:rPr>
      </w:pPr>
      <w:r>
        <w:rPr>
          <w:rFonts w:hint="eastAsia" w:ascii="楷体_GB2312" w:hAnsi="楷体_GB2312" w:eastAsia="楷体_GB2312" w:cs="楷体_GB2312"/>
          <w:b/>
          <w:color w:val="000000"/>
          <w:kern w:val="60"/>
          <w:sz w:val="32"/>
          <w:szCs w:val="32"/>
        </w:rPr>
        <w:t>（三）规范实施检查。</w:t>
      </w:r>
      <w:r>
        <w:rPr>
          <w:rFonts w:hint="eastAsia" w:ascii="仿宋_GB2312" w:hAnsi="仿宋_GB2312" w:eastAsia="仿宋_GB2312" w:cs="仿宋_GB2312"/>
          <w:b w:val="0"/>
          <w:bCs/>
          <w:color w:val="000000"/>
          <w:kern w:val="60"/>
          <w:sz w:val="32"/>
          <w:szCs w:val="32"/>
        </w:rPr>
        <w:t>严格计划实施。要结合工作实际，科学合理制定年度抽查工作计划，及时向社会公开，并严格按照年度抽查工作计划实施。对未列入年度抽查计划但实际工作中需要开展的抽查，或已列入但需要调整的抽查，严格履行相关工作程序，及时调整并公示后方可开展。严格工作流程。要认真落实《河北省双随机工作规范》要求，防止在任务制定、开展检查、结果录入、审核公示等工作环节出现超时违规问题。</w:t>
      </w:r>
      <w:r>
        <w:rPr>
          <w:rFonts w:hint="eastAsia" w:ascii="仿宋_GB2312" w:hAnsi="仿宋_GB2312" w:eastAsia="仿宋_GB2312" w:cs="仿宋_GB2312"/>
          <w:b w:val="0"/>
          <w:bCs/>
          <w:color w:val="auto"/>
          <w:kern w:val="60"/>
          <w:sz w:val="32"/>
          <w:szCs w:val="32"/>
        </w:rPr>
        <w:t>严格“扫码入企”。在省司法厅执法终端上线赋码功能</w:t>
      </w:r>
      <w:r>
        <w:rPr>
          <w:rFonts w:hint="eastAsia" w:ascii="仿宋_GB2312" w:hAnsi="仿宋_GB2312" w:eastAsia="仿宋_GB2312" w:cs="仿宋_GB2312"/>
          <w:b w:val="0"/>
          <w:bCs/>
          <w:color w:val="auto"/>
          <w:kern w:val="60"/>
          <w:sz w:val="32"/>
          <w:szCs w:val="32"/>
          <w:lang w:val="en-US" w:eastAsia="zh-CN"/>
        </w:rPr>
        <w:t>以后</w:t>
      </w:r>
      <w:r>
        <w:rPr>
          <w:rFonts w:hint="eastAsia" w:ascii="仿宋_GB2312" w:hAnsi="仿宋_GB2312" w:eastAsia="仿宋_GB2312" w:cs="仿宋_GB2312"/>
          <w:b w:val="0"/>
          <w:bCs/>
          <w:color w:val="auto"/>
          <w:kern w:val="60"/>
          <w:sz w:val="32"/>
          <w:szCs w:val="32"/>
        </w:rPr>
        <w:t>，根据省司法厅</w:t>
      </w:r>
      <w:r>
        <w:rPr>
          <w:rFonts w:hint="eastAsia" w:ascii="仿宋_GB2312" w:hAnsi="仿宋_GB2312" w:eastAsia="仿宋_GB2312" w:cs="仿宋_GB2312"/>
          <w:b w:val="0"/>
          <w:bCs/>
          <w:color w:val="auto"/>
          <w:kern w:val="60"/>
          <w:sz w:val="32"/>
          <w:szCs w:val="32"/>
          <w:lang w:val="en-US" w:eastAsia="zh-CN"/>
        </w:rPr>
        <w:t>的</w:t>
      </w:r>
      <w:r>
        <w:rPr>
          <w:rFonts w:hint="eastAsia" w:ascii="仿宋_GB2312" w:hAnsi="仿宋_GB2312" w:eastAsia="仿宋_GB2312" w:cs="仿宋_GB2312"/>
          <w:b w:val="0"/>
          <w:bCs/>
          <w:color w:val="auto"/>
          <w:kern w:val="60"/>
          <w:sz w:val="32"/>
          <w:szCs w:val="32"/>
        </w:rPr>
        <w:t>统一安排，进一步规范各级各部门执法人员入企检查行为。</w:t>
      </w:r>
      <w:r>
        <w:rPr>
          <w:rFonts w:hint="eastAsia" w:ascii="仿宋_GB2312" w:hAnsi="仿宋_GB2312" w:eastAsia="仿宋_GB2312" w:cs="仿宋_GB2312"/>
          <w:b w:val="0"/>
          <w:bCs/>
          <w:color w:val="000000"/>
          <w:kern w:val="60"/>
          <w:sz w:val="32"/>
          <w:szCs w:val="32"/>
        </w:rPr>
        <w:t>严格闭环监管。要健全随机抽查后续处置机制，规范问题线索的转办、移送等工作，按照“谁监管、谁负责”的原则实施后续监管，实现监管闭环。加强与信用监管的衔接，加大对抽查发现的违法失信行为的信用惩戒力度，实施联合惩戒，增强随机抽查的震慑力。</w:t>
      </w:r>
      <w:r>
        <w:rPr>
          <w:rFonts w:hint="eastAsia" w:ascii="楷体_GB2312" w:hAnsi="楷体_GB2312" w:eastAsia="楷体_GB2312" w:cs="楷体_GB2312"/>
          <w:b/>
          <w:bCs/>
          <w:color w:val="000000"/>
          <w:kern w:val="60"/>
          <w:sz w:val="32"/>
          <w:szCs w:val="32"/>
          <w:lang w:val="en-US" w:eastAsia="zh-CN" w:bidi="ar-SA"/>
        </w:rPr>
        <w:t>（责任单位：各有关部门，完成时限：全年）</w:t>
      </w:r>
    </w:p>
    <w:p w14:paraId="78B521C2">
      <w:pPr>
        <w:pStyle w:val="2"/>
        <w:keepNext w:val="0"/>
        <w:keepLines w:val="0"/>
        <w:pageBreakBefore w:val="0"/>
        <w:widowControl w:val="0"/>
        <w:kinsoku/>
        <w:wordWrap/>
        <w:overflowPunct/>
        <w:topLinePunct w:val="0"/>
        <w:autoSpaceDE w:val="0"/>
        <w:autoSpaceDN w:val="0"/>
        <w:bidi w:val="0"/>
        <w:adjustRightInd w:val="0"/>
        <w:snapToGrid/>
        <w:spacing w:line="560" w:lineRule="exact"/>
        <w:ind w:left="0" w:right="0" w:firstLine="643" w:firstLineChars="200"/>
        <w:jc w:val="both"/>
        <w:textAlignment w:val="auto"/>
        <w:rPr>
          <w:rFonts w:hint="eastAsia" w:ascii="楷体_GB2312" w:hAnsi="楷体_GB2312" w:eastAsia="楷体_GB2312" w:cs="楷体_GB2312"/>
          <w:color w:val="000000"/>
          <w:kern w:val="60"/>
          <w:sz w:val="32"/>
          <w:szCs w:val="32"/>
          <w:lang w:val="en-US" w:eastAsia="zh-CN" w:bidi="ar-SA"/>
        </w:rPr>
      </w:pPr>
      <w:r>
        <w:rPr>
          <w:rFonts w:hint="eastAsia" w:ascii="楷体_GB2312" w:hAnsi="楷体_GB2312" w:eastAsia="楷体_GB2312" w:cs="楷体_GB2312"/>
          <w:b/>
          <w:color w:val="000000"/>
          <w:kern w:val="60"/>
          <w:sz w:val="32"/>
          <w:szCs w:val="32"/>
          <w:lang w:val="en-US" w:eastAsia="zh-CN" w:bidi="ar-SA"/>
        </w:rPr>
        <w:t>（四）提升监管效能。</w:t>
      </w:r>
      <w:r>
        <w:rPr>
          <w:rFonts w:hint="eastAsia" w:ascii="仿宋_GB2312" w:hAnsi="仿宋_GB2312" w:eastAsia="仿宋_GB2312" w:cs="仿宋_GB2312"/>
          <w:b w:val="0"/>
          <w:bCs/>
          <w:color w:val="000000"/>
          <w:kern w:val="60"/>
          <w:sz w:val="32"/>
          <w:szCs w:val="32"/>
          <w:lang w:val="en-US" w:eastAsia="zh-CN" w:bidi="ar-SA"/>
        </w:rPr>
        <w:t>要强化双随机抽查与信用风险分级分类相结合，针对不同的信用风险分类等级合理确定抽查比例和频次，运用信用风险分级分类开展的抽查次数占抽查总次数的比例达到100%。充分利用信息化手段，通过大数据分析、重点指标监测等手段，强化风险监测预警，实现双随机与触发式监管的整合，有效推动监管关口前移。严格落实查前准备和查前业务培训等工作制度，切实提高检查的针对性和执法人员的业务能力，提升抽查检查质效。</w:t>
      </w:r>
      <w:r>
        <w:rPr>
          <w:rFonts w:hint="eastAsia" w:ascii="楷体_GB2312" w:hAnsi="楷体_GB2312" w:eastAsia="楷体_GB2312" w:cs="楷体_GB2312"/>
          <w:b/>
          <w:bCs/>
          <w:color w:val="000000"/>
          <w:kern w:val="60"/>
          <w:sz w:val="32"/>
          <w:szCs w:val="32"/>
          <w:lang w:val="en-US" w:eastAsia="zh-CN" w:bidi="ar-SA"/>
        </w:rPr>
        <w:t>（责任单位：各有关部门，完成时限：全年）</w:t>
      </w:r>
    </w:p>
    <w:p w14:paraId="55E09CCD">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b/>
          <w:bCs/>
          <w:color w:val="000000"/>
          <w:kern w:val="60"/>
          <w:sz w:val="32"/>
          <w:szCs w:val="32"/>
          <w:lang w:val="en-US" w:eastAsia="zh-CN" w:bidi="ar-SA"/>
        </w:rPr>
      </w:pPr>
      <w:r>
        <w:rPr>
          <w:rFonts w:hint="eastAsia" w:ascii="楷体_GB2312" w:hAnsi="楷体_GB2312" w:eastAsia="楷体_GB2312" w:cs="楷体_GB2312"/>
          <w:b/>
          <w:color w:val="000000"/>
          <w:kern w:val="60"/>
          <w:sz w:val="32"/>
          <w:szCs w:val="32"/>
        </w:rPr>
        <w:t>（五）强化服务意识。</w:t>
      </w:r>
      <w:r>
        <w:rPr>
          <w:rFonts w:hint="eastAsia" w:ascii="仿宋_GB2312" w:hAnsi="仿宋_GB2312" w:eastAsia="仿宋_GB2312" w:cs="仿宋_GB2312"/>
          <w:b w:val="0"/>
          <w:bCs/>
          <w:color w:val="000000"/>
          <w:kern w:val="60"/>
          <w:sz w:val="32"/>
          <w:szCs w:val="32"/>
        </w:rPr>
        <w:t>要牢固树立寓服务于监管之中的理念，大力推行服务型执法，在抽查检查过程中要开展相关法律法规政策宣教、合规经营指导，并及时回应</w:t>
      </w:r>
      <w:r>
        <w:rPr>
          <w:rFonts w:hint="eastAsia" w:ascii="仿宋_GB2312" w:hAnsi="仿宋_GB2312" w:eastAsia="仿宋_GB2312" w:cs="仿宋_GB2312"/>
          <w:b w:val="0"/>
          <w:bCs/>
          <w:color w:val="000000"/>
          <w:kern w:val="60"/>
          <w:sz w:val="32"/>
          <w:szCs w:val="32"/>
          <w:lang w:val="en-US" w:eastAsia="zh-CN"/>
        </w:rPr>
        <w:t>经营</w:t>
      </w:r>
      <w:r>
        <w:rPr>
          <w:rFonts w:hint="eastAsia" w:ascii="仿宋_GB2312" w:hAnsi="仿宋_GB2312" w:eastAsia="仿宋_GB2312" w:cs="仿宋_GB2312"/>
          <w:b w:val="0"/>
          <w:bCs/>
          <w:color w:val="000000"/>
          <w:kern w:val="60"/>
          <w:sz w:val="32"/>
          <w:szCs w:val="32"/>
        </w:rPr>
        <w:t>主体有关问题及诉求。要大力推广非现场检查，针对相关监管领域、特定监管对象或抽查事项能通过书面核查、信息共享、网络监测、视频检查等方式监管的，不得入企实施现场检查，压缩现场检查频次，减轻企业负担</w:t>
      </w:r>
      <w:r>
        <w:rPr>
          <w:rFonts w:hint="eastAsia" w:ascii="仿宋_GB2312" w:hAnsi="仿宋_GB2312" w:eastAsia="仿宋_GB2312" w:cs="仿宋_GB2312"/>
          <w:b w:val="0"/>
          <w:bCs/>
          <w:color w:val="000000"/>
          <w:kern w:val="60"/>
          <w:sz w:val="32"/>
          <w:szCs w:val="32"/>
          <w:lang w:eastAsia="zh-CN"/>
        </w:rPr>
        <w:t>。</w:t>
      </w:r>
      <w:r>
        <w:rPr>
          <w:rFonts w:hint="eastAsia" w:ascii="楷体_GB2312" w:hAnsi="楷体_GB2312" w:eastAsia="楷体_GB2312" w:cs="楷体_GB2312"/>
          <w:b/>
          <w:bCs/>
          <w:color w:val="000000"/>
          <w:kern w:val="60"/>
          <w:sz w:val="32"/>
          <w:szCs w:val="32"/>
        </w:rPr>
        <w:t>（责任单位：各有关部门，完成时限：全年）</w:t>
      </w:r>
    </w:p>
    <w:p w14:paraId="376AFED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color w:val="000000"/>
          <w:kern w:val="60"/>
          <w:sz w:val="32"/>
          <w:szCs w:val="32"/>
        </w:rPr>
      </w:pPr>
      <w:r>
        <w:rPr>
          <w:rFonts w:hint="eastAsia" w:ascii="黑体" w:hAnsi="黑体" w:eastAsia="黑体" w:cs="黑体"/>
          <w:color w:val="000000"/>
          <w:kern w:val="60"/>
          <w:sz w:val="32"/>
          <w:szCs w:val="32"/>
        </w:rPr>
        <w:t>三、工作要求</w:t>
      </w:r>
    </w:p>
    <w:p w14:paraId="64529EC1">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sz w:val="32"/>
          <w:szCs w:val="32"/>
        </w:rPr>
      </w:pPr>
      <w:r>
        <w:rPr>
          <w:rFonts w:hint="eastAsia" w:ascii="楷体_GB2312" w:hAnsi="楷体_GB2312" w:eastAsia="楷体_GB2312" w:cs="楷体_GB2312"/>
          <w:b/>
          <w:color w:val="000000"/>
          <w:kern w:val="60"/>
          <w:sz w:val="32"/>
          <w:szCs w:val="32"/>
          <w:lang w:val="en-US" w:eastAsia="zh-CN" w:bidi="ar-SA"/>
        </w:rPr>
        <w:t>（一）提高思想认识，加强组织领导。</w:t>
      </w:r>
      <w:r>
        <w:rPr>
          <w:rFonts w:hint="eastAsia" w:ascii="仿宋_GB2312" w:hAnsi="仿宋_GB2312" w:eastAsia="仿宋_GB2312" w:cs="仿宋_GB2312"/>
          <w:spacing w:val="3"/>
          <w:sz w:val="32"/>
          <w:szCs w:val="32"/>
        </w:rPr>
        <w:t>全</w:t>
      </w:r>
      <w:r>
        <w:rPr>
          <w:rFonts w:hint="eastAsia" w:ascii="仿宋_GB2312" w:hAnsi="仿宋_GB2312" w:eastAsia="仿宋_GB2312" w:cs="仿宋_GB2312"/>
          <w:spacing w:val="3"/>
          <w:sz w:val="32"/>
          <w:szCs w:val="32"/>
          <w:lang w:val="en-US" w:eastAsia="zh-CN"/>
        </w:rPr>
        <w:t>县</w:t>
      </w:r>
      <w:r>
        <w:rPr>
          <w:rFonts w:hint="eastAsia" w:ascii="仿宋_GB2312" w:hAnsi="仿宋_GB2312" w:eastAsia="仿宋_GB2312" w:cs="仿宋_GB2312"/>
          <w:spacing w:val="3"/>
          <w:sz w:val="32"/>
          <w:szCs w:val="32"/>
        </w:rPr>
        <w:t>各有关部门</w:t>
      </w:r>
      <w:r>
        <w:rPr>
          <w:rFonts w:hint="eastAsia" w:ascii="仿宋_GB2312" w:hAnsi="仿宋_GB2312" w:eastAsia="仿宋_GB2312" w:cs="仿宋_GB2312"/>
          <w:spacing w:val="5"/>
          <w:sz w:val="32"/>
          <w:szCs w:val="32"/>
        </w:rPr>
        <w:t>要充分认识全面深化“双随机、一公开”监管的重要意义，加强组织领导和统筹协调，健全工作制度和运行机制，细化工作目标</w:t>
      </w:r>
      <w:r>
        <w:rPr>
          <w:rFonts w:hint="eastAsia" w:ascii="仿宋_GB2312" w:hAnsi="仿宋_GB2312" w:eastAsia="仿宋_GB2312" w:cs="仿宋_GB2312"/>
          <w:spacing w:val="6"/>
          <w:sz w:val="32"/>
          <w:szCs w:val="32"/>
        </w:rPr>
        <w:t>和推进举措，确保工作任务落到实处、取得实效，</w:t>
      </w:r>
      <w:r>
        <w:rPr>
          <w:rFonts w:hint="eastAsia" w:ascii="仿宋_GB2312" w:hAnsi="仿宋_GB2312" w:eastAsia="仿宋_GB2312" w:cs="仿宋_GB2312"/>
          <w:spacing w:val="5"/>
          <w:sz w:val="32"/>
          <w:szCs w:val="32"/>
        </w:rPr>
        <w:t>为全</w:t>
      </w:r>
      <w:r>
        <w:rPr>
          <w:rFonts w:hint="eastAsia" w:ascii="仿宋_GB2312" w:hAnsi="仿宋_GB2312" w:eastAsia="仿宋_GB2312" w:cs="仿宋_GB2312"/>
          <w:spacing w:val="5"/>
          <w:sz w:val="32"/>
          <w:szCs w:val="32"/>
          <w:lang w:val="en-US" w:eastAsia="zh-CN"/>
        </w:rPr>
        <w:t>县</w:t>
      </w:r>
      <w:r>
        <w:rPr>
          <w:rFonts w:hint="eastAsia" w:ascii="仿宋_GB2312" w:hAnsi="仿宋_GB2312" w:eastAsia="仿宋_GB2312" w:cs="仿宋_GB2312"/>
          <w:spacing w:val="5"/>
          <w:sz w:val="32"/>
          <w:szCs w:val="32"/>
        </w:rPr>
        <w:t>进一步</w:t>
      </w:r>
      <w:r>
        <w:rPr>
          <w:rFonts w:hint="eastAsia" w:ascii="仿宋_GB2312" w:hAnsi="仿宋_GB2312" w:eastAsia="仿宋_GB2312" w:cs="仿宋_GB2312"/>
          <w:spacing w:val="-2"/>
          <w:sz w:val="32"/>
          <w:szCs w:val="32"/>
        </w:rPr>
        <w:t>优化营商环境、推进经营主体高质量发展</w:t>
      </w:r>
      <w:r>
        <w:rPr>
          <w:rFonts w:hint="eastAsia" w:ascii="仿宋_GB2312" w:hAnsi="仿宋_GB2312" w:eastAsia="仿宋_GB2312" w:cs="仿宋_GB2312"/>
          <w:spacing w:val="-2"/>
          <w:sz w:val="32"/>
          <w:szCs w:val="32"/>
          <w:lang w:val="en-US" w:eastAsia="zh-CN"/>
        </w:rPr>
        <w:t>发挥</w:t>
      </w:r>
      <w:r>
        <w:rPr>
          <w:rFonts w:hint="eastAsia" w:ascii="仿宋_GB2312" w:hAnsi="仿宋_GB2312" w:eastAsia="仿宋_GB2312" w:cs="仿宋_GB2312"/>
          <w:spacing w:val="-2"/>
          <w:sz w:val="32"/>
          <w:szCs w:val="32"/>
        </w:rPr>
        <w:t>应有作用。</w:t>
      </w:r>
    </w:p>
    <w:p w14:paraId="597BEFA3">
      <w:pPr>
        <w:pStyle w:val="2"/>
        <w:keepNext w:val="0"/>
        <w:keepLines w:val="0"/>
        <w:pageBreakBefore w:val="0"/>
        <w:widowControl w:val="0"/>
        <w:kinsoku/>
        <w:wordWrap/>
        <w:overflowPunct/>
        <w:topLinePunct w:val="0"/>
        <w:autoSpaceDE w:val="0"/>
        <w:autoSpaceDN w:val="0"/>
        <w:bidi w:val="0"/>
        <w:adjustRightInd w:val="0"/>
        <w:snapToGrid/>
        <w:spacing w:line="560" w:lineRule="exact"/>
        <w:ind w:left="6" w:right="119" w:firstLine="629"/>
        <w:jc w:val="both"/>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color w:val="000000"/>
          <w:kern w:val="60"/>
          <w:sz w:val="32"/>
          <w:szCs w:val="32"/>
          <w:lang w:val="en-US" w:eastAsia="zh-CN" w:bidi="ar-SA"/>
        </w:rPr>
        <w:t>（二）认真履职尽责，积极主动作为。</w:t>
      </w:r>
      <w:r>
        <w:rPr>
          <w:rFonts w:hint="eastAsia" w:ascii="仿宋_GB2312" w:hAnsi="仿宋_GB2312" w:eastAsia="仿宋_GB2312" w:cs="仿宋_GB2312"/>
          <w:spacing w:val="3"/>
          <w:sz w:val="32"/>
          <w:szCs w:val="32"/>
          <w:lang w:eastAsia="zh-CN"/>
        </w:rPr>
        <w:t>我局会</w:t>
      </w:r>
      <w:r>
        <w:rPr>
          <w:rFonts w:hint="eastAsia" w:ascii="仿宋_GB2312" w:hAnsi="仿宋_GB2312" w:eastAsia="仿宋_GB2312" w:cs="仿宋_GB2312"/>
          <w:spacing w:val="6"/>
          <w:sz w:val="32"/>
          <w:szCs w:val="32"/>
        </w:rPr>
        <w:t>积极发挥牵头抓总作用，调动各方积极性，凝聚各方力量，</w:t>
      </w:r>
      <w:r>
        <w:rPr>
          <w:rFonts w:hint="eastAsia" w:ascii="仿宋_GB2312" w:hAnsi="仿宋_GB2312" w:eastAsia="仿宋_GB2312" w:cs="仿宋_GB2312"/>
          <w:spacing w:val="5"/>
          <w:sz w:val="32"/>
          <w:szCs w:val="32"/>
        </w:rPr>
        <w:t>持续在工作机制、组织协调、推进落实上下功夫。各有关部门要切实落实主体责任，打破惯性思维，强化大局意识，认真履职尽责，积极主动开展工作，牢固树立“一盘棋”思想，相互支</w:t>
      </w:r>
      <w:r>
        <w:rPr>
          <w:rFonts w:hint="eastAsia" w:ascii="仿宋_GB2312" w:hAnsi="仿宋_GB2312" w:eastAsia="仿宋_GB2312" w:cs="仿宋_GB2312"/>
          <w:spacing w:val="9"/>
          <w:sz w:val="32"/>
          <w:szCs w:val="32"/>
        </w:rPr>
        <w:t>持、密切配合、协同促进，合力推进各项工作任务</w:t>
      </w:r>
      <w:r>
        <w:rPr>
          <w:rFonts w:hint="eastAsia" w:ascii="仿宋_GB2312" w:hAnsi="仿宋_GB2312" w:eastAsia="仿宋_GB2312" w:cs="仿宋_GB2312"/>
          <w:spacing w:val="8"/>
          <w:sz w:val="32"/>
          <w:szCs w:val="32"/>
        </w:rPr>
        <w:t>落实。</w:t>
      </w:r>
    </w:p>
    <w:p w14:paraId="06518741">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spacing w:val="6"/>
          <w:sz w:val="32"/>
          <w:szCs w:val="32"/>
        </w:rPr>
      </w:pPr>
      <w:r>
        <w:rPr>
          <w:rFonts w:hint="eastAsia" w:ascii="楷体_GB2312" w:hAnsi="楷体_GB2312" w:eastAsia="楷体_GB2312" w:cs="楷体_GB2312"/>
          <w:b/>
          <w:color w:val="000000"/>
          <w:kern w:val="60"/>
          <w:sz w:val="32"/>
          <w:szCs w:val="32"/>
        </w:rPr>
        <w:t>（三）落实主体责任，强化指导监管。</w:t>
      </w:r>
      <w:r>
        <w:rPr>
          <w:rFonts w:hint="eastAsia" w:ascii="仿宋_GB2312" w:hAnsi="仿宋_GB2312" w:eastAsia="仿宋_GB2312" w:cs="仿宋_GB2312"/>
          <w:spacing w:val="3"/>
          <w:sz w:val="32"/>
          <w:szCs w:val="32"/>
        </w:rPr>
        <w:t>各有关部门要强</w:t>
      </w:r>
      <w:r>
        <w:rPr>
          <w:rFonts w:hint="eastAsia" w:ascii="仿宋_GB2312" w:hAnsi="仿宋_GB2312" w:eastAsia="仿宋_GB2312" w:cs="仿宋_GB2312"/>
          <w:spacing w:val="7"/>
          <w:sz w:val="32"/>
          <w:szCs w:val="32"/>
        </w:rPr>
        <w:t>化对随机抽查工作全流程的管控，积极推行随机抽查回</w:t>
      </w:r>
      <w:r>
        <w:rPr>
          <w:rFonts w:hint="eastAsia" w:ascii="仿宋_GB2312" w:hAnsi="仿宋_GB2312" w:eastAsia="仿宋_GB2312" w:cs="仿宋_GB2312"/>
          <w:spacing w:val="6"/>
          <w:sz w:val="32"/>
          <w:szCs w:val="32"/>
        </w:rPr>
        <w:t>访机制，</w:t>
      </w:r>
      <w:r>
        <w:rPr>
          <w:rFonts w:hint="eastAsia" w:ascii="仿宋_GB2312" w:hAnsi="仿宋_GB2312" w:eastAsia="仿宋_GB2312" w:cs="仿宋_GB2312"/>
          <w:spacing w:val="5"/>
          <w:sz w:val="32"/>
          <w:szCs w:val="32"/>
        </w:rPr>
        <w:t>在着力提升随机抽查工作效能上做文章。同时，各部门要切实压实规范管理责任，严格按照《国务院办公厅关于严格规范涉企行</w:t>
      </w:r>
      <w:r>
        <w:rPr>
          <w:rFonts w:hint="eastAsia" w:ascii="仿宋_GB2312" w:hAnsi="仿宋_GB2312" w:eastAsia="仿宋_GB2312" w:cs="仿宋_GB2312"/>
          <w:spacing w:val="2"/>
          <w:sz w:val="32"/>
          <w:szCs w:val="32"/>
        </w:rPr>
        <w:t>政检查的意见》（国办发〔2024〕54号）</w:t>
      </w:r>
      <w:r>
        <w:rPr>
          <w:rFonts w:hint="eastAsia" w:ascii="仿宋_GB2312" w:hAnsi="仿宋_GB2312" w:eastAsia="仿宋_GB2312" w:cs="仿宋_GB2312"/>
          <w:spacing w:val="1"/>
          <w:sz w:val="32"/>
          <w:szCs w:val="32"/>
        </w:rPr>
        <w:t>中“五个严禁”、“八</w:t>
      </w:r>
      <w:r>
        <w:rPr>
          <w:rFonts w:hint="eastAsia" w:ascii="仿宋_GB2312" w:hAnsi="仿宋_GB2312" w:eastAsia="仿宋_GB2312" w:cs="仿宋_GB2312"/>
          <w:spacing w:val="5"/>
          <w:sz w:val="32"/>
          <w:szCs w:val="32"/>
        </w:rPr>
        <w:t>个不得”的要求开展抽查，防止企业反映强烈、社会影响恶劣事</w:t>
      </w:r>
      <w:r>
        <w:rPr>
          <w:rFonts w:hint="eastAsia" w:ascii="仿宋_GB2312" w:hAnsi="仿宋_GB2312" w:eastAsia="仿宋_GB2312" w:cs="仿宋_GB2312"/>
          <w:spacing w:val="6"/>
          <w:sz w:val="32"/>
          <w:szCs w:val="32"/>
        </w:rPr>
        <w:t>件的发生。</w:t>
      </w:r>
    </w:p>
    <w:p w14:paraId="182D171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sz w:val="32"/>
          <w:szCs w:val="32"/>
        </w:rPr>
      </w:pPr>
    </w:p>
    <w:p w14:paraId="019DB94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联</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系</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人：</w:t>
      </w:r>
      <w:r>
        <w:rPr>
          <w:rFonts w:hint="eastAsia" w:ascii="仿宋_GB2312" w:hAnsi="仿宋_GB2312" w:eastAsia="仿宋_GB2312" w:cs="仿宋_GB2312"/>
          <w:color w:val="000000"/>
          <w:sz w:val="32"/>
          <w:szCs w:val="32"/>
          <w:lang w:val="en-US" w:eastAsia="zh-CN"/>
        </w:rPr>
        <w:t>高志娟</w:t>
      </w:r>
    </w:p>
    <w:p w14:paraId="0F5579D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联系电话：7321690</w:t>
      </w:r>
    </w:p>
    <w:p w14:paraId="10599C92">
      <w:pPr>
        <w:pStyle w:val="2"/>
        <w:keepNext w:val="0"/>
        <w:keepLines w:val="0"/>
        <w:pageBreakBefore w:val="0"/>
        <w:widowControl w:val="0"/>
        <w:kinsoku w:val="0"/>
        <w:wordWrap/>
        <w:overflowPunct w:val="0"/>
        <w:topLinePunct w:val="0"/>
        <w:autoSpaceDE w:val="0"/>
        <w:autoSpaceDN w:val="0"/>
        <w:bidi w:val="0"/>
        <w:adjustRightInd w:val="0"/>
        <w:snapToGrid/>
        <w:spacing w:line="560" w:lineRule="exact"/>
        <w:ind w:left="0" w:right="23" w:rightChars="11" w:firstLine="640" w:firstLineChars="200"/>
        <w:textAlignment w:val="auto"/>
        <w:rPr>
          <w:rStyle w:val="22"/>
          <w:rFonts w:hint="eastAsia" w:ascii="仿宋_GB2312" w:hAnsi="仿宋_GB2312" w:eastAsia="仿宋_GB2312" w:cs="仿宋_GB2312"/>
          <w:color w:val="auto"/>
          <w:u w:val="none"/>
        </w:rPr>
      </w:pPr>
      <w:r>
        <w:rPr>
          <w:rFonts w:hint="eastAsia" w:ascii="仿宋_GB2312" w:hAnsi="仿宋_GB2312" w:eastAsia="仿宋_GB2312" w:cs="仿宋_GB2312"/>
          <w:color w:val="000000"/>
          <w:sz w:val="32"/>
          <w:szCs w:val="32"/>
        </w:rPr>
        <w:t>电子邮箱：</w:t>
      </w:r>
      <w:r>
        <w:rPr>
          <w:rFonts w:hint="eastAsia" w:ascii="仿宋_GB2312" w:hAnsi="仿宋_GB2312" w:eastAsia="仿宋_GB2312" w:cs="仿宋_GB2312"/>
          <w:color w:val="auto"/>
          <w:u w:val="none"/>
        </w:rPr>
        <w:fldChar w:fldCharType="begin"/>
      </w:r>
      <w:r>
        <w:rPr>
          <w:rFonts w:hint="eastAsia" w:ascii="仿宋_GB2312" w:hAnsi="仿宋_GB2312" w:eastAsia="仿宋_GB2312" w:cs="仿宋_GB2312"/>
          <w:color w:val="auto"/>
          <w:u w:val="none"/>
        </w:rPr>
        <w:instrText xml:space="preserve"> HYPERLINK "mailto:gbdshuangsuiji@163.com" </w:instrText>
      </w:r>
      <w:r>
        <w:rPr>
          <w:rFonts w:hint="eastAsia" w:ascii="仿宋_GB2312" w:hAnsi="仿宋_GB2312" w:eastAsia="仿宋_GB2312" w:cs="仿宋_GB2312"/>
          <w:color w:val="auto"/>
          <w:u w:val="none"/>
        </w:rPr>
        <w:fldChar w:fldCharType="separate"/>
      </w:r>
      <w:r>
        <w:rPr>
          <w:rFonts w:hint="eastAsia" w:ascii="仿宋_GB2312" w:hAnsi="仿宋_GB2312" w:eastAsia="仿宋_GB2312" w:cs="仿宋_GB2312"/>
          <w:color w:val="auto"/>
          <w:u w:val="none"/>
          <w:lang w:val="en-US" w:eastAsia="zh-CN"/>
        </w:rPr>
        <w:t>605470211qq.</w:t>
      </w:r>
      <w:r>
        <w:rPr>
          <w:rStyle w:val="22"/>
          <w:rFonts w:hint="eastAsia" w:ascii="仿宋_GB2312" w:hAnsi="仿宋_GB2312" w:eastAsia="仿宋_GB2312" w:cs="仿宋_GB2312"/>
          <w:color w:val="auto"/>
          <w:u w:val="none"/>
        </w:rPr>
        <w:t>com</w:t>
      </w:r>
      <w:r>
        <w:rPr>
          <w:rStyle w:val="22"/>
          <w:rFonts w:hint="eastAsia" w:ascii="仿宋_GB2312" w:hAnsi="仿宋_GB2312" w:eastAsia="仿宋_GB2312" w:cs="仿宋_GB2312"/>
          <w:color w:val="auto"/>
          <w:u w:val="none"/>
        </w:rPr>
        <w:fldChar w:fldCharType="end"/>
      </w:r>
    </w:p>
    <w:p w14:paraId="6F46D58F">
      <w:pPr>
        <w:pStyle w:val="2"/>
        <w:rPr>
          <w:rFonts w:hint="eastAsia"/>
        </w:rPr>
        <w:sectPr>
          <w:footerReference r:id="rId3" w:type="default"/>
          <w:pgSz w:w="11906" w:h="16838"/>
          <w:pgMar w:top="1985" w:right="1474" w:bottom="1701" w:left="1588" w:header="851" w:footer="992" w:gutter="0"/>
          <w:cols w:space="425" w:num="1"/>
          <w:docGrid w:type="lines" w:linePitch="312" w:charSpace="0"/>
        </w:sectPr>
      </w:pPr>
    </w:p>
    <w:p w14:paraId="17A4D4BE">
      <w:pPr>
        <w:pStyle w:val="2"/>
        <w:rPr>
          <w:rFonts w:hint="eastAsia" w:ascii="仿宋" w:hAnsi="仿宋" w:eastAsia="仿宋" w:cs="仿宋"/>
          <w:sz w:val="32"/>
          <w:szCs w:val="32"/>
          <w:lang w:eastAsia="en-US"/>
        </w:rPr>
      </w:pPr>
      <w:r>
        <w:rPr>
          <w:rFonts w:hint="eastAsia" w:ascii="仿宋" w:hAnsi="仿宋" w:eastAsia="仿宋" w:cs="仿宋"/>
          <w:b/>
          <w:bCs/>
          <w:sz w:val="32"/>
          <w:szCs w:val="32"/>
          <w:lang w:val="en-US" w:eastAsia="zh-CN"/>
        </w:rPr>
        <w:t>附件2</w:t>
      </w:r>
    </w:p>
    <w:tbl>
      <w:tblPr>
        <w:tblStyle w:val="17"/>
        <w:tblW w:w="13660" w:type="dxa"/>
        <w:tblInd w:w="-3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268"/>
        <w:gridCol w:w="1167"/>
        <w:gridCol w:w="596"/>
        <w:gridCol w:w="1085"/>
        <w:gridCol w:w="487"/>
        <w:gridCol w:w="650"/>
        <w:gridCol w:w="4762"/>
        <w:gridCol w:w="949"/>
        <w:gridCol w:w="664"/>
        <w:gridCol w:w="990"/>
        <w:gridCol w:w="1042"/>
      </w:tblGrid>
      <w:tr w14:paraId="0BBB2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13660" w:type="dxa"/>
            <w:gridSpan w:val="11"/>
            <w:shd w:val="clear" w:color="auto" w:fill="FFFFFF"/>
            <w:vAlign w:val="center"/>
          </w:tcPr>
          <w:p w14:paraId="4B384076">
            <w:pPr>
              <w:keepNext w:val="0"/>
              <w:keepLines w:val="0"/>
              <w:widowControl/>
              <w:suppressLineNumbers w:val="0"/>
              <w:jc w:val="center"/>
              <w:textAlignment w:val="center"/>
              <w:rPr>
                <w:rFonts w:ascii="黑体" w:hAnsi="宋体" w:eastAsia="黑体" w:cs="黑体"/>
                <w:i w:val="0"/>
                <w:color w:val="000000"/>
                <w:sz w:val="28"/>
                <w:szCs w:val="28"/>
                <w:u w:val="none"/>
              </w:rPr>
            </w:pPr>
            <w:r>
              <w:rPr>
                <w:rFonts w:hint="eastAsia" w:ascii="黑体" w:hAnsi="宋体" w:eastAsia="黑体" w:cs="黑体"/>
                <w:i w:val="0"/>
                <w:color w:val="000000"/>
                <w:kern w:val="0"/>
                <w:sz w:val="28"/>
                <w:szCs w:val="28"/>
                <w:u w:val="none"/>
                <w:lang w:val="en-US" w:eastAsia="zh-CN" w:bidi="ar"/>
              </w:rPr>
              <w:t>涞源县卫生健康局2026年度随机抽查工作计划</w:t>
            </w:r>
            <w:r>
              <w:rPr>
                <w:rFonts w:hint="eastAsia" w:ascii="黑体" w:hAnsi="宋体" w:eastAsia="黑体" w:cs="黑体"/>
                <w:i w:val="0"/>
                <w:color w:val="000000"/>
                <w:kern w:val="0"/>
                <w:sz w:val="28"/>
                <w:szCs w:val="28"/>
                <w:u w:val="none"/>
                <w:lang w:val="en-US" w:eastAsia="zh-CN" w:bidi="ar"/>
              </w:rPr>
              <w:drawing>
                <wp:inline distT="0" distB="0" distL="114300" distR="114300">
                  <wp:extent cx="314325" cy="32385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314325" cy="323850"/>
                          </a:xfrm>
                          <a:prstGeom prst="rect">
                            <a:avLst/>
                          </a:prstGeom>
                          <a:noFill/>
                          <a:ln w="9525">
                            <a:noFill/>
                          </a:ln>
                        </pic:spPr>
                      </pic:pic>
                    </a:graphicData>
                  </a:graphic>
                </wp:inline>
              </w:drawing>
            </w:r>
            <w:r>
              <w:rPr>
                <w:rFonts w:hint="eastAsia" w:ascii="黑体" w:hAnsi="宋体" w:eastAsia="黑体" w:cs="黑体"/>
                <w:i w:val="0"/>
                <w:color w:val="000000"/>
                <w:kern w:val="0"/>
                <w:sz w:val="28"/>
                <w:szCs w:val="28"/>
                <w:u w:val="none"/>
                <w:lang w:val="en-US" w:eastAsia="zh-CN" w:bidi="ar"/>
              </w:rPr>
              <w:t xml:space="preserve"> </w:t>
            </w:r>
          </w:p>
        </w:tc>
      </w:tr>
      <w:tr w14:paraId="4BD5D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13660" w:type="dxa"/>
            <w:gridSpan w:val="11"/>
            <w:tcBorders>
              <w:top w:val="single" w:color="000000" w:sz="4" w:space="0"/>
              <w:left w:val="single" w:color="000000" w:sz="4" w:space="0"/>
              <w:bottom w:val="single" w:color="000000" w:sz="4" w:space="0"/>
              <w:right w:val="single" w:color="000000" w:sz="4" w:space="0"/>
            </w:tcBorders>
            <w:shd w:val="clear" w:color="auto" w:fill="FFFFFF"/>
            <w:vAlign w:val="center"/>
          </w:tcPr>
          <w:p w14:paraId="2105D8B4">
            <w:pPr>
              <w:keepNext w:val="0"/>
              <w:keepLines w:val="0"/>
              <w:widowControl/>
              <w:suppressLineNumbers w:val="0"/>
              <w:jc w:val="center"/>
              <w:textAlignment w:val="center"/>
              <w:rPr>
                <w:rFonts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rPr>
              <w:t>涞源县卫生健康局部门联合随机抽查工作计划</w:t>
            </w:r>
          </w:p>
        </w:tc>
      </w:tr>
      <w:tr w14:paraId="78D42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12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3D4D5">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抽查计划编号</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0D09C">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抽查计划名称</w:t>
            </w:r>
          </w:p>
        </w:tc>
        <w:tc>
          <w:tcPr>
            <w:tcW w:w="5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C4924F">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抽查任务编号</w:t>
            </w:r>
          </w:p>
        </w:tc>
        <w:tc>
          <w:tcPr>
            <w:tcW w:w="10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14254">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抽查任务名称</w:t>
            </w: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8011A1">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抽查类型</w:t>
            </w:r>
          </w:p>
        </w:tc>
        <w:tc>
          <w:tcPr>
            <w:tcW w:w="6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12C80">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抽查比例</w:t>
            </w:r>
          </w:p>
        </w:tc>
        <w:tc>
          <w:tcPr>
            <w:tcW w:w="4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7FC4A">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抽查事项</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77B10">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抽查对象范围</w:t>
            </w:r>
          </w:p>
        </w:tc>
        <w:tc>
          <w:tcPr>
            <w:tcW w:w="6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1ABD7">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发起部门</w:t>
            </w: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F81B9F">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联合部门</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6F9AA">
            <w:pPr>
              <w:keepNext w:val="0"/>
              <w:keepLines w:val="0"/>
              <w:widowControl/>
              <w:suppressLineNumbers w:val="0"/>
              <w:jc w:val="center"/>
              <w:textAlignment w:val="center"/>
              <w:rPr>
                <w:rFonts w:hint="eastAsia" w:ascii="仿宋" w:hAnsi="仿宋" w:eastAsia="仿宋" w:cs="仿宋"/>
                <w:b/>
                <w:i w:val="0"/>
                <w:color w:val="000000"/>
                <w:sz w:val="18"/>
                <w:szCs w:val="18"/>
                <w:u w:val="none"/>
              </w:rPr>
            </w:pPr>
            <w:r>
              <w:rPr>
                <w:rFonts w:hint="eastAsia" w:ascii="仿宋" w:hAnsi="仿宋" w:eastAsia="仿宋" w:cs="仿宋"/>
                <w:b/>
                <w:i w:val="0"/>
                <w:color w:val="000000"/>
                <w:kern w:val="0"/>
                <w:sz w:val="18"/>
                <w:szCs w:val="18"/>
                <w:u w:val="none"/>
                <w:lang w:val="en-US" w:eastAsia="zh-CN" w:bidi="ar"/>
              </w:rPr>
              <w:t>抽查时间</w:t>
            </w:r>
          </w:p>
        </w:tc>
      </w:tr>
      <w:tr w14:paraId="04537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12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22B4F">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lang w:val="en-US"/>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联2026011</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CF13A7">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lang w:val="en-US"/>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2026年涞源县部门联合抽查011</w:t>
            </w:r>
          </w:p>
        </w:tc>
        <w:tc>
          <w:tcPr>
            <w:tcW w:w="5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FA59C">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lang w:val="en-US"/>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联011</w:t>
            </w:r>
          </w:p>
        </w:tc>
        <w:tc>
          <w:tcPr>
            <w:tcW w:w="10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0CCE8">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2026年涞源县医疗机构跨部门联合抽查</w:t>
            </w: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35FFB">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定向</w:t>
            </w:r>
          </w:p>
        </w:tc>
        <w:tc>
          <w:tcPr>
            <w:tcW w:w="6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5336B">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5%</w:t>
            </w:r>
          </w:p>
        </w:tc>
        <w:tc>
          <w:tcPr>
            <w:tcW w:w="4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A83CBE">
            <w:pPr>
              <w:keepNext w:val="0"/>
              <w:keepLines w:val="0"/>
              <w:widowControl/>
              <w:suppressLineNumbers w:val="0"/>
              <w:jc w:val="left"/>
              <w:textAlignment w:val="center"/>
              <w:rPr>
                <w:rStyle w:val="27"/>
                <w:rFonts w:hint="eastAsia" w:ascii="仿宋" w:hAnsi="仿宋" w:eastAsia="仿宋" w:cs="仿宋"/>
                <w:color w:val="000000" w:themeColor="text1"/>
                <w:sz w:val="18"/>
                <w:szCs w:val="18"/>
                <w:lang w:val="en-US" w:eastAsia="zh-CN" w:bidi="ar"/>
                <w14:textFill>
                  <w14:solidFill>
                    <w14:schemeClr w14:val="tx1"/>
                  </w14:solidFill>
                </w14:textFill>
              </w:rPr>
            </w:pPr>
            <w:r>
              <w:rPr>
                <w:rStyle w:val="30"/>
                <w:rFonts w:hint="eastAsia" w:ascii="仿宋" w:hAnsi="仿宋" w:eastAsia="仿宋" w:cs="仿宋"/>
                <w:color w:val="000000" w:themeColor="text1"/>
                <w:sz w:val="18"/>
                <w:szCs w:val="18"/>
                <w:lang w:val="en-US" w:eastAsia="zh-CN" w:bidi="ar"/>
                <w14:textFill>
                  <w14:solidFill>
                    <w14:schemeClr w14:val="tx1"/>
                  </w14:solidFill>
                </w14:textFill>
              </w:rPr>
              <w:t>县卫生健康局</w:t>
            </w:r>
            <w:r>
              <w:rPr>
                <w:rStyle w:val="27"/>
                <w:rFonts w:hint="eastAsia" w:ascii="仿宋" w:hAnsi="仿宋" w:eastAsia="仿宋" w:cs="仿宋"/>
                <w:color w:val="000000" w:themeColor="text1"/>
                <w:sz w:val="18"/>
                <w:szCs w:val="18"/>
                <w:lang w:val="en-US" w:eastAsia="zh-CN" w:bidi="ar"/>
                <w14:textFill>
                  <w14:solidFill>
                    <w14:schemeClr w14:val="tx1"/>
                  </w14:solidFill>
                </w14:textFill>
              </w:rPr>
              <w:t>：对职业病防治工作的监督检查；对医疗机构开展放射诊疗活动的监督检查；对医疗机构和医疗行为的监督检查；对传染病防治工作的监督检查；医师执业行为的监督检查；对护士执业行为的监督检查；对血站、单采血浆站执业情况及医疗机构临床用血情况的监督检查；对母婴保健技术服务机构的监督检查。</w:t>
            </w:r>
            <w:r>
              <w:rPr>
                <w:rStyle w:val="27"/>
                <w:rFonts w:hint="eastAsia" w:ascii="仿宋" w:hAnsi="仿宋" w:eastAsia="仿宋" w:cs="仿宋"/>
                <w:color w:val="000000" w:themeColor="text1"/>
                <w:sz w:val="18"/>
                <w:szCs w:val="18"/>
                <w:lang w:val="en-US" w:eastAsia="zh-CN" w:bidi="ar"/>
                <w14:textFill>
                  <w14:solidFill>
                    <w14:schemeClr w14:val="tx1"/>
                  </w14:solidFill>
                </w14:textFill>
              </w:rPr>
              <w:br w:type="textWrapping"/>
            </w:r>
            <w:r>
              <w:rPr>
                <w:rStyle w:val="30"/>
                <w:rFonts w:hint="eastAsia" w:ascii="仿宋" w:hAnsi="仿宋" w:eastAsia="仿宋" w:cs="仿宋"/>
                <w:color w:val="000000" w:themeColor="text1"/>
                <w:sz w:val="18"/>
                <w:szCs w:val="18"/>
                <w:lang w:val="en-US" w:eastAsia="zh-CN" w:bidi="ar"/>
                <w14:textFill>
                  <w14:solidFill>
                    <w14:schemeClr w14:val="tx1"/>
                  </w14:solidFill>
                </w14:textFill>
              </w:rPr>
              <w:t>县医保局</w:t>
            </w:r>
            <w:r>
              <w:rPr>
                <w:rStyle w:val="27"/>
                <w:rFonts w:hint="eastAsia" w:ascii="仿宋" w:hAnsi="仿宋" w:eastAsia="仿宋" w:cs="仿宋"/>
                <w:color w:val="000000" w:themeColor="text1"/>
                <w:sz w:val="18"/>
                <w:szCs w:val="18"/>
                <w:lang w:val="en-US" w:eastAsia="zh-CN" w:bidi="ar"/>
                <w14:textFill>
                  <w14:solidFill>
                    <w14:schemeClr w14:val="tx1"/>
                  </w14:solidFill>
                </w14:textFill>
              </w:rPr>
              <w:t>：对纳入基本医疗保险基金支付范围的医疗服务行为和医疗费用进行监督管理；对公立医疗机构药品和高值医用耗材集中采购行为合规性的监督检查；</w:t>
            </w:r>
          </w:p>
          <w:p w14:paraId="4F219C3E">
            <w:pPr>
              <w:keepNext w:val="0"/>
              <w:keepLines w:val="0"/>
              <w:widowControl/>
              <w:suppressLineNumbers w:val="0"/>
              <w:jc w:val="left"/>
              <w:textAlignment w:val="center"/>
              <w:rPr>
                <w:rFonts w:hint="eastAsia" w:ascii="仿宋" w:hAnsi="仿宋" w:eastAsia="仿宋" w:cs="仿宋"/>
                <w:i w:val="0"/>
                <w:color w:val="000000" w:themeColor="text1"/>
                <w:sz w:val="18"/>
                <w:szCs w:val="18"/>
                <w:u w:val="none"/>
                <w14:textFill>
                  <w14:solidFill>
                    <w14:schemeClr w14:val="tx1"/>
                  </w14:solidFill>
                </w14:textFill>
              </w:rPr>
            </w:pPr>
            <w:r>
              <w:rPr>
                <w:rStyle w:val="27"/>
                <w:rFonts w:hint="eastAsia" w:ascii="仿宋" w:hAnsi="仿宋" w:eastAsia="仿宋" w:cs="仿宋"/>
                <w:color w:val="000000" w:themeColor="text1"/>
                <w:sz w:val="18"/>
                <w:szCs w:val="18"/>
                <w:lang w:val="en-US" w:eastAsia="zh-CN" w:bidi="ar"/>
                <w14:textFill>
                  <w14:solidFill>
                    <w14:schemeClr w14:val="tx1"/>
                  </w14:solidFill>
                </w14:textFill>
              </w:rPr>
              <w:t>县财政局：制度执行检查情况；职业质量检查；</w:t>
            </w:r>
            <w:r>
              <w:rPr>
                <w:rStyle w:val="30"/>
                <w:rFonts w:hint="eastAsia" w:ascii="仿宋" w:hAnsi="仿宋" w:eastAsia="仿宋" w:cs="仿宋"/>
                <w:color w:val="000000" w:themeColor="text1"/>
                <w:sz w:val="18"/>
                <w:szCs w:val="18"/>
                <w:lang w:val="en-US" w:eastAsia="zh-CN" w:bidi="ar"/>
                <w14:textFill>
                  <w14:solidFill>
                    <w14:schemeClr w14:val="tx1"/>
                  </w14:solidFill>
                </w14:textFill>
              </w:rPr>
              <w:t>县市场监督管理局</w:t>
            </w:r>
            <w:r>
              <w:rPr>
                <w:rStyle w:val="27"/>
                <w:rFonts w:hint="eastAsia" w:ascii="仿宋" w:hAnsi="仿宋" w:eastAsia="仿宋" w:cs="仿宋"/>
                <w:color w:val="000000" w:themeColor="text1"/>
                <w:sz w:val="18"/>
                <w:szCs w:val="18"/>
                <w:lang w:val="en-US" w:eastAsia="zh-CN" w:bidi="ar"/>
                <w14:textFill>
                  <w14:solidFill>
                    <w14:schemeClr w14:val="tx1"/>
                  </w14:solidFill>
                </w14:textFill>
              </w:rPr>
              <w:t>：价格行为检查；计量监督检查；广告行为的监督检查；</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B9AFDA">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各类医疗机构（含医疗美容机构）、诊所</w:t>
            </w:r>
          </w:p>
        </w:tc>
        <w:tc>
          <w:tcPr>
            <w:tcW w:w="6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DC937">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县卫生健康局</w:t>
            </w: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A6A47">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lang w:val="en-US"/>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县医保局、县市场监督管理局 县财政局</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F91DF">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2026年3-10月</w:t>
            </w:r>
          </w:p>
        </w:tc>
      </w:tr>
      <w:tr w14:paraId="2E0FC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12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B530A7">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lang w:val="en-US"/>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联2026012</w:t>
            </w:r>
          </w:p>
        </w:tc>
        <w:tc>
          <w:tcPr>
            <w:tcW w:w="11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5082C1">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lang w:val="en-US"/>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2026年涞源县部门联合抽查012</w:t>
            </w:r>
          </w:p>
        </w:tc>
        <w:tc>
          <w:tcPr>
            <w:tcW w:w="5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05641">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lang w:val="en-US"/>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联012</w:t>
            </w:r>
          </w:p>
        </w:tc>
        <w:tc>
          <w:tcPr>
            <w:tcW w:w="10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C739F1">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2026年涞源县公共卫生部门联合随机抽查</w:t>
            </w: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F4F77">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定向</w:t>
            </w:r>
          </w:p>
        </w:tc>
        <w:tc>
          <w:tcPr>
            <w:tcW w:w="6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1DBF17">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按照企业信用风险分级分类3%以上</w:t>
            </w:r>
          </w:p>
        </w:tc>
        <w:tc>
          <w:tcPr>
            <w:tcW w:w="4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56618">
            <w:pPr>
              <w:keepNext w:val="0"/>
              <w:keepLines w:val="0"/>
              <w:widowControl/>
              <w:suppressLineNumbers w:val="0"/>
              <w:jc w:val="left"/>
              <w:textAlignment w:val="center"/>
              <w:rPr>
                <w:rFonts w:hint="eastAsia" w:ascii="仿宋" w:hAnsi="仿宋" w:eastAsia="仿宋" w:cs="仿宋"/>
                <w:i w:val="0"/>
                <w:color w:val="000000" w:themeColor="text1"/>
                <w:sz w:val="18"/>
                <w:szCs w:val="18"/>
                <w:u w:val="none"/>
                <w14:textFill>
                  <w14:solidFill>
                    <w14:schemeClr w14:val="tx1"/>
                  </w14:solidFill>
                </w14:textFill>
              </w:rPr>
            </w:pPr>
            <w:r>
              <w:rPr>
                <w:rStyle w:val="31"/>
                <w:rFonts w:hint="eastAsia" w:ascii="仿宋" w:hAnsi="仿宋" w:eastAsia="仿宋" w:cs="仿宋"/>
                <w:color w:val="000000" w:themeColor="text1"/>
                <w:sz w:val="18"/>
                <w:szCs w:val="18"/>
                <w:lang w:val="en-US" w:eastAsia="zh-CN" w:bidi="ar"/>
                <w14:textFill>
                  <w14:solidFill>
                    <w14:schemeClr w14:val="tx1"/>
                  </w14:solidFill>
                </w14:textFill>
              </w:rPr>
              <w:t>县卫健局</w:t>
            </w:r>
            <w:r>
              <w:rPr>
                <w:rStyle w:val="32"/>
                <w:rFonts w:hint="eastAsia" w:ascii="仿宋" w:hAnsi="仿宋" w:eastAsia="仿宋" w:cs="仿宋"/>
                <w:color w:val="000000" w:themeColor="text1"/>
                <w:sz w:val="18"/>
                <w:szCs w:val="18"/>
                <w:lang w:val="en-US" w:eastAsia="zh-CN" w:bidi="ar"/>
                <w14:textFill>
                  <w14:solidFill>
                    <w14:schemeClr w14:val="tx1"/>
                  </w14:solidFill>
                </w14:textFill>
              </w:rPr>
              <w:t>：对公共场所卫生的监督检查；对餐饮具集中消毒服务单位的监督检查；对消毒产品和消毒服务机构的监督检查。</w:t>
            </w:r>
            <w:r>
              <w:rPr>
                <w:rStyle w:val="32"/>
                <w:rFonts w:hint="eastAsia" w:ascii="仿宋" w:hAnsi="仿宋" w:eastAsia="仿宋" w:cs="仿宋"/>
                <w:color w:val="000000" w:themeColor="text1"/>
                <w:sz w:val="18"/>
                <w:szCs w:val="18"/>
                <w:lang w:val="en-US" w:eastAsia="zh-CN" w:bidi="ar"/>
                <w14:textFill>
                  <w14:solidFill>
                    <w14:schemeClr w14:val="tx1"/>
                  </w14:solidFill>
                </w14:textFill>
              </w:rPr>
              <w:br w:type="textWrapping"/>
            </w:r>
            <w:r>
              <w:rPr>
                <w:rStyle w:val="32"/>
                <w:rFonts w:hint="eastAsia" w:ascii="仿宋" w:hAnsi="仿宋" w:eastAsia="仿宋" w:cs="仿宋"/>
                <w:color w:val="000000" w:themeColor="text1"/>
                <w:sz w:val="18"/>
                <w:szCs w:val="18"/>
                <w:lang w:val="en-US" w:eastAsia="zh-CN" w:bidi="ar"/>
                <w14:textFill>
                  <w14:solidFill>
                    <w14:schemeClr w14:val="tx1"/>
                  </w14:solidFill>
                </w14:textFill>
              </w:rPr>
              <w:t>县</w:t>
            </w:r>
            <w:r>
              <w:rPr>
                <w:rStyle w:val="30"/>
                <w:rFonts w:hint="eastAsia" w:ascii="仿宋" w:hAnsi="仿宋" w:eastAsia="仿宋" w:cs="仿宋"/>
                <w:color w:val="000000" w:themeColor="text1"/>
                <w:sz w:val="18"/>
                <w:szCs w:val="18"/>
                <w:lang w:val="en-US" w:eastAsia="zh-CN" w:bidi="ar"/>
                <w14:textFill>
                  <w14:solidFill>
                    <w14:schemeClr w14:val="tx1"/>
                  </w14:solidFill>
                </w14:textFill>
              </w:rPr>
              <w:t>公安局</w:t>
            </w:r>
            <w:r>
              <w:rPr>
                <w:rStyle w:val="32"/>
                <w:rFonts w:hint="eastAsia" w:ascii="仿宋" w:hAnsi="仿宋" w:eastAsia="仿宋" w:cs="仿宋"/>
                <w:color w:val="000000" w:themeColor="text1"/>
                <w:sz w:val="18"/>
                <w:szCs w:val="18"/>
                <w:lang w:val="en-US" w:eastAsia="zh-CN" w:bidi="ar"/>
                <w14:textFill>
                  <w14:solidFill>
                    <w14:schemeClr w14:val="tx1"/>
                  </w14:solidFill>
                </w14:textFill>
              </w:rPr>
              <w:t xml:space="preserve">：娱乐场所和各种行业。                             </w:t>
            </w:r>
            <w:r>
              <w:rPr>
                <w:rStyle w:val="31"/>
                <w:rFonts w:hint="eastAsia" w:ascii="仿宋" w:hAnsi="仿宋" w:eastAsia="仿宋" w:cs="仿宋"/>
                <w:color w:val="000000" w:themeColor="text1"/>
                <w:sz w:val="18"/>
                <w:szCs w:val="18"/>
                <w:lang w:val="en-US" w:eastAsia="zh-CN" w:bidi="ar"/>
                <w14:textFill>
                  <w14:solidFill>
                    <w14:schemeClr w14:val="tx1"/>
                  </w14:solidFill>
                </w14:textFill>
              </w:rPr>
              <w:t>县市场监督管理局</w:t>
            </w:r>
            <w:r>
              <w:rPr>
                <w:rStyle w:val="32"/>
                <w:rFonts w:hint="eastAsia" w:ascii="仿宋" w:hAnsi="仿宋" w:eastAsia="仿宋" w:cs="仿宋"/>
                <w:color w:val="000000" w:themeColor="text1"/>
                <w:sz w:val="18"/>
                <w:szCs w:val="18"/>
                <w:lang w:val="en-US" w:eastAsia="zh-CN" w:bidi="ar"/>
                <w14:textFill>
                  <w14:solidFill>
                    <w14:schemeClr w14:val="tx1"/>
                  </w14:solidFill>
                </w14:textFill>
              </w:rPr>
              <w:t>：公示信息检查;登记事项检查；广告行为检查。</w:t>
            </w:r>
          </w:p>
        </w:tc>
        <w:tc>
          <w:tcPr>
            <w:tcW w:w="9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625CF2">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公共场所、宾馆、旅馆、餐饮具集中消毒单位</w:t>
            </w:r>
          </w:p>
        </w:tc>
        <w:tc>
          <w:tcPr>
            <w:tcW w:w="6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E9E91">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卫生健康局</w:t>
            </w: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F35801">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市场监督管理局、县公安局</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7150B">
            <w:pPr>
              <w:keepNext w:val="0"/>
              <w:keepLines w:val="0"/>
              <w:widowControl/>
              <w:suppressLineNumbers w:val="0"/>
              <w:jc w:val="center"/>
              <w:textAlignment w:val="center"/>
              <w:rPr>
                <w:rFonts w:hint="eastAsia" w:ascii="仿宋" w:hAnsi="仿宋" w:eastAsia="仿宋" w:cs="仿宋"/>
                <w:i w:val="0"/>
                <w:color w:val="000000" w:themeColor="text1"/>
                <w:sz w:val="18"/>
                <w:szCs w:val="18"/>
                <w:u w:val="none"/>
                <w14:textFill>
                  <w14:solidFill>
                    <w14:schemeClr w14:val="tx1"/>
                  </w14:solidFill>
                </w14:textFill>
              </w:rPr>
            </w:pPr>
            <w:r>
              <w:rPr>
                <w:rFonts w:hint="eastAsia" w:ascii="仿宋" w:hAnsi="仿宋" w:eastAsia="仿宋" w:cs="仿宋"/>
                <w:i w:val="0"/>
                <w:color w:val="000000" w:themeColor="text1"/>
                <w:kern w:val="0"/>
                <w:sz w:val="18"/>
                <w:szCs w:val="18"/>
                <w:u w:val="none"/>
                <w:lang w:val="en-US" w:eastAsia="zh-CN" w:bidi="ar"/>
                <w14:textFill>
                  <w14:solidFill>
                    <w14:schemeClr w14:val="tx1"/>
                  </w14:solidFill>
                </w14:textFill>
              </w:rPr>
              <w:t>2026年3月-10月</w:t>
            </w:r>
          </w:p>
        </w:tc>
      </w:tr>
    </w:tbl>
    <w:p w14:paraId="661CFE88">
      <w:pPr>
        <w:pStyle w:val="2"/>
        <w:rPr>
          <w:rFonts w:hint="eastAsia" w:ascii="仿宋" w:hAnsi="仿宋" w:eastAsia="仿宋" w:cs="仿宋"/>
          <w:b w:val="0"/>
          <w:bCs w:val="0"/>
          <w:color w:val="auto"/>
          <w:kern w:val="0"/>
          <w:sz w:val="32"/>
          <w:szCs w:val="32"/>
          <w:lang w:val="en-US" w:eastAsia="zh-CN" w:bidi="ar-SA"/>
        </w:rPr>
      </w:pPr>
    </w:p>
    <w:p w14:paraId="1E530C55">
      <w:pPr>
        <w:pStyle w:val="2"/>
        <w:keepNext w:val="0"/>
        <w:keepLines w:val="0"/>
        <w:pageBreakBefore w:val="0"/>
        <w:widowControl w:val="0"/>
        <w:kinsoku w:val="0"/>
        <w:wordWrap/>
        <w:overflowPunct w:val="0"/>
        <w:topLinePunct w:val="0"/>
        <w:autoSpaceDE w:val="0"/>
        <w:autoSpaceDN w:val="0"/>
        <w:bidi w:val="0"/>
        <w:adjustRightInd w:val="0"/>
        <w:snapToGrid/>
        <w:spacing w:line="560" w:lineRule="exact"/>
        <w:ind w:left="0" w:right="23" w:rightChars="11" w:firstLine="420" w:firstLineChars="200"/>
        <w:textAlignment w:val="auto"/>
        <w:rPr>
          <w:rStyle w:val="22"/>
          <w:rFonts w:hint="eastAsia" w:ascii="仿宋_GB2312" w:hAnsi="仿宋_GB2312" w:eastAsia="仿宋_GB2312" w:cs="仿宋_GB2312"/>
          <w:color w:val="auto"/>
          <w:u w:val="none"/>
        </w:rPr>
      </w:pPr>
    </w:p>
    <w:p w14:paraId="7AF81674">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仿宋_GB2312" w:hAnsi="仿宋_GB2312" w:eastAsia="仿宋_GB2312" w:cs="仿宋_GB2312"/>
          <w:color w:val="000000"/>
          <w:sz w:val="32"/>
          <w:szCs w:val="32"/>
        </w:rPr>
      </w:pPr>
      <w:bookmarkStart w:id="2" w:name="_GoBack"/>
      <w:bookmarkEnd w:id="2"/>
    </w:p>
    <w:p w14:paraId="3E3418A8">
      <w:pPr>
        <w:jc w:val="left"/>
        <w:rPr>
          <w:rFonts w:hint="eastAsia" w:ascii="黑体" w:hAnsi="黑体" w:eastAsia="黑体" w:cs="黑体"/>
          <w:color w:val="000000"/>
          <w:sz w:val="32"/>
          <w:szCs w:val="32"/>
        </w:rPr>
      </w:pPr>
    </w:p>
    <w:p w14:paraId="18858EE6">
      <w:pPr>
        <w:jc w:val="left"/>
        <w:rPr>
          <w:rFonts w:hint="eastAsia" w:ascii="黑体" w:hAnsi="黑体" w:eastAsia="黑体" w:cs="黑体"/>
          <w:color w:val="000000"/>
          <w:sz w:val="32"/>
          <w:szCs w:val="32"/>
        </w:rPr>
      </w:pPr>
    </w:p>
    <w:p w14:paraId="38AED34B">
      <w:pPr>
        <w:widowControl/>
        <w:kinsoku w:val="0"/>
        <w:snapToGrid w:val="0"/>
        <w:spacing w:before="162" w:line="230" w:lineRule="auto"/>
        <w:jc w:val="left"/>
        <w:textAlignment w:val="baseline"/>
        <w:rPr>
          <w:rFonts w:hint="eastAsia" w:ascii="黑体" w:hAnsi="黑体" w:eastAsia="黑体" w:cs="黑体"/>
          <w:color w:val="000000"/>
          <w:sz w:val="32"/>
          <w:szCs w:val="32"/>
          <w:lang w:eastAsia="en-US"/>
        </w:rPr>
      </w:pPr>
    </w:p>
    <w:p w14:paraId="4E1642DD">
      <w:pPr>
        <w:pStyle w:val="2"/>
        <w:rPr>
          <w:rFonts w:hint="eastAsia" w:ascii="黑体" w:hAnsi="黑体" w:eastAsia="黑体" w:cs="黑体"/>
          <w:color w:val="000000"/>
          <w:sz w:val="32"/>
          <w:szCs w:val="32"/>
          <w:lang w:eastAsia="en-US"/>
        </w:rPr>
      </w:pPr>
    </w:p>
    <w:p w14:paraId="3322D0F8">
      <w:pPr>
        <w:pStyle w:val="2"/>
        <w:rPr>
          <w:rFonts w:hint="eastAsia" w:ascii="黑体" w:hAnsi="黑体" w:eastAsia="黑体" w:cs="黑体"/>
          <w:color w:val="000000"/>
          <w:sz w:val="32"/>
          <w:szCs w:val="32"/>
          <w:lang w:eastAsia="en-US"/>
        </w:rPr>
      </w:pPr>
    </w:p>
    <w:p w14:paraId="714E1FDE">
      <w:pPr>
        <w:pStyle w:val="2"/>
        <w:rPr>
          <w:rFonts w:hint="eastAsia" w:ascii="黑体" w:hAnsi="黑体" w:eastAsia="黑体" w:cs="黑体"/>
          <w:color w:val="000000"/>
          <w:sz w:val="32"/>
          <w:szCs w:val="32"/>
          <w:lang w:eastAsia="en-US"/>
        </w:rPr>
      </w:pPr>
    </w:p>
    <w:p w14:paraId="5BAC2DE3">
      <w:pPr>
        <w:widowControl/>
        <w:kinsoku w:val="0"/>
        <w:snapToGrid w:val="0"/>
        <w:spacing w:before="162" w:line="230" w:lineRule="auto"/>
        <w:jc w:val="left"/>
        <w:textAlignment w:val="baseline"/>
        <w:rPr>
          <w:rFonts w:hint="eastAsia" w:ascii="黑体" w:hAnsi="黑体" w:eastAsia="黑体" w:cs="黑体"/>
          <w:color w:val="000000"/>
          <w:sz w:val="32"/>
          <w:szCs w:val="32"/>
          <w:lang w:eastAsia="en-US"/>
        </w:rPr>
      </w:pPr>
    </w:p>
    <w:p w14:paraId="3BA4E6DB">
      <w:pPr>
        <w:widowControl/>
        <w:kinsoku w:val="0"/>
        <w:snapToGrid w:val="0"/>
        <w:spacing w:before="162" w:line="230" w:lineRule="auto"/>
        <w:jc w:val="left"/>
        <w:textAlignment w:val="baseline"/>
        <w:rPr>
          <w:rFonts w:hint="eastAsia" w:ascii="黑体" w:hAnsi="黑体" w:eastAsia="黑体" w:cs="黑体"/>
          <w:color w:val="000000"/>
          <w:sz w:val="32"/>
          <w:szCs w:val="32"/>
          <w:lang w:eastAsia="en-US"/>
        </w:rPr>
      </w:pPr>
    </w:p>
    <w:p w14:paraId="7ADBB1E4">
      <w:pPr>
        <w:widowControl/>
        <w:kinsoku w:val="0"/>
        <w:snapToGrid w:val="0"/>
        <w:spacing w:before="162" w:line="230" w:lineRule="auto"/>
        <w:jc w:val="left"/>
        <w:textAlignment w:val="baseline"/>
        <w:rPr>
          <w:rFonts w:hint="eastAsia" w:ascii="黑体" w:hAnsi="黑体" w:eastAsia="黑体" w:cs="黑体"/>
          <w:color w:val="000000"/>
          <w:sz w:val="32"/>
          <w:szCs w:val="32"/>
          <w:lang w:eastAsia="en-US"/>
        </w:rPr>
      </w:pPr>
    </w:p>
    <w:p w14:paraId="672E3B28">
      <w:pPr>
        <w:widowControl/>
        <w:kinsoku w:val="0"/>
        <w:snapToGrid w:val="0"/>
        <w:spacing w:before="162" w:line="230" w:lineRule="auto"/>
        <w:jc w:val="left"/>
        <w:textAlignment w:val="baseline"/>
        <w:rPr>
          <w:rFonts w:hint="eastAsia" w:ascii="黑体" w:hAnsi="黑体" w:eastAsia="黑体" w:cs="黑体"/>
          <w:color w:val="000000"/>
          <w:sz w:val="32"/>
          <w:szCs w:val="32"/>
          <w:lang w:eastAsia="en-US"/>
        </w:rPr>
      </w:pPr>
    </w:p>
    <w:p w14:paraId="32ABB581">
      <w:pPr>
        <w:widowControl/>
        <w:kinsoku w:val="0"/>
        <w:snapToGrid w:val="0"/>
        <w:spacing w:before="162" w:line="230" w:lineRule="auto"/>
        <w:jc w:val="left"/>
        <w:textAlignment w:val="baseline"/>
        <w:rPr>
          <w:rFonts w:hint="eastAsia" w:ascii="黑体" w:hAnsi="黑体" w:eastAsia="黑体" w:cs="黑体"/>
          <w:color w:val="000000"/>
          <w:sz w:val="32"/>
          <w:szCs w:val="32"/>
          <w:lang w:eastAsia="en-US"/>
        </w:rPr>
      </w:pPr>
    </w:p>
    <w:p w14:paraId="335486F9">
      <w:pPr>
        <w:widowControl/>
        <w:kinsoku w:val="0"/>
        <w:snapToGrid w:val="0"/>
        <w:spacing w:before="162" w:line="230" w:lineRule="auto"/>
        <w:jc w:val="left"/>
        <w:textAlignment w:val="baseline"/>
        <w:rPr>
          <w:rFonts w:hint="eastAsia" w:ascii="黑体" w:hAnsi="黑体" w:eastAsia="黑体" w:cs="黑体"/>
          <w:color w:val="000000"/>
          <w:sz w:val="32"/>
          <w:szCs w:val="32"/>
          <w:lang w:eastAsia="en-US"/>
        </w:rPr>
        <w:sectPr>
          <w:pgSz w:w="16838" w:h="11906" w:orient="landscape"/>
          <w:pgMar w:top="1588" w:right="1985" w:bottom="1474" w:left="1701" w:header="851" w:footer="992" w:gutter="0"/>
          <w:cols w:space="425" w:num="1"/>
          <w:docGrid w:type="lines" w:linePitch="312" w:charSpace="0"/>
        </w:sectPr>
      </w:pPr>
    </w:p>
    <w:p w14:paraId="12CB67D7">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仿宋" w:eastAsia="仿宋" w:cs="宋体"/>
          <w:sz w:val="32"/>
          <w:szCs w:val="32"/>
          <w:lang w:val="en-US" w:eastAsia="zh-CN"/>
        </w:rPr>
      </w:pPr>
      <w:r>
        <w:rPr>
          <w:rFonts w:hint="eastAsia" w:ascii="仿宋" w:eastAsia="仿宋" w:cs="宋体"/>
          <w:kern w:val="0"/>
          <w:sz w:val="32"/>
          <w:szCs w:val="32"/>
          <w:lang w:val="en-US" w:eastAsia="zh-CN"/>
        </w:rPr>
        <w:t xml:space="preserve">                          </w:t>
      </w:r>
    </w:p>
    <w:sectPr>
      <w:footerReference r:id="rId4" w:type="default"/>
      <w:pgSz w:w="11906" w:h="16838"/>
      <w:pgMar w:top="1984" w:right="1588" w:bottom="2098" w:left="1474" w:header="851"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6346191"/>
      <w:docPartObj>
        <w:docPartGallery w:val="autotext"/>
      </w:docPartObj>
    </w:sdtPr>
    <w:sdtContent>
      <w:p w14:paraId="7C76E330">
        <w:pPr>
          <w:pStyle w:val="11"/>
          <w:jc w:val="center"/>
        </w:pPr>
        <w:r>
          <w:fldChar w:fldCharType="begin"/>
        </w:r>
        <w:r>
          <w:instrText xml:space="preserve">PAGE   \* MERGEFORMAT</w:instrText>
        </w:r>
        <w:r>
          <w:fldChar w:fldCharType="separate"/>
        </w:r>
        <w:r>
          <w:rPr>
            <w:lang w:val="zh-CN"/>
          </w:rPr>
          <w:t>2</w:t>
        </w:r>
        <w:r>
          <w:fldChar w:fldCharType="end"/>
        </w:r>
      </w:p>
    </w:sdtContent>
  </w:sdt>
  <w:p w14:paraId="5C7940CB">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6663455"/>
      <w:docPartList>
        <w:docPartGallery w:val="autotext"/>
      </w:docPartList>
    </w:sdtPr>
    <w:sdtContent>
      <w:p w14:paraId="3865E383">
        <w:pPr>
          <w:pStyle w:val="11"/>
          <w:jc w:val="center"/>
        </w:pPr>
        <w:r>
          <w:fldChar w:fldCharType="begin"/>
        </w:r>
        <w:r>
          <w:instrText xml:space="preserve">PAGE   \* MERGEFORMAT</w:instrText>
        </w:r>
        <w:r>
          <w:fldChar w:fldCharType="separate"/>
        </w:r>
        <w:r>
          <w:rPr>
            <w:lang w:val="zh-CN"/>
          </w:rPr>
          <w:t>-</w:t>
        </w:r>
        <w:r>
          <w:t xml:space="preserve"> 1 -</w:t>
        </w:r>
        <w:r>
          <w:fldChar w:fldCharType="end"/>
        </w:r>
      </w:p>
    </w:sdtContent>
  </w:sdt>
  <w:p w14:paraId="516B8E74">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compatSetting w:name="compatibilityMode" w:uri="http://schemas.microsoft.com/office/word" w:val="14"/>
  </w:compat>
  <w:docVars>
    <w:docVar w:name="commondata" w:val="eyJoZGlkIjoiNmQxNDUwYWIzNmY3MWFjYzFlYzkzYTJhOGFjMjhkNDkifQ=="/>
  </w:docVars>
  <w:rsids>
    <w:rsidRoot w:val="00000000"/>
    <w:rsid w:val="070763B0"/>
    <w:rsid w:val="0757624F"/>
    <w:rsid w:val="1E4E1D03"/>
    <w:rsid w:val="1EBE39BB"/>
    <w:rsid w:val="28F55633"/>
    <w:rsid w:val="2E0B0813"/>
    <w:rsid w:val="379A17EF"/>
    <w:rsid w:val="459A45A1"/>
    <w:rsid w:val="4B1D4149"/>
    <w:rsid w:val="4DB51D17"/>
    <w:rsid w:val="567E31BC"/>
    <w:rsid w:val="61C6707F"/>
    <w:rsid w:val="683E1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Calibri" w:hAnsi="Calibri" w:eastAsia="宋体" w:cs="Arial"/>
      <w:kern w:val="2"/>
      <w:sz w:val="21"/>
      <w:szCs w:val="22"/>
      <w:lang w:val="en-US" w:eastAsia="zh-CN" w:bidi="ar-SA"/>
    </w:rPr>
  </w:style>
  <w:style w:type="paragraph" w:styleId="3">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4">
    <w:name w:val="heading 2"/>
    <w:basedOn w:val="1"/>
    <w:next w:val="1"/>
    <w:qFormat/>
    <w:uiPriority w:val="0"/>
    <w:pPr>
      <w:spacing w:beforeAutospacing="1" w:afterAutospacing="1"/>
      <w:jc w:val="left"/>
      <w:outlineLvl w:val="1"/>
    </w:pPr>
    <w:rPr>
      <w:rFonts w:ascii="宋体" w:eastAsia="宋体" w:cs="Times New Roman"/>
      <w:b/>
      <w:bCs/>
      <w:kern w:val="0"/>
      <w:sz w:val="36"/>
      <w:szCs w:val="36"/>
    </w:rPr>
  </w:style>
  <w:style w:type="paragraph" w:styleId="5">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8">
    <w:name w:val="Default Paragraph Fon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Calibri" w:hAnsi="Calibri" w:eastAsia="宋体" w:cs="Times New Roman"/>
    </w:rPr>
  </w:style>
  <w:style w:type="paragraph" w:styleId="6">
    <w:name w:val="Normal Indent"/>
    <w:basedOn w:val="1"/>
    <w:qFormat/>
    <w:uiPriority w:val="0"/>
    <w:pPr>
      <w:spacing w:line="360" w:lineRule="auto"/>
      <w:ind w:firstLine="200" w:firstLineChars="200"/>
    </w:pPr>
    <w:rPr>
      <w:rFonts w:eastAsia="仿宋"/>
      <w:sz w:val="28"/>
    </w:rPr>
  </w:style>
  <w:style w:type="paragraph" w:styleId="7">
    <w:name w:val="index 5"/>
    <w:basedOn w:val="1"/>
    <w:next w:val="1"/>
    <w:qFormat/>
    <w:uiPriority w:val="0"/>
    <w:pPr>
      <w:ind w:left="1680"/>
    </w:pPr>
    <w:rPr>
      <w:rFonts w:ascii="仿宋" w:eastAsia="仿宋"/>
      <w:sz w:val="32"/>
      <w:szCs w:val="32"/>
    </w:rPr>
  </w:style>
  <w:style w:type="paragraph" w:styleId="8">
    <w:name w:val="Body Text Indent"/>
    <w:basedOn w:val="1"/>
    <w:qFormat/>
    <w:uiPriority w:val="0"/>
    <w:pPr>
      <w:ind w:firstLine="630"/>
    </w:pPr>
    <w:rPr>
      <w:rFonts w:eastAsia="仿宋_GB2312"/>
      <w:sz w:val="32"/>
    </w:rPr>
  </w:style>
  <w:style w:type="paragraph" w:styleId="9">
    <w:name w:val="Date"/>
    <w:basedOn w:val="1"/>
    <w:next w:val="1"/>
    <w:qFormat/>
    <w:uiPriority w:val="0"/>
    <w:pPr>
      <w:ind w:left="2500" w:leftChars="2500"/>
    </w:p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next w:val="13"/>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pPr>
    <w:rPr>
      <w:sz w:val="18"/>
    </w:rPr>
  </w:style>
  <w:style w:type="paragraph" w:customStyle="1" w:styleId="13">
    <w:name w:val="引用1"/>
    <w:basedOn w:val="1"/>
    <w:next w:val="1"/>
    <w:qFormat/>
    <w:uiPriority w:val="0"/>
    <w:pPr>
      <w:ind w:left="864" w:right="864"/>
      <w:jc w:val="center"/>
    </w:pPr>
    <w:rPr>
      <w:rFonts w:ascii="Times New Roman" w:hAnsi="Times New Roman" w:eastAsia="宋体" w:cs="Times New Roman"/>
      <w:i/>
      <w:iCs/>
      <w:color w:val="000000"/>
    </w:rPr>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Title"/>
    <w:basedOn w:val="1"/>
    <w:next w:val="8"/>
    <w:qFormat/>
    <w:uiPriority w:val="0"/>
    <w:pPr>
      <w:spacing w:line="0" w:lineRule="atLeast"/>
      <w:jc w:val="center"/>
    </w:pPr>
    <w:rPr>
      <w:rFonts w:ascii="Arial" w:hAnsi="Arial" w:eastAsia="黑体"/>
      <w:sz w:val="52"/>
    </w:rPr>
  </w:style>
  <w:style w:type="paragraph" w:styleId="16">
    <w:name w:val="Body Text First Indent 2"/>
    <w:basedOn w:val="8"/>
    <w:qFormat/>
    <w:uiPriority w:val="0"/>
    <w:pPr>
      <w:spacing w:after="120"/>
      <w:ind w:left="200" w:leftChars="200" w:firstLine="200" w:firstLineChars="200"/>
    </w:pPr>
    <w:rPr>
      <w:rFonts w:eastAsia="宋体"/>
      <w:sz w:val="21"/>
    </w:rPr>
  </w:style>
  <w:style w:type="character" w:styleId="19">
    <w:name w:val="Strong"/>
    <w:basedOn w:val="18"/>
    <w:qFormat/>
    <w:uiPriority w:val="0"/>
    <w:rPr>
      <w:b/>
    </w:rPr>
  </w:style>
  <w:style w:type="character" w:styleId="20">
    <w:name w:val="FollowedHyperlink"/>
    <w:basedOn w:val="18"/>
    <w:qFormat/>
    <w:uiPriority w:val="0"/>
    <w:rPr>
      <w:color w:val="333333"/>
      <w:u w:val="none"/>
    </w:rPr>
  </w:style>
  <w:style w:type="character" w:styleId="21">
    <w:name w:val="Emphasis"/>
    <w:basedOn w:val="18"/>
    <w:qFormat/>
    <w:uiPriority w:val="0"/>
    <w:rPr>
      <w:i/>
    </w:rPr>
  </w:style>
  <w:style w:type="character" w:styleId="22">
    <w:name w:val="Hyperlink"/>
    <w:basedOn w:val="18"/>
    <w:qFormat/>
    <w:uiPriority w:val="0"/>
    <w:rPr>
      <w:color w:val="0000FF"/>
      <w:u w:val="single"/>
    </w:rPr>
  </w:style>
  <w:style w:type="character" w:customStyle="1" w:styleId="23">
    <w:name w:val="gwds_nopic"/>
    <w:basedOn w:val="18"/>
    <w:qFormat/>
    <w:uiPriority w:val="0"/>
  </w:style>
  <w:style w:type="character" w:customStyle="1" w:styleId="24">
    <w:name w:val="gwds_nopic1"/>
    <w:basedOn w:val="18"/>
    <w:qFormat/>
    <w:uiPriority w:val="0"/>
  </w:style>
  <w:style w:type="character" w:customStyle="1" w:styleId="25">
    <w:name w:val="gwds_nopic2"/>
    <w:basedOn w:val="18"/>
    <w:qFormat/>
    <w:uiPriority w:val="0"/>
  </w:style>
  <w:style w:type="character" w:customStyle="1" w:styleId="26">
    <w:name w:val="gwds_more4"/>
    <w:basedOn w:val="18"/>
    <w:qFormat/>
    <w:uiPriority w:val="0"/>
  </w:style>
  <w:style w:type="character" w:customStyle="1" w:styleId="27">
    <w:name w:val="font61"/>
    <w:basedOn w:val="18"/>
    <w:qFormat/>
    <w:uiPriority w:val="0"/>
    <w:rPr>
      <w:rFonts w:ascii="仿宋_GB2312" w:eastAsia="仿宋_GB2312" w:cs="仿宋_GB2312"/>
      <w:color w:val="000000"/>
      <w:sz w:val="22"/>
      <w:szCs w:val="22"/>
      <w:u w:val="none"/>
    </w:rPr>
  </w:style>
  <w:style w:type="paragraph" w:styleId="28">
    <w:name w:val="List Paragraph"/>
    <w:basedOn w:val="1"/>
    <w:qFormat/>
    <w:uiPriority w:val="0"/>
    <w:pPr>
      <w:ind w:firstLine="200" w:firstLineChars="200"/>
    </w:pPr>
  </w:style>
  <w:style w:type="paragraph" w:customStyle="1" w:styleId="29">
    <w:name w:val="Heading3"/>
    <w:basedOn w:val="1"/>
    <w:next w:val="1"/>
    <w:qFormat/>
    <w:uiPriority w:val="99"/>
    <w:pPr>
      <w:keepNext/>
      <w:keepLines/>
      <w:spacing w:line="560" w:lineRule="exact"/>
      <w:textAlignment w:val="baseline"/>
    </w:pPr>
    <w:rPr>
      <w:rFonts w:ascii="Calibri" w:hAnsi="Calibri" w:cs="Calibri"/>
      <w:b/>
      <w:bCs/>
    </w:rPr>
  </w:style>
  <w:style w:type="character" w:customStyle="1" w:styleId="30">
    <w:name w:val="font31"/>
    <w:basedOn w:val="18"/>
    <w:qFormat/>
    <w:uiPriority w:val="0"/>
    <w:rPr>
      <w:rFonts w:hint="eastAsia" w:ascii="仿宋" w:hAnsi="仿宋" w:eastAsia="仿宋" w:cs="仿宋"/>
      <w:color w:val="FF0000"/>
      <w:sz w:val="18"/>
      <w:szCs w:val="18"/>
      <w:u w:val="none"/>
    </w:rPr>
  </w:style>
  <w:style w:type="character" w:customStyle="1" w:styleId="31">
    <w:name w:val="font21"/>
    <w:basedOn w:val="18"/>
    <w:qFormat/>
    <w:uiPriority w:val="0"/>
    <w:rPr>
      <w:rFonts w:hint="eastAsia" w:ascii="仿宋" w:hAnsi="仿宋" w:eastAsia="仿宋" w:cs="仿宋"/>
      <w:color w:val="C00000"/>
      <w:sz w:val="18"/>
      <w:szCs w:val="18"/>
      <w:u w:val="none"/>
    </w:rPr>
  </w:style>
  <w:style w:type="character" w:customStyle="1" w:styleId="32">
    <w:name w:val="font131"/>
    <w:basedOn w:val="18"/>
    <w:qFormat/>
    <w:uiPriority w:val="0"/>
    <w:rPr>
      <w:rFonts w:hint="eastAsia" w:ascii="仿宋" w:hAnsi="仿宋" w:eastAsia="仿宋" w:cs="仿宋"/>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微软中国</Company>
  <Pages>9</Pages>
  <Words>1337</Words>
  <Characters>1350</Characters>
  <Lines>35</Lines>
  <Paragraphs>22</Paragraphs>
  <TotalTime>14</TotalTime>
  <ScaleCrop>false</ScaleCrop>
  <LinksUpToDate>false</LinksUpToDate>
  <CharactersWithSpaces>1446</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2021-07-14T23:42:00Z</dcterms:created>
  <dc:creator>基层处</dc:creator>
  <cp:lastModifiedBy>lenovo</cp:lastModifiedBy>
  <cp:lastPrinted>2026-03-25T02:23:30Z</cp:lastPrinted>
  <dcterms:modified xsi:type="dcterms:W3CDTF">2026-03-25T02:50:10Z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25A02F472A6247D5860A4F5D6236A8E1</vt:lpwstr>
  </property>
  <property fmtid="{D5CDD505-2E9C-101B-9397-08002B2CF9AE}" pid="4" name="KSOTemplateDocerSaveRecord">
    <vt:lpwstr>eyJoZGlkIjoiMDAwN2YzNDY5NjRiYThiNWIyMjU2NzA3OWRmMzhmNDYifQ==</vt:lpwstr>
  </property>
</Properties>
</file>