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AB8419">
      <w:pPr>
        <w:jc w:val="center"/>
        <w:rPr>
          <w:rFonts w:hint="eastAsia" w:ascii="黑体" w:hAnsi="黑体" w:eastAsia="黑体" w:cs="黑体"/>
          <w:b/>
          <w:bCs/>
          <w:i w:val="0"/>
          <w:iCs w:val="0"/>
          <w:color w:val="000000"/>
          <w:kern w:val="0"/>
          <w:sz w:val="36"/>
          <w:szCs w:val="36"/>
          <w:u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iCs w:val="0"/>
          <w:color w:val="000000"/>
          <w:kern w:val="0"/>
          <w:sz w:val="36"/>
          <w:szCs w:val="36"/>
          <w:u w:val="none"/>
          <w:lang w:val="en-US" w:eastAsia="zh-CN"/>
        </w:rPr>
        <w:t>涞源县应急管理局</w:t>
      </w:r>
    </w:p>
    <w:p w14:paraId="1C488063">
      <w:pPr>
        <w:jc w:val="center"/>
        <w:rPr>
          <w:rFonts w:hint="eastAsia" w:ascii="黑体" w:hAnsi="黑体" w:eastAsia="黑体" w:cs="黑体"/>
          <w:b/>
          <w:bCs/>
          <w:i w:val="0"/>
          <w:iCs w:val="0"/>
          <w:color w:val="000000"/>
          <w:kern w:val="0"/>
          <w:sz w:val="36"/>
          <w:szCs w:val="36"/>
          <w:u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iCs w:val="0"/>
          <w:color w:val="000000"/>
          <w:kern w:val="0"/>
          <w:sz w:val="36"/>
          <w:szCs w:val="36"/>
          <w:u w:val="none"/>
          <w:lang w:val="en-US" w:eastAsia="zh-CN"/>
        </w:rPr>
        <w:t>工商贸企业2026年第一季度执法计划完成</w:t>
      </w:r>
    </w:p>
    <w:p w14:paraId="4C5539DF">
      <w:pPr>
        <w:jc w:val="center"/>
        <w:rPr>
          <w:rFonts w:hint="eastAsia" w:ascii="黑体" w:hAnsi="黑体" w:eastAsia="黑体" w:cs="黑体"/>
          <w:b/>
          <w:bCs/>
          <w:i w:val="0"/>
          <w:iCs w:val="0"/>
          <w:color w:val="000000"/>
          <w:kern w:val="0"/>
          <w:sz w:val="36"/>
          <w:szCs w:val="36"/>
          <w:u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iCs w:val="0"/>
          <w:color w:val="000000"/>
          <w:kern w:val="0"/>
          <w:sz w:val="36"/>
          <w:szCs w:val="36"/>
          <w:u w:val="none"/>
          <w:lang w:val="en-US" w:eastAsia="zh-CN"/>
        </w:rPr>
        <w:t>情  况</w:t>
      </w:r>
    </w:p>
    <w:p w14:paraId="4BB310FA">
      <w:pPr>
        <w:rPr>
          <w:rFonts w:hint="eastAsia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/>
        </w:rPr>
      </w:pPr>
    </w:p>
    <w:p w14:paraId="28F9E9FC">
      <w:pPr>
        <w:ind w:firstLine="600" w:firstLineChars="200"/>
        <w:rPr>
          <w:rFonts w:hint="eastAsia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/>
        </w:rPr>
        <w:t>检查和复查直接监管的重点行业（领域）的重点生产经营单位 2 家：1.河北同光科技发展有限公司2.涞源县桃木疙瘩农业科技股份有限公司</w:t>
      </w:r>
    </w:p>
    <w:p w14:paraId="60AA7D33">
      <w:pPr>
        <w:ind w:firstLine="600" w:firstLineChars="200"/>
        <w:rPr>
          <w:rFonts w:hint="eastAsia" w:ascii="仿宋" w:hAnsi="仿宋" w:eastAsia="仿宋" w:cs="仿宋"/>
          <w:sz w:val="30"/>
          <w:szCs w:val="30"/>
          <w:u w:val="none"/>
        </w:rPr>
      </w:pPr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/>
        </w:rPr>
        <w:t>一般检查生产经营单位 12 家:1.涞源县涞百购物广场有限公司 2.涞源县信誉商贸有限责任公司 3.涞源县夏都假日酒店有限公司 4.涞源县顶利鲜商贸有限责任公司生活广场 5.涞源锦和购物中心 6.涞源县玉泉商场 7.涞源县恒隆商贸有限责任公司 8.涞源县千盛商贸有限公司 9.涞源县华岩商贸有限公司</w:t>
      </w:r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30"/>
          <w:szCs w:val="30"/>
          <w:u w:val="none"/>
          <w:lang w:val="en-US" w:eastAsia="zh-CN"/>
        </w:rPr>
        <w:t xml:space="preserve">10.涞源县渝州酒业经销有限公司11.涞源县森海服装厂 12.涞源县沛福箱包加工厂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41D2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2026-04-13T07:29:30Z</dcterms:created>
  <dc:creator>Administrator</dc:creator>
  <cp:lastModifiedBy>蓝天白云</cp:lastModifiedBy>
  <dcterms:modified xsi:type="dcterms:W3CDTF">2026-04-13T07:34:45Z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eyJoZGlkIjoiMjAxYmJjNWY3NTZjODI5ZmY0NzI5YzNmYmY1ZTUzMDYiLCJ1c2VySWQiOiI4NDgwNzc3NjQifQ==</vt:lpwstr>
  </property>
  <property fmtid="{D5CDD505-2E9C-101B-9397-08002B2CF9AE}" pid="4" name="ICV">
    <vt:lpwstr>F8E55D0B19344799907C0D2C81CF3693_12</vt:lpwstr>
  </property>
</Properties>
</file>