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600" w:lineRule="exact"/>
        <w:jc w:val="center"/>
        <w:rPr>
          <w:rFonts w:ascii="宋体" w:eastAsia="宋体" w:hint="eastAsia"/>
          <w:b/>
          <w:bCs/>
          <w:vanish w:val="0"/>
          <w:kern w:val="2"/>
          <w:sz w:val="44"/>
          <w:szCs w:val="44"/>
        </w:rPr>
      </w:pPr>
      <w:r>
        <w:rPr>
          <w:rFonts w:ascii="宋体" w:eastAsia="宋体" w:hint="eastAsia"/>
          <w:b/>
          <w:bCs/>
          <w:vanish w:val="0"/>
          <w:kern w:val="2"/>
          <w:sz w:val="44"/>
          <w:szCs w:val="44"/>
        </w:rPr>
        <w:t>涞源县教育和体育局部门权责清单事项</w:t>
      </w:r>
    </w:p>
    <w:tbl>
      <w:tblPr>
        <w:jc w:val="left"/>
        <w:tblW w:w="137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0"/>
        <w:gridCol w:w="694"/>
        <w:gridCol w:w="1276"/>
        <w:gridCol w:w="575"/>
        <w:gridCol w:w="3961"/>
        <w:gridCol w:w="3899"/>
        <w:gridCol w:w="2674"/>
      </w:tblGrid>
      <w:tr>
        <w:trPr>
          <w:trHeight w:val="505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0" w:afterAutospacing="0" w:line="400" w:lineRule="exact"/>
              <w:ind w:left="0" w:right="0"/>
              <w:jc w:val="center"/>
              <w:rPr>
                <w:rFonts w:ascii="黑体" w:eastAsia="黑体" w:hint="eastAsia"/>
                <w:vanish w:val="0"/>
                <w:kern w:val="2"/>
                <w:sz w:val="24"/>
                <w:szCs w:val="24"/>
              </w:rPr>
            </w:pPr>
            <w:r>
              <w:rPr>
                <w:rFonts w:ascii="黑体" w:eastAsia="黑体" w:hint="eastAsia"/>
                <w:vanish w:val="0"/>
                <w:kern w:val="2"/>
                <w:sz w:val="24"/>
                <w:szCs w:val="24"/>
              </w:rPr>
              <w:t>序号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0" w:afterAutospacing="0" w:line="400" w:lineRule="exact"/>
              <w:ind w:left="0" w:right="0"/>
              <w:jc w:val="center"/>
              <w:rPr>
                <w:rFonts w:ascii="黑体" w:eastAsia="黑体" w:hint="eastAsia"/>
                <w:vanish w:val="0"/>
                <w:kern w:val="2"/>
                <w:sz w:val="24"/>
                <w:szCs w:val="24"/>
              </w:rPr>
            </w:pPr>
            <w:r>
              <w:rPr>
                <w:rFonts w:ascii="黑体" w:eastAsia="黑体" w:hint="eastAsia"/>
                <w:vanish w:val="0"/>
                <w:kern w:val="2"/>
                <w:sz w:val="24"/>
                <w:szCs w:val="24"/>
              </w:rPr>
              <w:t>权力类型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0" w:afterAutospacing="0" w:line="400" w:lineRule="exact"/>
              <w:ind w:left="0" w:right="0"/>
              <w:jc w:val="center"/>
              <w:rPr>
                <w:rFonts w:ascii="黑体" w:eastAsia="黑体" w:hint="eastAsia"/>
                <w:vanish w:val="0"/>
                <w:kern w:val="2"/>
                <w:sz w:val="24"/>
                <w:szCs w:val="24"/>
              </w:rPr>
            </w:pPr>
            <w:r>
              <w:rPr>
                <w:rFonts w:ascii="黑体" w:eastAsia="黑体" w:hint="eastAsia"/>
                <w:vanish w:val="0"/>
                <w:kern w:val="2"/>
                <w:sz w:val="24"/>
                <w:szCs w:val="24"/>
              </w:rPr>
              <w:t>权力事项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0" w:afterAutospacing="0" w:line="400" w:lineRule="exact"/>
              <w:ind w:left="0" w:right="0"/>
              <w:jc w:val="center"/>
              <w:rPr>
                <w:rFonts w:ascii="黑体" w:eastAsia="黑体" w:hint="eastAsia"/>
                <w:vanish w:val="0"/>
                <w:kern w:val="2"/>
                <w:sz w:val="24"/>
                <w:szCs w:val="24"/>
              </w:rPr>
            </w:pPr>
            <w:r>
              <w:rPr>
                <w:rFonts w:ascii="黑体" w:eastAsia="黑体" w:hint="eastAsia"/>
                <w:vanish w:val="0"/>
                <w:kern w:val="2"/>
                <w:sz w:val="24"/>
                <w:szCs w:val="24"/>
              </w:rPr>
              <w:t>行政主体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0" w:afterAutospacing="0" w:line="400" w:lineRule="exact"/>
              <w:ind w:left="0" w:right="0"/>
              <w:jc w:val="center"/>
              <w:rPr>
                <w:rFonts w:ascii="黑体" w:eastAsia="黑体" w:hint="eastAsia"/>
                <w:vanish w:val="0"/>
                <w:kern w:val="2"/>
                <w:sz w:val="24"/>
                <w:szCs w:val="24"/>
              </w:rPr>
            </w:pPr>
            <w:r>
              <w:rPr>
                <w:rFonts w:ascii="黑体" w:eastAsia="黑体" w:hint="eastAsia"/>
                <w:vanish w:val="0"/>
                <w:kern w:val="2"/>
                <w:sz w:val="24"/>
                <w:szCs w:val="24"/>
              </w:rPr>
              <w:t>实施依据</w:t>
            </w: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0" w:afterAutospacing="0" w:line="400" w:lineRule="exact"/>
              <w:ind w:left="0" w:right="0"/>
              <w:jc w:val="center"/>
              <w:rPr>
                <w:rFonts w:ascii="黑体" w:eastAsia="黑体" w:hint="eastAsia"/>
                <w:vanish w:val="0"/>
                <w:kern w:val="2"/>
                <w:sz w:val="24"/>
                <w:szCs w:val="24"/>
              </w:rPr>
            </w:pPr>
            <w:r>
              <w:rPr>
                <w:rFonts w:ascii="黑体" w:eastAsia="黑体" w:hint="eastAsia"/>
                <w:vanish w:val="0"/>
                <w:kern w:val="2"/>
                <w:sz w:val="24"/>
                <w:szCs w:val="24"/>
              </w:rPr>
              <w:t>责任事项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0" w:afterAutospacing="0" w:line="400" w:lineRule="exact"/>
              <w:ind w:left="0" w:right="0"/>
              <w:jc w:val="center"/>
              <w:rPr>
                <w:rFonts w:ascii="黑体" w:eastAsia="黑体" w:hint="eastAsia"/>
                <w:vanish w:val="0"/>
                <w:kern w:val="2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黑体" w:eastAsia="黑体" w:hint="eastAsia"/>
                <w:vanish w:val="0"/>
                <w:kern w:val="2"/>
                <w:sz w:val="24"/>
                <w:szCs w:val="24"/>
              </w:rPr>
              <w:t>备注</w:t>
            </w:r>
          </w:p>
        </w:tc>
      </w:tr>
      <w:tr>
        <w:trPr>
          <w:trHeight w:val="409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0" w:afterAutospacing="0" w:line="240" w:lineRule="exact"/>
              <w:ind w:left="0" w:right="0"/>
              <w:jc w:val="center"/>
              <w:rPr>
                <w:rFonts w:ascii="宋体" w:eastAsia="宋体" w:hint="eastAsia"/>
                <w:vanish w:val="0"/>
                <w:kern w:val="2"/>
                <w:sz w:val="18"/>
                <w:szCs w:val="18"/>
              </w:rPr>
            </w:pPr>
            <w:r>
              <w:rPr>
                <w:rFonts w:ascii="宋体" w:eastAsia="宋体" w:hint="eastAsia"/>
                <w:vanish w:val="0"/>
                <w:kern w:val="2"/>
                <w:sz w:val="18"/>
                <w:szCs w:val="18"/>
              </w:rPr>
              <w:t>1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0" w:afterAutospacing="0" w:line="240" w:lineRule="exact"/>
              <w:ind w:left="0" w:right="0"/>
              <w:jc w:val="center"/>
              <w:rPr>
                <w:rFonts w:ascii="宋体" w:eastAsia="宋体" w:hint="eastAsia"/>
                <w:vanish w:val="0"/>
                <w:kern w:val="2"/>
                <w:sz w:val="18"/>
                <w:szCs w:val="18"/>
              </w:rPr>
            </w:pPr>
            <w:r>
              <w:rPr>
                <w:rFonts w:ascii="宋体" w:eastAsia="宋体" w:hint="eastAsia"/>
                <w:vanish w:val="0"/>
                <w:kern w:val="2"/>
                <w:sz w:val="18"/>
                <w:szCs w:val="18"/>
              </w:rPr>
              <w:t>行政许可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0" w:afterAutospacing="0" w:line="240" w:lineRule="exact"/>
              <w:ind w:left="0" w:right="0"/>
              <w:jc w:val="center"/>
              <w:rPr>
                <w:rFonts w:ascii="宋体" w:eastAsia="宋体" w:hint="eastAsia"/>
                <w:vanish w:val="0"/>
                <w:kern w:val="2"/>
                <w:sz w:val="18"/>
                <w:szCs w:val="18"/>
              </w:rPr>
            </w:pPr>
            <w:r>
              <w:rPr>
                <w:rFonts w:ascii="宋体" w:eastAsia="宋体" w:hint="eastAsia"/>
                <w:vanish w:val="0"/>
                <w:kern w:val="2"/>
                <w:sz w:val="18"/>
                <w:szCs w:val="18"/>
              </w:rPr>
              <w:t>适龄儿童、少年因身体状况需要延缓入学或者休学审批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0" w:afterAutospacing="0" w:line="240" w:lineRule="exact"/>
              <w:ind w:left="0" w:right="0"/>
              <w:jc w:val="center"/>
              <w:rPr>
                <w:rFonts w:ascii="宋体" w:eastAsia="宋体" w:hint="eastAsia"/>
                <w:vanish w:val="0"/>
                <w:kern w:val="2"/>
                <w:sz w:val="18"/>
                <w:szCs w:val="18"/>
              </w:rPr>
            </w:pPr>
            <w:r>
              <w:rPr>
                <w:rFonts w:ascii="宋体" w:eastAsia="宋体" w:hint="eastAsia"/>
                <w:vanish w:val="0"/>
                <w:kern w:val="2"/>
                <w:sz w:val="18"/>
                <w:szCs w:val="18"/>
              </w:rPr>
              <w:t>涞源县教育和体育局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0" w:afterAutospacing="0" w:line="240" w:lineRule="exact"/>
              <w:ind w:left="0" w:right="0" w:firstLineChars="200" w:firstLine="360"/>
              <w:rPr>
                <w:rFonts w:ascii="宋体" w:eastAsia="宋体" w:hint="eastAsia"/>
                <w:vanish w:val="0"/>
                <w:kern w:val="2"/>
                <w:sz w:val="15"/>
                <w:szCs w:val="15"/>
              </w:rPr>
            </w:pPr>
            <w:r>
              <w:rPr>
                <w:rFonts w:ascii="宋体" w:eastAsia="宋体" w:hint="eastAsia"/>
                <w:vanish w:val="0"/>
                <w:kern w:val="2"/>
                <w:sz w:val="18"/>
                <w:szCs w:val="18"/>
              </w:rPr>
              <w:t xml:space="preserve">《中华人民共和国义务教育法》第十一条： 凡年满六周岁的儿童，其父母或者其他法定监护人应当送其入学接受并完成义务教育；条件不具备的地区的儿童，可以推迟到七周岁。适龄儿童、少年因身体状况需要延缓入学或者休学的，其父母或者其他法定监护人应当提出申请，由当地乡镇人民政府或者县级人民政府教育行政部门批准。适龄儿童、少年因身体状况需要延缓入学的，需由二级以上（含二级）医院出具有效证明及相关材料。 </w:t>
            </w:r>
            <w:r>
              <w:rPr>
                <w:rFonts w:ascii="宋体" w:eastAsia="宋体" w:hint="eastAsia"/>
                <w:vanish w:val="0"/>
                <w:kern w:val="2"/>
                <w:sz w:val="15"/>
                <w:szCs w:val="15"/>
              </w:rPr>
              <w:t xml:space="preserve">            </w:t>
            </w: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0" w:afterAutospacing="0" w:line="280" w:lineRule="exact"/>
              <w:ind w:left="0" w:right="0" w:firstLineChars="200" w:firstLine="360"/>
              <w:rPr>
                <w:rFonts w:ascii="宋体" w:eastAsia="宋体" w:hint="eastAsia"/>
                <w:vanish w:val="0"/>
                <w:kern w:val="2"/>
                <w:sz w:val="18"/>
                <w:szCs w:val="18"/>
              </w:rPr>
            </w:pPr>
            <w:r>
              <w:rPr>
                <w:rFonts w:ascii="宋体" w:eastAsia="宋体" w:hint="eastAsia"/>
                <w:vanish w:val="0"/>
                <w:kern w:val="2"/>
                <w:sz w:val="18"/>
                <w:szCs w:val="18"/>
              </w:rPr>
              <w:t xml:space="preserve"> 1.受理阶段责任：在办公场所公示依法应当提交的材料；一次性告知补正材料；依法受理或不予受理（不予受理应当告知理由）。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0" w:afterAutospacing="0" w:line="280" w:lineRule="exact"/>
              <w:ind w:left="0" w:right="0"/>
              <w:rPr>
                <w:rFonts w:ascii="宋体" w:eastAsia="宋体" w:hint="eastAsia"/>
                <w:vanish w:val="0"/>
                <w:kern w:val="2"/>
                <w:sz w:val="18"/>
                <w:szCs w:val="18"/>
              </w:rPr>
            </w:pPr>
            <w:r>
              <w:rPr>
                <w:rFonts w:ascii="宋体" w:eastAsia="宋体" w:hint="eastAsia"/>
                <w:vanish w:val="0"/>
                <w:kern w:val="2"/>
                <w:sz w:val="18"/>
                <w:szCs w:val="18"/>
              </w:rPr>
              <w:t xml:space="preserve">    2.审查阶段责任：依据相关法律法规对申请材料进行审查。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0" w:afterAutospacing="0" w:line="280" w:lineRule="exact"/>
              <w:ind w:left="0" w:right="0"/>
              <w:rPr>
                <w:rFonts w:ascii="宋体" w:eastAsia="宋体" w:hint="eastAsia"/>
                <w:vanish w:val="0"/>
                <w:kern w:val="2"/>
                <w:sz w:val="18"/>
                <w:szCs w:val="18"/>
              </w:rPr>
            </w:pPr>
            <w:r>
              <w:rPr>
                <w:rFonts w:ascii="宋体" w:eastAsia="宋体" w:hint="eastAsia"/>
                <w:vanish w:val="0"/>
                <w:kern w:val="2"/>
                <w:sz w:val="18"/>
                <w:szCs w:val="18"/>
              </w:rPr>
              <w:t xml:space="preserve">    3.决定阶段责任：作出许可决定、审核意见或不予准许决定，法定告知（不予核准的应说明理由）。                      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0" w:afterAutospacing="0" w:line="280" w:lineRule="exact"/>
              <w:ind w:left="0" w:right="0"/>
              <w:rPr>
                <w:rFonts w:ascii="宋体" w:eastAsia="宋体" w:hint="eastAsia"/>
                <w:vanish w:val="0"/>
                <w:kern w:val="2"/>
                <w:sz w:val="18"/>
                <w:szCs w:val="18"/>
              </w:rPr>
            </w:pPr>
            <w:r>
              <w:rPr>
                <w:rFonts w:ascii="宋体" w:eastAsia="宋体" w:hint="eastAsia"/>
                <w:vanish w:val="0"/>
                <w:kern w:val="2"/>
                <w:sz w:val="18"/>
                <w:szCs w:val="18"/>
              </w:rPr>
              <w:t xml:space="preserve">    4.送达阶段责任：按相关法规规定报送有关部门、信息公开。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0" w:afterAutospacing="0" w:line="280" w:lineRule="exact"/>
              <w:ind w:left="0" w:right="0"/>
              <w:rPr>
                <w:rFonts w:ascii="宋体" w:eastAsia="宋体" w:hint="eastAsia"/>
                <w:vanish w:val="0"/>
                <w:kern w:val="2"/>
                <w:sz w:val="18"/>
                <w:szCs w:val="18"/>
              </w:rPr>
            </w:pPr>
            <w:r>
              <w:rPr>
                <w:rFonts w:ascii="宋体" w:eastAsia="宋体" w:hint="eastAsia"/>
                <w:vanish w:val="0"/>
                <w:kern w:val="2"/>
                <w:sz w:val="18"/>
                <w:szCs w:val="18"/>
              </w:rPr>
              <w:t xml:space="preserve">    5.事后监管阶段责任：建立行政许可档案，加强监督检查。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0" w:afterAutospacing="0" w:line="280" w:lineRule="exact"/>
              <w:ind w:left="0" w:right="0"/>
              <w:rPr>
                <w:rFonts w:ascii="宋体" w:eastAsia="宋体" w:hint="eastAsia"/>
                <w:vanish w:val="0"/>
                <w:kern w:val="2"/>
                <w:sz w:val="18"/>
                <w:szCs w:val="18"/>
              </w:rPr>
            </w:pPr>
            <w:r>
              <w:rPr>
                <w:rFonts w:ascii="宋体" w:eastAsia="宋体" w:hint="eastAsia"/>
                <w:vanish w:val="0"/>
                <w:kern w:val="2"/>
                <w:sz w:val="18"/>
                <w:szCs w:val="18"/>
              </w:rPr>
              <w:t xml:space="preserve">    6.其他法律法规规章文件规定应承担的责任。   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0" w:afterAutospacing="0" w:line="400" w:lineRule="exact"/>
              <w:ind w:left="0" w:right="0"/>
              <w:jc w:val="center"/>
              <w:rPr>
                <w:rFonts w:ascii="宋体" w:eastAsia="宋体" w:hint="eastAsia"/>
                <w:vanish w:val="0"/>
                <w:kern w:val="2"/>
                <w:sz w:val="18"/>
                <w:szCs w:val="18"/>
              </w:rPr>
            </w:pPr>
          </w:p>
        </w:tc>
      </w:tr>
    </w:tbl>
    <w:p/>
    <w:sectPr>
      <w:pgSz w:w="16839" w:h="11907" w:orient="landscape"/>
      <w:pgMar w:top="1800" w:right="1440" w:bottom="1800" w:left="1440" w:header="851" w:footer="992" w:gutter="0"/>
      <w:docGrid w:type="lines" w:linePitch="435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宋体">
    <w:panose1 w:val="02010600030101010101"/>
    <w:charset w:val="86"/>
    <w:family w:val="auto"/>
    <w:pitch w:val="variable"/>
    <w:sig w:usb0="00000003" w:usb1="080E0000" w:usb2="00000000" w:usb3="00000000" w:csb0="00040001" w:csb1="0000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仿宋_GB2312">
    <w:altName w:val="仿宋"/>
    <w:panose1 w:val="00000000000000000000"/>
    <w:charset w:val="00"/>
    <w:family w:val="auto"/>
    <w:pitch w:val="variable"/>
    <w:sig w:usb0="00000000" w:usb1="00000000" w:usb2="00000000" w:usb3="00000000" w:csb0="00000000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92"/>
  <w:displayBackgroundShape/>
  <w:bordersDoNotSurroundHeader/>
  <w:bordersDoNotSurroundFooter/>
  <w:defaultTabStop w:val="420"/>
  <w:drawingGridHorizontalSpacing w:val="160"/>
  <w:drawingGridVerticalSpacing w:val="217"/>
  <w:displayHorizontalDrawingGridEvery w:val="0"/>
  <w:displayVerticalDrawingGridEvery w:val="1"/>
  <w:characterSpacingControl w:val="compressPunctuation"/>
  <w:compat>
    <w:spaceForUL/>
    <w:balanceSingleByteDoubleByteWidth/>
    <w:ulTrailSpace/>
    <w:doNotExpandShiftReturn/>
    <w:adjustLineHeightInTable/>
    <w:useAltKinsokuLineBreakRules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keepNext w:val="0"/>
      <w:keepLines w:val="0"/>
      <w:pageBreakBefore w:val="0"/>
      <w:widowControl w:val="0"/>
      <w:suppressLineNumbers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uppressAutoHyphens w:val="0"/>
      <w:kinsoku/>
      <w:wordWrap/>
      <w:overflowPunct/>
      <w:topLinePunct w:val="0"/>
      <w:autoSpaceDE/>
      <w:autoSpaceDN/>
      <w:bidi w:val="0"/>
      <w:adjustRightInd/>
      <w:snapToGrid/>
      <w:spacing w:before="0" w:beforeAutospacing="0" w:after="0" w:afterAutospacing="0" w:line="240" w:lineRule="auto"/>
      <w:ind w:left="0" w:right="0" w:firstLine="0"/>
      <w:contextualSpacing w:val="0"/>
      <w:jc w:val="both"/>
      <w:textAlignment w:val="auto"/>
      <w:outlineLvl w:val="9"/>
    </w:pPr>
    <w:rPr>
      <w:rFonts w:ascii="Times New Roman" w:eastAsia="仿宋_GB2312" w:cs="Times New Roman" w:hAnsi="Times New Roman"/>
      <w:b w:val="0"/>
      <w:i w:val="0"/>
      <w:caps w:val="0"/>
      <w:smallCaps w:val="0"/>
      <w:strike w:val="0"/>
      <w:dstrike w:val="0"/>
      <w:snapToGrid/>
      <w:vanish w:val="0"/>
      <w:color w:val="auto"/>
      <w:spacing w:val="0"/>
      <w:w w:val="100"/>
      <w:kern w:val="2"/>
      <w:position w:val="0"/>
      <w:sz w:val="32"/>
      <w:szCs w:val="32"/>
      <w:u w:val="none" w:color="auto"/>
      <w:shd w:val="clear" w:color="auto" w:fill="auto"/>
      <w:vertAlign w:val="baseline"/>
      <w:em w:val="none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pageBreakBefore w:val="0"/>
      <w:widowControl w:val="0"/>
      <w:suppressLineNumbers w:val="0"/>
      <w:suppressAutoHyphens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pageBreakBefore w:val="0"/>
      <w:widowControl w:val="0"/>
      <w:suppressLineNumbers w:val="0"/>
      <w:suppressAutoHyphens w:val="0"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pageBreakBefore w:val="0"/>
      <w:widowControl w:val="0"/>
      <w:suppressLineNumbers w:val="0"/>
      <w:suppressAutoHyphens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1</TotalTime>
  <Application>Yozo_Office27021597764231179</Application>
  <Pages>1</Pages>
  <Words>471</Words>
  <Characters>477</Characters>
  <Lines>51</Lines>
  <Paragraphs>19</Paragraphs>
  <CharactersWithSpaces>538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Administrator</dc:creator>
  <cp:lastModifiedBy>Administrator</cp:lastModifiedBy>
  <cp:revision>1</cp:revision>
  <dcterms:created xsi:type="dcterms:W3CDTF">2022-11-10T02:49:26Z</dcterms:created>
  <dcterms:modified xsi:type="dcterms:W3CDTF">2022-11-10T02:51:19Z</dcterms:modified>
</cp:coreProperties>
</file>