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ind w:firstLine="440" w:firstLineChars="100"/>
        <w:jc w:val="center"/>
        <w:rPr>
          <w:rFonts w:hint="eastAsia"/>
        </w:rPr>
      </w:pPr>
      <w:bookmarkStart w:id="0" w:name="_Toc14967"/>
      <w:r>
        <w:rPr>
          <w:rFonts w:hint="eastAsia"/>
          <w:lang w:eastAsia="zh-CN"/>
        </w:rPr>
        <w:t>涞源县</w:t>
      </w:r>
      <w:r>
        <w:rPr>
          <w:rFonts w:hint="eastAsia"/>
        </w:rPr>
        <w:t>统计领域轻微违法行为包容免罚清单</w:t>
      </w:r>
      <w:bookmarkEnd w:id="0"/>
      <w:bookmarkStart w:id="1" w:name="_GoBack"/>
      <w:bookmarkEnd w:id="1"/>
    </w:p>
    <w:p>
      <w:pPr>
        <w:widowControl/>
        <w:shd w:val="clear" w:color="auto" w:fill="FFFFFF"/>
        <w:spacing w:line="318" w:lineRule="atLeast"/>
        <w:jc w:val="center"/>
        <w:rPr>
          <w:rFonts w:ascii="Verdana" w:hAnsi="Verdana" w:eastAsia="宋体" w:cs="宋体"/>
          <w:color w:val="000000"/>
          <w:kern w:val="0"/>
          <w:szCs w:val="21"/>
        </w:rPr>
      </w:pPr>
    </w:p>
    <w:tbl>
      <w:tblPr>
        <w:tblStyle w:val="4"/>
        <w:tblW w:w="14174" w:type="dxa"/>
        <w:jc w:val="center"/>
        <w:tblLayout w:type="autofit"/>
        <w:tblCellMar>
          <w:top w:w="105" w:type="dxa"/>
          <w:left w:w="105" w:type="dxa"/>
          <w:bottom w:w="105" w:type="dxa"/>
          <w:right w:w="105" w:type="dxa"/>
        </w:tblCellMar>
      </w:tblPr>
      <w:tblGrid>
        <w:gridCol w:w="691"/>
        <w:gridCol w:w="1320"/>
        <w:gridCol w:w="9360"/>
        <w:gridCol w:w="1452"/>
        <w:gridCol w:w="1351"/>
      </w:tblGrid>
      <w:tr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465" w:hRule="atLeast"/>
          <w:jc w:val="center"/>
        </w:trPr>
        <w:tc>
          <w:tcPr>
            <w:tcW w:w="6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</w:tcPr>
          <w:p>
            <w:pPr>
              <w:widowControl/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序号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</w:tcPr>
          <w:p>
            <w:pPr>
              <w:widowControl/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事项名称</w:t>
            </w:r>
          </w:p>
        </w:tc>
        <w:tc>
          <w:tcPr>
            <w:tcW w:w="93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实施依据</w:t>
            </w:r>
          </w:p>
        </w:tc>
        <w:tc>
          <w:tcPr>
            <w:tcW w:w="14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</w:tcPr>
          <w:p>
            <w:pPr>
              <w:widowControl/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免罚情形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8"/>
                <w:szCs w:val="28"/>
              </w:rPr>
              <w:t>适用条件</w:t>
            </w:r>
          </w:p>
        </w:tc>
      </w:tr>
      <w:tr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4260" w:hRule="atLeast"/>
          <w:jc w:val="center"/>
        </w:trPr>
        <w:tc>
          <w:tcPr>
            <w:tcW w:w="6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</w:tcPr>
          <w:p>
            <w:pPr>
              <w:widowControl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对拒绝提供统计资料的处罚</w:t>
            </w:r>
          </w:p>
        </w:tc>
        <w:tc>
          <w:tcPr>
            <w:tcW w:w="93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0" w:type="dxa"/>
            </w:tcMar>
            <w:vAlign w:val="top"/>
          </w:tcPr>
          <w:p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《中华人民共和国统计法》（1983年12月8日主席令第九号，2009年6月27日予以修订）第四十一条　作为统计调查对象的国家机关、企业事业单位或者其他组织有下列行为之一的，由县级以上人民政府统计机构责令改正，给予警告，可以予以通报；其直接负责的主管人员和其他直接责任人员属于国家工作人员的，由任免机关或者监察机关依法给予处分：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    （一）拒绝提供统计资料或者经催报后仍未按时提供统计资料的；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    （二）提供不真实或者不完整的统计资料的；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    （三）拒绝答复或者不如实答复统计检查查询书的；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    （四）拒绝、阻碍统计调查、统计检查的；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    （五）转移、隐匿、篡改、毁弃或者拒绝提供原始记录和凭证、统计台账、统计调查表及其他相关证明和资料的。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    企业事业单位或者其他组织有前款所列行为之一的，可以并处五万元以下的罚款；情节严重的，并处五万元以上二十万元以下的罚款。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    个体工商户有本条第一款所列行为之一的，由县级以上人民政府统计机构责令改正，给予警告，可以并处一万元以下的罚款。</w:t>
            </w:r>
          </w:p>
        </w:tc>
        <w:tc>
          <w:tcPr>
            <w:tcW w:w="14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</w:tcPr>
          <w:p>
            <w:pPr>
              <w:widowControl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首违免罚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初次违法且危害后果轻微并及时改正</w:t>
            </w:r>
          </w:p>
        </w:tc>
      </w:tr>
      <w:tr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rHeight w:val="2784" w:hRule="atLeast"/>
          <w:jc w:val="center"/>
        </w:trPr>
        <w:tc>
          <w:tcPr>
            <w:tcW w:w="6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</w:tcPr>
          <w:p>
            <w:pPr>
              <w:widowControl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2</w:t>
            </w:r>
          </w:p>
        </w:tc>
        <w:tc>
          <w:tcPr>
            <w:tcW w:w="13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对迟报统计资料，未按照国家有关规定设置原始记录、统计台账的处罚</w:t>
            </w:r>
          </w:p>
        </w:tc>
        <w:tc>
          <w:tcPr>
            <w:tcW w:w="93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0" w:type="dxa"/>
            </w:tcMar>
            <w:vAlign w:val="top"/>
          </w:tcPr>
          <w:p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《中华人民共和国统计法》（1983年12月8日主席令第九号，2009年6月27日予以修订）  第四十二条　作为统计调查对象的国家机关、企业事业单位或者其他组织迟报统计资料，或者未按照国家有关规定设置原始记录、统计台账的，由县级以上人民政府统计机构责令改正，给予警告。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    企业事业单位或者其他组织有前款所列行为之一的，可以并处一万元以下的罚款。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    个体工商户迟报统计资料的，由县级以上人民政府统计机构责令改正，给予警告，可以并处一千元以下的罚款。</w:t>
            </w:r>
          </w:p>
        </w:tc>
        <w:tc>
          <w:tcPr>
            <w:tcW w:w="14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</w:tcPr>
          <w:p>
            <w:pPr>
              <w:widowControl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首违免罚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初次违法且危害后果轻微并及时改正</w:t>
            </w:r>
          </w:p>
        </w:tc>
      </w:tr>
    </w:tbl>
    <w:p/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JiMzlmZDJkZGRhMDQxNzEyN2IyYTY4OTE0ZTY4ZjMifQ=="/>
  </w:docVars>
  <w:rsids>
    <w:rsidRoot w:val="56C31A4D"/>
    <w:rsid w:val="56C3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0" w:after="0" w:afterAutospacing="0" w:line="680" w:lineRule="exact"/>
      <w:ind w:firstLine="0" w:firstLineChars="0"/>
      <w:jc w:val="center"/>
      <w:outlineLvl w:val="0"/>
    </w:pPr>
    <w:rPr>
      <w:rFonts w:hint="eastAsia" w:ascii="方正小标宋简体" w:hAnsi="方正小标宋简体" w:eastAsia="方正小标宋简体" w:cs="宋体"/>
      <w:kern w:val="44"/>
      <w:sz w:val="44"/>
      <w:szCs w:val="48"/>
      <w:lang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纯文本1"/>
    <w:basedOn w:val="1"/>
    <w:qFormat/>
    <w:uiPriority w:val="0"/>
    <w:rPr>
      <w:rFonts w:ascii="宋体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2022-09-27T02:01:00Z</dcterms:created>
  <dc:creator>Administrator</dc:creator>
  <cp:lastModifiedBy>Administrator</cp:lastModifiedBy>
  <dcterms:modified xsi:type="dcterms:W3CDTF">2022-09-27T02:12:18Z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6E3EC19FE9374B8CB9BB041FBA7193DB</vt:lpwstr>
  </property>
</Properties>
</file>