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rPr>
          <w:rFonts w:ascii="黑体" w:hAnsi="黑体" w:eastAsia="黑体"/>
          <w:color w:val="auto"/>
          <w:szCs w:val="32"/>
        </w:rPr>
      </w:pPr>
    </w:p>
    <w:p>
      <w:pPr>
        <w:pStyle w:val="2"/>
        <w:spacing w:line="520" w:lineRule="exact"/>
        <w:jc w:val="both"/>
        <w:rPr>
          <w:rFonts w:hint="eastAsia" w:ascii="黑体" w:hAnsi="黑体" w:eastAsia="黑体" w:cs="黑体"/>
          <w:sz w:val="32"/>
          <w:lang w:val="en-US" w:eastAsia="zh-CN"/>
        </w:rPr>
      </w:pPr>
      <w:r>
        <w:rPr>
          <w:rFonts w:hint="eastAsia" w:ascii="黑体" w:hAnsi="黑体" w:eastAsia="黑体" w:cs="黑体"/>
          <w:sz w:val="32"/>
        </w:rPr>
        <w:t>附件</w:t>
      </w:r>
      <w:r>
        <w:rPr>
          <w:rFonts w:ascii="黑体" w:hAnsi="黑体" w:eastAsia="黑体" w:cs="黑体"/>
          <w:sz w:val="32"/>
        </w:rPr>
        <w:t>1</w:t>
      </w:r>
      <w:r>
        <w:rPr>
          <w:rFonts w:hint="eastAsia" w:ascii="黑体" w:hAnsi="黑体" w:eastAsia="黑体" w:cs="黑体"/>
          <w:sz w:val="32"/>
          <w:lang w:val="en-US" w:eastAsia="zh-CN"/>
        </w:rPr>
        <w:t xml:space="preserve">    </w:t>
      </w:r>
    </w:p>
    <w:p>
      <w:pPr>
        <w:pStyle w:val="2"/>
        <w:spacing w:line="520" w:lineRule="exact"/>
        <w:jc w:val="center"/>
        <w:rPr>
          <w:rFonts w:hint="eastAsia" w:ascii="方正小标宋简体" w:hAnsi="方正小标宋简体" w:eastAsia="方正小标宋简体" w:cs="方正小标宋简体"/>
          <w:szCs w:val="44"/>
          <w:lang w:eastAsia="zh-CN"/>
        </w:rPr>
      </w:pPr>
      <w:r>
        <w:rPr>
          <w:rFonts w:hint="eastAsia" w:ascii="方正小标宋简体" w:hAnsi="方正小标宋简体" w:eastAsia="方正小标宋简体" w:cs="方正小标宋简体"/>
          <w:sz w:val="44"/>
          <w:szCs w:val="44"/>
          <w:lang w:val="en-US" w:eastAsia="zh-CN"/>
        </w:rPr>
        <w:t>涞源县</w:t>
      </w:r>
      <w:r>
        <w:rPr>
          <w:rFonts w:ascii="方正小标宋简体" w:hAnsi="方正小标宋简体" w:eastAsia="方正小标宋简体" w:cs="方正小标宋简体"/>
          <w:szCs w:val="44"/>
        </w:rPr>
        <w:t>保留证明事项基本目录</w:t>
      </w:r>
    </w:p>
    <w:tbl>
      <w:tblPr>
        <w:tblStyle w:val="10"/>
        <w:tblW w:w="13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887"/>
        <w:gridCol w:w="1000"/>
        <w:gridCol w:w="2300"/>
        <w:gridCol w:w="2218"/>
        <w:gridCol w:w="2070"/>
        <w:gridCol w:w="2075"/>
        <w:gridCol w:w="900"/>
        <w:gridCol w:w="837"/>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01"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序号</w:t>
            </w:r>
          </w:p>
        </w:tc>
        <w:tc>
          <w:tcPr>
            <w:tcW w:w="887"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事项</w:t>
            </w:r>
          </w:p>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名称</w:t>
            </w:r>
          </w:p>
        </w:tc>
        <w:tc>
          <w:tcPr>
            <w:tcW w:w="1000"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事项</w:t>
            </w:r>
          </w:p>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用途</w:t>
            </w:r>
          </w:p>
        </w:tc>
        <w:tc>
          <w:tcPr>
            <w:tcW w:w="8663" w:type="dxa"/>
            <w:gridSpan w:val="4"/>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设定依据</w:t>
            </w:r>
          </w:p>
        </w:tc>
        <w:tc>
          <w:tcPr>
            <w:tcW w:w="900"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索证</w:t>
            </w:r>
          </w:p>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部门</w:t>
            </w:r>
          </w:p>
        </w:tc>
        <w:tc>
          <w:tcPr>
            <w:tcW w:w="837"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出具</w:t>
            </w:r>
          </w:p>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部门</w:t>
            </w:r>
          </w:p>
        </w:tc>
        <w:tc>
          <w:tcPr>
            <w:tcW w:w="830" w:type="dxa"/>
            <w:vMerge w:val="restart"/>
            <w:vAlign w:val="center"/>
          </w:tcPr>
          <w:p>
            <w:pPr>
              <w:pStyle w:val="2"/>
              <w:spacing w:line="200" w:lineRule="exact"/>
              <w:jc w:val="center"/>
              <w:rPr>
                <w:rFonts w:ascii="黑体" w:hAnsi="黑体" w:eastAsia="黑体" w:cs="黑体"/>
                <w:kern w:val="0"/>
                <w:sz w:val="15"/>
                <w:szCs w:val="15"/>
              </w:rPr>
            </w:pPr>
            <w:r>
              <w:rPr>
                <w:rFonts w:hint="eastAsia" w:ascii="黑体" w:hAnsi="黑体" w:eastAsia="黑体" w:cs="黑体"/>
                <w:kern w:val="0"/>
                <w:sz w:val="15"/>
                <w:szCs w:val="15"/>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trPr>
        <w:tc>
          <w:tcPr>
            <w:tcW w:w="601" w:type="dxa"/>
            <w:vMerge w:val="continue"/>
            <w:vAlign w:val="center"/>
          </w:tcPr>
          <w:p>
            <w:pPr>
              <w:pStyle w:val="2"/>
              <w:spacing w:line="200" w:lineRule="exact"/>
              <w:jc w:val="center"/>
              <w:rPr>
                <w:rFonts w:ascii="黑体" w:hAnsi="黑体" w:eastAsia="黑体" w:cs="黑体"/>
                <w:kern w:val="0"/>
                <w:sz w:val="15"/>
                <w:szCs w:val="15"/>
              </w:rPr>
            </w:pPr>
          </w:p>
        </w:tc>
        <w:tc>
          <w:tcPr>
            <w:tcW w:w="887" w:type="dxa"/>
            <w:vMerge w:val="continue"/>
            <w:vAlign w:val="center"/>
          </w:tcPr>
          <w:p>
            <w:pPr>
              <w:pStyle w:val="2"/>
              <w:spacing w:line="200" w:lineRule="exact"/>
              <w:jc w:val="center"/>
              <w:rPr>
                <w:rFonts w:ascii="黑体" w:hAnsi="黑体" w:eastAsia="黑体" w:cs="黑体"/>
                <w:kern w:val="0"/>
                <w:sz w:val="15"/>
                <w:szCs w:val="15"/>
              </w:rPr>
            </w:pPr>
          </w:p>
        </w:tc>
        <w:tc>
          <w:tcPr>
            <w:tcW w:w="1000" w:type="dxa"/>
            <w:vMerge w:val="continue"/>
            <w:vAlign w:val="center"/>
          </w:tcPr>
          <w:p>
            <w:pPr>
              <w:pStyle w:val="2"/>
              <w:spacing w:line="200" w:lineRule="exact"/>
              <w:jc w:val="center"/>
              <w:rPr>
                <w:rFonts w:ascii="黑体" w:hAnsi="黑体" w:eastAsia="黑体" w:cs="黑体"/>
                <w:kern w:val="0"/>
                <w:sz w:val="15"/>
                <w:szCs w:val="15"/>
              </w:rPr>
            </w:pPr>
          </w:p>
        </w:tc>
        <w:tc>
          <w:tcPr>
            <w:tcW w:w="2300" w:type="dxa"/>
            <w:vAlign w:val="center"/>
          </w:tcPr>
          <w:p>
            <w:pPr>
              <w:pStyle w:val="2"/>
              <w:spacing w:line="200" w:lineRule="exact"/>
              <w:jc w:val="center"/>
              <w:rPr>
                <w:rFonts w:ascii="黑体" w:hAnsi="黑体" w:eastAsia="黑体" w:cs="黑体"/>
                <w:sz w:val="15"/>
                <w:szCs w:val="15"/>
              </w:rPr>
            </w:pPr>
            <w:r>
              <w:rPr>
                <w:rFonts w:hint="eastAsia" w:ascii="黑体" w:hAnsi="黑体" w:eastAsia="黑体" w:cs="黑体"/>
                <w:kern w:val="0"/>
                <w:sz w:val="15"/>
                <w:szCs w:val="15"/>
              </w:rPr>
              <w:t>法律</w:t>
            </w:r>
          </w:p>
        </w:tc>
        <w:tc>
          <w:tcPr>
            <w:tcW w:w="2218" w:type="dxa"/>
            <w:vAlign w:val="center"/>
          </w:tcPr>
          <w:p>
            <w:pPr>
              <w:pStyle w:val="2"/>
              <w:spacing w:line="200" w:lineRule="exact"/>
              <w:jc w:val="center"/>
              <w:rPr>
                <w:rFonts w:ascii="黑体" w:hAnsi="黑体" w:eastAsia="黑体" w:cs="黑体"/>
                <w:sz w:val="15"/>
                <w:szCs w:val="15"/>
              </w:rPr>
            </w:pPr>
            <w:r>
              <w:rPr>
                <w:rFonts w:ascii="黑体" w:hAnsi="黑体" w:eastAsia="黑体" w:cs="黑体"/>
                <w:kern w:val="0"/>
                <w:sz w:val="15"/>
                <w:szCs w:val="15"/>
              </w:rPr>
              <w:t>法规</w:t>
            </w:r>
          </w:p>
        </w:tc>
        <w:tc>
          <w:tcPr>
            <w:tcW w:w="2070" w:type="dxa"/>
            <w:vAlign w:val="center"/>
          </w:tcPr>
          <w:p>
            <w:pPr>
              <w:pStyle w:val="2"/>
              <w:spacing w:line="200" w:lineRule="exact"/>
              <w:jc w:val="center"/>
              <w:rPr>
                <w:rFonts w:ascii="黑体" w:hAnsi="黑体" w:eastAsia="黑体" w:cs="黑体"/>
                <w:sz w:val="15"/>
                <w:szCs w:val="15"/>
              </w:rPr>
            </w:pPr>
            <w:r>
              <w:rPr>
                <w:rFonts w:ascii="黑体" w:hAnsi="黑体" w:eastAsia="黑体" w:cs="黑体"/>
                <w:kern w:val="0"/>
                <w:sz w:val="15"/>
                <w:szCs w:val="15"/>
              </w:rPr>
              <w:t>国务院决定</w:t>
            </w:r>
          </w:p>
        </w:tc>
        <w:tc>
          <w:tcPr>
            <w:tcW w:w="2075" w:type="dxa"/>
            <w:vAlign w:val="center"/>
          </w:tcPr>
          <w:p>
            <w:pPr>
              <w:pStyle w:val="2"/>
              <w:spacing w:line="200" w:lineRule="exact"/>
              <w:jc w:val="center"/>
              <w:rPr>
                <w:rFonts w:ascii="黑体" w:hAnsi="黑体" w:eastAsia="黑体" w:cs="黑体"/>
                <w:sz w:val="15"/>
                <w:szCs w:val="15"/>
              </w:rPr>
            </w:pPr>
            <w:r>
              <w:rPr>
                <w:rFonts w:ascii="黑体" w:hAnsi="黑体" w:eastAsia="黑体" w:cs="黑体"/>
                <w:kern w:val="0"/>
                <w:sz w:val="15"/>
                <w:szCs w:val="15"/>
              </w:rPr>
              <w:t>规章等程序性规定</w:t>
            </w:r>
          </w:p>
        </w:tc>
        <w:tc>
          <w:tcPr>
            <w:tcW w:w="900" w:type="dxa"/>
            <w:vMerge w:val="continue"/>
            <w:vAlign w:val="center"/>
          </w:tcPr>
          <w:p>
            <w:pPr>
              <w:pStyle w:val="2"/>
              <w:spacing w:line="200" w:lineRule="exact"/>
              <w:jc w:val="center"/>
              <w:rPr>
                <w:rFonts w:ascii="黑体" w:hAnsi="黑体" w:eastAsia="黑体" w:cs="黑体"/>
                <w:kern w:val="0"/>
                <w:sz w:val="15"/>
                <w:szCs w:val="15"/>
              </w:rPr>
            </w:pPr>
          </w:p>
        </w:tc>
        <w:tc>
          <w:tcPr>
            <w:tcW w:w="837" w:type="dxa"/>
            <w:vMerge w:val="continue"/>
            <w:vAlign w:val="center"/>
          </w:tcPr>
          <w:p>
            <w:pPr>
              <w:pStyle w:val="2"/>
              <w:spacing w:line="200" w:lineRule="exact"/>
              <w:jc w:val="center"/>
              <w:rPr>
                <w:rFonts w:ascii="黑体" w:hAnsi="黑体" w:eastAsia="黑体" w:cs="黑体"/>
                <w:kern w:val="0"/>
                <w:sz w:val="15"/>
                <w:szCs w:val="15"/>
              </w:rPr>
            </w:pPr>
          </w:p>
        </w:tc>
        <w:tc>
          <w:tcPr>
            <w:tcW w:w="830" w:type="dxa"/>
            <w:vMerge w:val="continue"/>
            <w:vAlign w:val="center"/>
          </w:tcPr>
          <w:p>
            <w:pPr>
              <w:pStyle w:val="2"/>
              <w:spacing w:line="200" w:lineRule="exact"/>
              <w:jc w:val="center"/>
              <w:rPr>
                <w:rFonts w:ascii="黑体" w:hAnsi="黑体" w:eastAsia="黑体" w:cs="黑体"/>
                <w:kern w:val="0"/>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79</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企业法人清理债务完结证明</w:t>
            </w:r>
          </w:p>
        </w:tc>
        <w:tc>
          <w:tcPr>
            <w:tcW w:w="10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企业注销</w:t>
            </w:r>
          </w:p>
        </w:tc>
        <w:tc>
          <w:tcPr>
            <w:tcW w:w="2300" w:type="dxa"/>
            <w:vAlign w:val="center"/>
          </w:tcPr>
          <w:p>
            <w:pPr>
              <w:widowControl/>
              <w:spacing w:line="200" w:lineRule="exact"/>
              <w:rPr>
                <w:rFonts w:hAnsi="仿宋" w:cs="仿宋"/>
                <w:kern w:val="0"/>
                <w:sz w:val="15"/>
                <w:szCs w:val="15"/>
              </w:rPr>
            </w:pPr>
          </w:p>
        </w:tc>
        <w:tc>
          <w:tcPr>
            <w:tcW w:w="2218"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《企业法人登记管理条例》（国务院令第1号，2019年3月2日修正）第二十一条</w:t>
            </w:r>
          </w:p>
        </w:tc>
        <w:tc>
          <w:tcPr>
            <w:tcW w:w="2070" w:type="dxa"/>
            <w:vAlign w:val="center"/>
          </w:tcPr>
          <w:p>
            <w:pPr>
              <w:widowControl/>
              <w:spacing w:line="200" w:lineRule="exact"/>
              <w:rPr>
                <w:rFonts w:hAnsi="仿宋" w:cs="仿宋"/>
                <w:kern w:val="0"/>
                <w:sz w:val="15"/>
                <w:szCs w:val="15"/>
              </w:rPr>
            </w:pPr>
          </w:p>
        </w:tc>
        <w:tc>
          <w:tcPr>
            <w:tcW w:w="2075" w:type="dxa"/>
            <w:vAlign w:val="center"/>
          </w:tcPr>
          <w:p>
            <w:pPr>
              <w:widowControl/>
              <w:spacing w:line="200" w:lineRule="exact"/>
              <w:rPr>
                <w:rFonts w:hAnsi="仿宋" w:cs="仿宋"/>
                <w:kern w:val="0"/>
                <w:sz w:val="15"/>
                <w:szCs w:val="15"/>
              </w:rPr>
            </w:pPr>
          </w:p>
        </w:tc>
        <w:tc>
          <w:tcPr>
            <w:tcW w:w="9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省市场监管局，市、县市场监管局（或行政审批局）</w:t>
            </w:r>
          </w:p>
        </w:tc>
        <w:tc>
          <w:tcPr>
            <w:tcW w:w="837"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企业法人的主管部门（出资人）或清算组</w:t>
            </w:r>
          </w:p>
        </w:tc>
        <w:tc>
          <w:tcPr>
            <w:tcW w:w="830" w:type="dxa"/>
            <w:vAlign w:val="center"/>
          </w:tcPr>
          <w:p>
            <w:pPr>
              <w:widowControl/>
              <w:spacing w:line="200" w:lineRule="exact"/>
              <w:jc w:val="center"/>
              <w:textAlignment w:val="center"/>
              <w:rPr>
                <w:rFonts w:hAnsi="仿宋" w:cs="仿宋"/>
                <w:kern w:val="0"/>
                <w:sz w:val="15"/>
                <w:szCs w:val="15"/>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80</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企业法人迁移证明</w:t>
            </w:r>
          </w:p>
        </w:tc>
        <w:tc>
          <w:tcPr>
            <w:tcW w:w="10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企业注册</w:t>
            </w:r>
          </w:p>
        </w:tc>
        <w:tc>
          <w:tcPr>
            <w:tcW w:w="2300" w:type="dxa"/>
            <w:vAlign w:val="center"/>
          </w:tcPr>
          <w:p>
            <w:pPr>
              <w:widowControl/>
              <w:spacing w:line="200" w:lineRule="exact"/>
              <w:rPr>
                <w:rFonts w:hAnsi="仿宋" w:cs="仿宋"/>
                <w:kern w:val="0"/>
                <w:sz w:val="15"/>
                <w:szCs w:val="15"/>
              </w:rPr>
            </w:pPr>
          </w:p>
        </w:tc>
        <w:tc>
          <w:tcPr>
            <w:tcW w:w="2218"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《企业法人登记管理条例》（国务院令第1号，2019年3月2日修正）第十九条</w:t>
            </w:r>
          </w:p>
        </w:tc>
        <w:tc>
          <w:tcPr>
            <w:tcW w:w="2070" w:type="dxa"/>
            <w:vAlign w:val="center"/>
          </w:tcPr>
          <w:p>
            <w:pPr>
              <w:widowControl/>
              <w:spacing w:line="200" w:lineRule="exact"/>
              <w:rPr>
                <w:rFonts w:hAnsi="仿宋" w:cs="仿宋"/>
                <w:kern w:val="0"/>
                <w:sz w:val="15"/>
                <w:szCs w:val="15"/>
              </w:rPr>
            </w:pPr>
          </w:p>
        </w:tc>
        <w:tc>
          <w:tcPr>
            <w:tcW w:w="2075"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《企业法人登记管理条例施行细则》（2020年修正）第三十二条</w:t>
            </w:r>
          </w:p>
          <w:p>
            <w:pPr>
              <w:widowControl/>
              <w:spacing w:line="200" w:lineRule="exact"/>
              <w:textAlignment w:val="center"/>
              <w:rPr>
                <w:rFonts w:hAnsi="仿宋" w:cs="仿宋"/>
                <w:kern w:val="0"/>
                <w:sz w:val="15"/>
                <w:szCs w:val="15"/>
              </w:rPr>
            </w:pPr>
            <w:r>
              <w:rPr>
                <w:rFonts w:hint="eastAsia" w:hAnsi="仿宋" w:cs="仿宋"/>
                <w:kern w:val="0"/>
                <w:sz w:val="15"/>
                <w:szCs w:val="15"/>
              </w:rPr>
              <w:t>市场监督管理总局《内资企业登记提交材料规范》第54项</w:t>
            </w:r>
          </w:p>
        </w:tc>
        <w:tc>
          <w:tcPr>
            <w:tcW w:w="9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省市场监管局，市、县级市场监管部门、行政审批部门</w:t>
            </w:r>
          </w:p>
        </w:tc>
        <w:tc>
          <w:tcPr>
            <w:tcW w:w="837"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企业法人登记机关</w:t>
            </w:r>
          </w:p>
        </w:tc>
        <w:tc>
          <w:tcPr>
            <w:tcW w:w="830" w:type="dxa"/>
            <w:vAlign w:val="center"/>
          </w:tcPr>
          <w:p>
            <w:pPr>
              <w:widowControl/>
              <w:spacing w:line="200" w:lineRule="exact"/>
              <w:jc w:val="center"/>
              <w:textAlignment w:val="center"/>
              <w:rPr>
                <w:rFonts w:hAnsi="仿宋" w:cs="仿宋"/>
                <w:kern w:val="0"/>
                <w:sz w:val="15"/>
                <w:szCs w:val="15"/>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eastAsia" w:hAnsi="仿宋" w:eastAsia="仿宋" w:cs="仿宋"/>
                <w:kern w:val="0"/>
                <w:sz w:val="15"/>
                <w:szCs w:val="15"/>
                <w:highlight w:val="none"/>
                <w:lang w:eastAsia="zh-CN"/>
              </w:rPr>
            </w:pPr>
            <w:r>
              <w:rPr>
                <w:rFonts w:hint="eastAsia" w:hAnsi="仿宋" w:cs="仿宋"/>
                <w:kern w:val="0"/>
                <w:sz w:val="15"/>
                <w:szCs w:val="15"/>
                <w:highlight w:val="none"/>
              </w:rPr>
              <w:t>8</w:t>
            </w:r>
            <w:r>
              <w:rPr>
                <w:rFonts w:hint="eastAsia" w:hAnsi="仿宋" w:cs="仿宋"/>
                <w:kern w:val="0"/>
                <w:sz w:val="15"/>
                <w:szCs w:val="15"/>
                <w:highlight w:val="none"/>
                <w:lang w:val="en-US" w:eastAsia="zh-CN"/>
              </w:rPr>
              <w:t>1</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金融债权保全证明文件</w:t>
            </w:r>
          </w:p>
        </w:tc>
        <w:tc>
          <w:tcPr>
            <w:tcW w:w="10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非公司企业法人按《公司法》改制登记</w:t>
            </w:r>
          </w:p>
        </w:tc>
        <w:tc>
          <w:tcPr>
            <w:tcW w:w="2300" w:type="dxa"/>
            <w:vAlign w:val="center"/>
          </w:tcPr>
          <w:p>
            <w:pPr>
              <w:widowControl/>
              <w:spacing w:line="200" w:lineRule="exact"/>
              <w:rPr>
                <w:rFonts w:hAnsi="仿宋" w:cs="仿宋"/>
                <w:kern w:val="0"/>
                <w:sz w:val="15"/>
                <w:szCs w:val="15"/>
              </w:rPr>
            </w:pPr>
          </w:p>
        </w:tc>
        <w:tc>
          <w:tcPr>
            <w:tcW w:w="2218" w:type="dxa"/>
            <w:vAlign w:val="center"/>
          </w:tcPr>
          <w:p>
            <w:pPr>
              <w:widowControl/>
              <w:spacing w:line="200" w:lineRule="exact"/>
              <w:rPr>
                <w:rFonts w:hAnsi="仿宋" w:cs="仿宋"/>
                <w:kern w:val="0"/>
                <w:sz w:val="15"/>
                <w:szCs w:val="15"/>
              </w:rPr>
            </w:pPr>
          </w:p>
        </w:tc>
        <w:tc>
          <w:tcPr>
            <w:tcW w:w="2070" w:type="dxa"/>
            <w:vAlign w:val="center"/>
          </w:tcPr>
          <w:p>
            <w:pPr>
              <w:widowControl/>
              <w:spacing w:line="200" w:lineRule="exact"/>
              <w:rPr>
                <w:rFonts w:hAnsi="仿宋" w:cs="仿宋"/>
                <w:kern w:val="0"/>
                <w:sz w:val="15"/>
                <w:szCs w:val="15"/>
              </w:rPr>
            </w:pPr>
            <w:r>
              <w:rPr>
                <w:rFonts w:hint="eastAsia" w:hAnsi="仿宋" w:cs="仿宋"/>
                <w:kern w:val="0"/>
                <w:sz w:val="15"/>
                <w:szCs w:val="15"/>
              </w:rPr>
              <w:t>《国务院关于在国有中小企业和集体企业改制过程中加强金融债权管理的通知》（国发明电〔1998〕4号）</w:t>
            </w:r>
          </w:p>
          <w:p>
            <w:pPr>
              <w:widowControl/>
              <w:spacing w:line="200" w:lineRule="exact"/>
              <w:rPr>
                <w:rFonts w:hAnsi="仿宋" w:cs="仿宋"/>
                <w:kern w:val="0"/>
                <w:sz w:val="15"/>
                <w:szCs w:val="15"/>
              </w:rPr>
            </w:pPr>
            <w:r>
              <w:rPr>
                <w:rFonts w:hint="eastAsia" w:hAnsi="仿宋" w:cs="仿宋"/>
                <w:kern w:val="0"/>
                <w:sz w:val="15"/>
                <w:szCs w:val="15"/>
              </w:rPr>
              <w:t>按照《企业国有资产产权登记管理办法》（国务院令第192号）规定，国有中小企业改制发生产权变动时，应申请办理产权变更登记手续。有关部门在办理产权变更登记手续时，应要求改制企业提交有关金融机构出具的金融债权保全文件。</w:t>
            </w:r>
          </w:p>
        </w:tc>
        <w:tc>
          <w:tcPr>
            <w:tcW w:w="2075" w:type="dxa"/>
            <w:vAlign w:val="center"/>
          </w:tcPr>
          <w:p>
            <w:pPr>
              <w:widowControl/>
              <w:spacing w:line="200" w:lineRule="exact"/>
              <w:textAlignment w:val="center"/>
              <w:rPr>
                <w:rFonts w:hint="eastAsia" w:hAnsi="仿宋" w:eastAsia="仿宋" w:cs="仿宋"/>
                <w:kern w:val="0"/>
                <w:sz w:val="15"/>
                <w:szCs w:val="15"/>
                <w:lang w:eastAsia="zh-CN"/>
              </w:rPr>
            </w:pPr>
            <w:r>
              <w:rPr>
                <w:rFonts w:hint="eastAsia" w:hAnsi="仿宋" w:cs="仿宋"/>
                <w:kern w:val="0"/>
                <w:sz w:val="15"/>
                <w:szCs w:val="15"/>
              </w:rPr>
              <w:t>市场监督管理总局《内资企业登记提交材料规范》</w:t>
            </w:r>
          </w:p>
          <w:p>
            <w:pPr>
              <w:widowControl/>
              <w:spacing w:line="200" w:lineRule="exact"/>
              <w:textAlignment w:val="center"/>
              <w:rPr>
                <w:rFonts w:hAnsi="仿宋" w:cs="仿宋"/>
                <w:kern w:val="0"/>
                <w:sz w:val="15"/>
                <w:szCs w:val="15"/>
              </w:rPr>
            </w:pPr>
            <w:r>
              <w:rPr>
                <w:rFonts w:hint="eastAsia" w:hAnsi="仿宋" w:cs="仿宋"/>
                <w:kern w:val="0"/>
                <w:sz w:val="15"/>
                <w:szCs w:val="15"/>
              </w:rPr>
              <w:t xml:space="preserve">   三〔18〕非公司企业法人按《公司法》改制登记提交材料规范5、企业债权银行出具的金融债权保全证明文件和人民银行总行或其派出机构出具的确认文件（中小企业改制提交）。</w:t>
            </w:r>
          </w:p>
        </w:tc>
        <w:tc>
          <w:tcPr>
            <w:tcW w:w="9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省市场监管局，市、县行政审批局或市场监管局</w:t>
            </w:r>
          </w:p>
        </w:tc>
        <w:tc>
          <w:tcPr>
            <w:tcW w:w="837"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企业债权银行</w:t>
            </w:r>
          </w:p>
        </w:tc>
        <w:tc>
          <w:tcPr>
            <w:tcW w:w="830" w:type="dxa"/>
            <w:vAlign w:val="center"/>
          </w:tcPr>
          <w:p>
            <w:pPr>
              <w:widowControl/>
              <w:spacing w:line="200" w:lineRule="exact"/>
              <w:jc w:val="center"/>
              <w:textAlignment w:val="center"/>
              <w:rPr>
                <w:rFonts w:hAnsi="仿宋" w:cs="仿宋"/>
                <w:kern w:val="0"/>
                <w:sz w:val="15"/>
                <w:szCs w:val="15"/>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eastAsia" w:hAnsi="仿宋" w:eastAsia="仿宋" w:cs="仿宋"/>
                <w:kern w:val="0"/>
                <w:sz w:val="15"/>
                <w:szCs w:val="15"/>
                <w:highlight w:val="none"/>
                <w:lang w:val="en-US" w:eastAsia="zh-CN"/>
              </w:rPr>
            </w:pPr>
            <w:r>
              <w:rPr>
                <w:rFonts w:hint="eastAsia" w:hAnsi="仿宋" w:cs="仿宋"/>
                <w:kern w:val="0"/>
                <w:sz w:val="15"/>
                <w:szCs w:val="15"/>
                <w:highlight w:val="none"/>
              </w:rPr>
              <w:t>8</w:t>
            </w:r>
            <w:r>
              <w:rPr>
                <w:rFonts w:hint="eastAsia" w:hAnsi="仿宋" w:cs="仿宋"/>
                <w:kern w:val="0"/>
                <w:sz w:val="15"/>
                <w:szCs w:val="15"/>
                <w:highlight w:val="none"/>
                <w:lang w:val="en-US" w:eastAsia="zh-CN"/>
              </w:rPr>
              <w:t>2</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企业住所或生产地址名称变更的证明</w:t>
            </w:r>
          </w:p>
        </w:tc>
        <w:tc>
          <w:tcPr>
            <w:tcW w:w="10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企业办理工业产品生产许可证住所或生产地址名称变更</w:t>
            </w:r>
          </w:p>
        </w:tc>
        <w:tc>
          <w:tcPr>
            <w:tcW w:w="2300" w:type="dxa"/>
            <w:vAlign w:val="center"/>
          </w:tcPr>
          <w:p>
            <w:pPr>
              <w:widowControl/>
              <w:spacing w:line="200" w:lineRule="exact"/>
              <w:rPr>
                <w:rFonts w:hAnsi="仿宋" w:cs="仿宋"/>
                <w:kern w:val="0"/>
                <w:sz w:val="15"/>
                <w:szCs w:val="15"/>
              </w:rPr>
            </w:pPr>
          </w:p>
        </w:tc>
        <w:tc>
          <w:tcPr>
            <w:tcW w:w="2218" w:type="dxa"/>
            <w:vAlign w:val="center"/>
          </w:tcPr>
          <w:p>
            <w:pPr>
              <w:widowControl/>
              <w:spacing w:line="200" w:lineRule="exact"/>
              <w:rPr>
                <w:rFonts w:hAnsi="仿宋" w:cs="仿宋"/>
                <w:kern w:val="0"/>
                <w:sz w:val="15"/>
                <w:szCs w:val="15"/>
              </w:rPr>
            </w:pPr>
            <w:r>
              <w:rPr>
                <w:rFonts w:hint="eastAsia" w:hAnsi="仿宋" w:cs="仿宋"/>
                <w:kern w:val="0"/>
                <w:sz w:val="15"/>
                <w:szCs w:val="15"/>
              </w:rPr>
              <w:t>《工业产品生产许可证管理条例》（国务院令第440号）第十条</w:t>
            </w:r>
          </w:p>
        </w:tc>
        <w:tc>
          <w:tcPr>
            <w:tcW w:w="2070" w:type="dxa"/>
            <w:vAlign w:val="center"/>
          </w:tcPr>
          <w:p>
            <w:pPr>
              <w:widowControl/>
              <w:spacing w:line="200" w:lineRule="exact"/>
              <w:rPr>
                <w:rFonts w:hAnsi="仿宋" w:cs="仿宋"/>
                <w:kern w:val="0"/>
                <w:sz w:val="15"/>
                <w:szCs w:val="15"/>
              </w:rPr>
            </w:pPr>
          </w:p>
        </w:tc>
        <w:tc>
          <w:tcPr>
            <w:tcW w:w="2075"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《工业产品生产许可证实施细则通则》（国家市场监督管理总局公告2018年第26号）第十一条</w:t>
            </w:r>
          </w:p>
        </w:tc>
        <w:tc>
          <w:tcPr>
            <w:tcW w:w="900"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省市场监管局，市级市场监管部门、行政审批部门</w:t>
            </w:r>
          </w:p>
        </w:tc>
        <w:tc>
          <w:tcPr>
            <w:tcW w:w="837" w:type="dxa"/>
            <w:vAlign w:val="center"/>
          </w:tcPr>
          <w:p>
            <w:pPr>
              <w:widowControl/>
              <w:spacing w:line="200" w:lineRule="exact"/>
              <w:textAlignment w:val="center"/>
              <w:rPr>
                <w:rFonts w:hAnsi="仿宋" w:cs="仿宋"/>
                <w:kern w:val="0"/>
                <w:sz w:val="15"/>
                <w:szCs w:val="15"/>
              </w:rPr>
            </w:pPr>
            <w:r>
              <w:rPr>
                <w:rFonts w:hint="eastAsia" w:hAnsi="仿宋" w:cs="仿宋"/>
                <w:kern w:val="0"/>
                <w:sz w:val="15"/>
                <w:szCs w:val="15"/>
              </w:rPr>
              <w:t>企业所在地行政区划主管部门（地名办）</w:t>
            </w:r>
          </w:p>
        </w:tc>
        <w:tc>
          <w:tcPr>
            <w:tcW w:w="830" w:type="dxa"/>
            <w:vAlign w:val="center"/>
          </w:tcPr>
          <w:p>
            <w:pPr>
              <w:widowControl/>
              <w:spacing w:line="200" w:lineRule="exact"/>
              <w:jc w:val="center"/>
              <w:textAlignment w:val="center"/>
              <w:rPr>
                <w:rFonts w:hAnsi="仿宋" w:cs="仿宋"/>
                <w:kern w:val="0"/>
                <w:sz w:val="15"/>
                <w:szCs w:val="15"/>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85</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从业人员健康证明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用于办理食品小餐饮和小作坊登记</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《河北省食品小作坊小餐饮小摊点管理条例》（2016年7月1日施行）第十九条、第二十五条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rPr>
                <w:rFonts w:hAnsi="仿宋" w:cs="仿宋"/>
                <w:kern w:val="0"/>
                <w:sz w:val="15"/>
                <w:szCs w:val="15"/>
                <w:highlight w:val="none"/>
              </w:rPr>
            </w:pP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县级市场监管部门或行政审批部门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县级以上医疗机构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88</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姓名更改证明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申请股权出质变更登记</w:t>
            </w:r>
          </w:p>
        </w:tc>
        <w:tc>
          <w:tcPr>
            <w:tcW w:w="23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《中华人民共和国民法典》第四百四十条</w:t>
            </w:r>
          </w:p>
        </w:tc>
        <w:tc>
          <w:tcPr>
            <w:tcW w:w="2218" w:type="dxa"/>
            <w:vAlign w:val="center"/>
          </w:tcPr>
          <w:p>
            <w:pPr>
              <w:widowControl/>
              <w:spacing w:line="200" w:lineRule="exact"/>
              <w:rPr>
                <w:rFonts w:hAnsi="仿宋" w:cs="仿宋"/>
                <w:kern w:val="0"/>
                <w:sz w:val="15"/>
                <w:szCs w:val="15"/>
                <w:highlight w:val="none"/>
              </w:rPr>
            </w:pP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《工商行政管理机关股权出质登记办法》（国家工商行政管理局总令第32号）第九条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省市场监管局，市、县级市场监管部门、行政审批部门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户口所在地公安派出所、市场监管部门</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89</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变更股东或发起人名称或姓名的，提交股东或发起人名称或姓名变更证明（身份证、户口簿不能证明的）</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企业设立变更登记</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《中华人民共和国公司登记管理条例》（国务院令156号，2016年2月6日修正）第三十四条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公安部等12部门联合印发的《关于改进和规范公安派出所出具证明工作的意见》（公通字〔2016〕21号）第二条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省市场监管局，市、县级市场监管部门、行政审批部门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股东登记机关、户口所在地公安派出所</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97</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投入开发建设的资金已达工程建设总投资的25％以上的证明材料</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办理商品房预售许可证</w:t>
            </w:r>
          </w:p>
        </w:tc>
        <w:tc>
          <w:tcPr>
            <w:tcW w:w="2300" w:type="dxa"/>
            <w:vAlign w:val="center"/>
          </w:tcPr>
          <w:p>
            <w:pPr>
              <w:widowControl/>
              <w:spacing w:line="200" w:lineRule="exact"/>
              <w:textAlignment w:val="center"/>
              <w:rPr>
                <w:rFonts w:hAnsi="仿宋" w:cs="仿宋"/>
                <w:kern w:val="0"/>
                <w:sz w:val="15"/>
                <w:szCs w:val="15"/>
                <w:highlight w:val="none"/>
              </w:rPr>
            </w:pPr>
            <w:r>
              <w:rPr>
                <w:rStyle w:val="25"/>
                <w:rFonts w:ascii="仿宋" w:hAnsi="仿宋" w:eastAsia="仿宋" w:cs="仿宋"/>
                <w:color w:val="auto"/>
                <w:kern w:val="0"/>
                <w:sz w:val="15"/>
                <w:szCs w:val="15"/>
                <w:highlight w:val="none"/>
              </w:rPr>
              <w:t>《中华人民共和国城市房地产管理法》（2019年8月26日第三次修正）第四十五条</w:t>
            </w:r>
          </w:p>
        </w:tc>
        <w:tc>
          <w:tcPr>
            <w:tcW w:w="2218" w:type="dxa"/>
            <w:vAlign w:val="center"/>
          </w:tcPr>
          <w:p>
            <w:pPr>
              <w:widowControl/>
              <w:spacing w:line="200" w:lineRule="exact"/>
              <w:rPr>
                <w:rFonts w:hAnsi="仿宋" w:cs="仿宋"/>
                <w:kern w:val="0"/>
                <w:sz w:val="15"/>
                <w:szCs w:val="15"/>
                <w:highlight w:val="none"/>
              </w:rPr>
            </w:pP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《城市商品房预售管理办法》 （2004年7月20日建设部令第131号修改）第七条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监理单位、银行</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rPr>
              <w:t>1</w:t>
            </w:r>
            <w:r>
              <w:rPr>
                <w:rFonts w:hint="eastAsia" w:hAnsi="仿宋" w:cs="仿宋"/>
                <w:kern w:val="0"/>
                <w:sz w:val="15"/>
                <w:szCs w:val="15"/>
                <w:highlight w:val="none"/>
                <w:lang w:val="en-US" w:eastAsia="zh-CN"/>
              </w:rPr>
              <w:t>02</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法定代表人或主要负责人无无不符合申请设置医疗机构的情况证明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医疗机构执业登记（人体器官移植除 外）</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《医疗机构管理条例》（国务院令第149号，2016年2月6日修改）第十六条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《医疗机构管理条例实施细则》（自2017年4月1日起施行）第十二条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省卫生健康委、市、县行政审批局</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卫生健康、公安派出所等部门</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rPr>
              <w:t>1</w:t>
            </w:r>
            <w:r>
              <w:rPr>
                <w:rFonts w:hint="eastAsia" w:hAnsi="仿宋" w:cs="仿宋"/>
                <w:kern w:val="0"/>
                <w:sz w:val="15"/>
                <w:szCs w:val="15"/>
                <w:highlight w:val="none"/>
                <w:lang w:val="en-US" w:eastAsia="zh-CN"/>
              </w:rPr>
              <w:t>05</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护士执业注册需提供的医疗卫生机构拟聘用证明（不能够提供聘任书或聘任合同等文件的）</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护士执业注册</w:t>
            </w:r>
          </w:p>
        </w:tc>
        <w:tc>
          <w:tcPr>
            <w:tcW w:w="2300" w:type="dxa"/>
            <w:vAlign w:val="center"/>
          </w:tcPr>
          <w:p>
            <w:pPr>
              <w:widowControl/>
              <w:spacing w:line="200" w:lineRule="exact"/>
              <w:textAlignment w:val="center"/>
              <w:rPr>
                <w:rFonts w:hAnsi="仿宋" w:cs="仿宋"/>
                <w:kern w:val="0"/>
                <w:sz w:val="15"/>
                <w:szCs w:val="15"/>
                <w:highlight w:val="none"/>
              </w:rPr>
            </w:pPr>
          </w:p>
        </w:tc>
        <w:tc>
          <w:tcPr>
            <w:tcW w:w="2218" w:type="dxa"/>
            <w:vAlign w:val="center"/>
          </w:tcPr>
          <w:p>
            <w:pPr>
              <w:widowControl/>
              <w:spacing w:line="200" w:lineRule="exact"/>
              <w:rPr>
                <w:rFonts w:hAnsi="仿宋" w:cs="仿宋"/>
                <w:kern w:val="0"/>
                <w:sz w:val="15"/>
                <w:szCs w:val="15"/>
                <w:highlight w:val="none"/>
              </w:rPr>
            </w:pPr>
            <w:r>
              <w:rPr>
                <w:rFonts w:hint="eastAsia" w:hAnsi="仿宋" w:cs="仿宋"/>
                <w:kern w:val="0"/>
                <w:sz w:val="15"/>
                <w:szCs w:val="15"/>
                <w:highlight w:val="none"/>
              </w:rPr>
              <w:t>《护士条例》（国务院令第517号，2020年3月27日修订）第八条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《护士执业注册管理办法》（2008年卫生部令第59号，2021年1月8日修订）第九条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省、市、县卫生健康部门或行政审批部门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拟执业的医疗卫生机构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rPr>
              <w:t>1</w:t>
            </w:r>
            <w:r>
              <w:rPr>
                <w:rFonts w:hint="eastAsia" w:hAnsi="仿宋" w:cs="仿宋"/>
                <w:kern w:val="0"/>
                <w:sz w:val="15"/>
                <w:szCs w:val="15"/>
                <w:highlight w:val="none"/>
                <w:lang w:val="en-US" w:eastAsia="zh-CN"/>
              </w:rPr>
              <w:t>06</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健康体检证明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护士首次注册和延续注册</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《护士条例》（国务院令第517号）第七条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rPr>
                <w:rFonts w:hAnsi="仿宋" w:cs="仿宋"/>
                <w:kern w:val="0"/>
                <w:sz w:val="15"/>
                <w:szCs w:val="15"/>
                <w:highlight w:val="none"/>
              </w:rPr>
            </w:pP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市、县级行政审批部门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县级以上医疗机构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146</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验资证明或验资报告</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申请登记社会团体</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《社会团体登记管理条例》（国务院令第250号）第十一条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rPr>
                <w:rFonts w:hAnsi="仿宋" w:cs="仿宋"/>
                <w:kern w:val="0"/>
                <w:sz w:val="15"/>
                <w:szCs w:val="15"/>
                <w:highlight w:val="none"/>
              </w:rPr>
            </w:pP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省民政厅，市、县行政审批部门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具有法定资格的验资机构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spacing w:line="200" w:lineRule="exact"/>
              <w:jc w:val="center"/>
              <w:textAlignment w:val="center"/>
              <w:rPr>
                <w:rFonts w:hint="default" w:hAnsi="仿宋" w:eastAsia="仿宋" w:cs="仿宋"/>
                <w:kern w:val="0"/>
                <w:sz w:val="15"/>
                <w:szCs w:val="15"/>
                <w:highlight w:val="none"/>
                <w:lang w:val="en-US" w:eastAsia="zh-CN"/>
              </w:rPr>
            </w:pPr>
            <w:r>
              <w:rPr>
                <w:rFonts w:hint="eastAsia" w:hAnsi="仿宋" w:cs="仿宋"/>
                <w:kern w:val="0"/>
                <w:sz w:val="15"/>
                <w:szCs w:val="15"/>
                <w:highlight w:val="none"/>
                <w:lang w:val="en-US" w:eastAsia="zh-CN"/>
              </w:rPr>
              <w:t>147</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验资报告</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民办非企业单位登记</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《民办非企业单位登记管理暂行条例》（国务院令第251号）</w:t>
            </w:r>
            <w:r>
              <w:rPr>
                <w:rStyle w:val="27"/>
                <w:rFonts w:ascii="仿宋" w:hAnsi="仿宋" w:eastAsia="仿宋" w:cs="仿宋"/>
                <w:color w:val="auto"/>
                <w:kern w:val="0"/>
                <w:sz w:val="15"/>
                <w:szCs w:val="15"/>
                <w:highlight w:val="none"/>
              </w:rPr>
              <w:t>第九条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rPr>
                <w:rFonts w:hAnsi="仿宋" w:cs="仿宋"/>
                <w:kern w:val="0"/>
                <w:sz w:val="15"/>
                <w:szCs w:val="15"/>
                <w:highlight w:val="none"/>
              </w:rPr>
            </w:pP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市、县行政审批部门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具有法定资格的验资机构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 w:hRule="atLeast"/>
        </w:trPr>
        <w:tc>
          <w:tcPr>
            <w:tcW w:w="601" w:type="dxa"/>
            <w:vAlign w:val="center"/>
          </w:tcPr>
          <w:p>
            <w:pPr>
              <w:widowControl/>
              <w:jc w:val="center"/>
              <w:textAlignment w:val="center"/>
              <w:rPr>
                <w:rFonts w:hint="default" w:hAnsi="仿宋" w:eastAsia="仿宋" w:cs="仿宋"/>
                <w:kern w:val="0"/>
                <w:sz w:val="15"/>
                <w:szCs w:val="15"/>
                <w:highlight w:val="none"/>
                <w:lang w:val="en-US" w:eastAsia="zh-CN"/>
              </w:rPr>
            </w:pPr>
            <w:r>
              <w:rPr>
                <w:rFonts w:hint="eastAsia" w:ascii="宋体" w:eastAsia="宋体" w:cs="宋体"/>
                <w:color w:val="000000"/>
                <w:kern w:val="0"/>
                <w:sz w:val="15"/>
                <w:szCs w:val="15"/>
                <w:highlight w:val="none"/>
                <w:lang w:val="en-US" w:eastAsia="zh-CN"/>
              </w:rPr>
              <w:t>173</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当地兽药管理部门出具的企业没有违规经销假劣兽药行为的证明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兽药经营许可证核发</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《中华人民共和国兽药管理条例》（国务院令第404号)第五十六条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《河北省兽药GSP检查验收办法》（2010年7月7日公布）第十一条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市、县级行政审批部门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县级兽药管理部门</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601" w:type="dxa"/>
            <w:vAlign w:val="center"/>
          </w:tcPr>
          <w:p>
            <w:pPr>
              <w:widowControl/>
              <w:jc w:val="center"/>
              <w:textAlignment w:val="center"/>
              <w:rPr>
                <w:rFonts w:hint="default" w:hAnsi="仿宋" w:eastAsia="仿宋" w:cs="仿宋"/>
                <w:kern w:val="0"/>
                <w:sz w:val="15"/>
                <w:szCs w:val="15"/>
                <w:highlight w:val="none"/>
                <w:lang w:val="en-US" w:eastAsia="zh-CN"/>
              </w:rPr>
            </w:pPr>
            <w:r>
              <w:rPr>
                <w:rFonts w:hint="eastAsia" w:ascii="宋体" w:eastAsia="宋体" w:cs="宋体"/>
                <w:color w:val="000000"/>
                <w:kern w:val="0"/>
                <w:sz w:val="15"/>
                <w:szCs w:val="15"/>
                <w:highlight w:val="none"/>
                <w:lang w:val="en-US" w:eastAsia="zh-CN"/>
              </w:rPr>
              <w:t>174</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从事生鲜乳运输的驾驶员、押运员健康证明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生鲜乳准运证明</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《乳品质量安全监督管理条例》（国务院令第536号）第二十条、第二十五条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《生鲜乳生产收购管理办法》（2008年农业部令第15号）第二十九条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县级以上医疗机构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01" w:type="dxa"/>
            <w:vAlign w:val="center"/>
          </w:tcPr>
          <w:p>
            <w:pPr>
              <w:widowControl/>
              <w:jc w:val="center"/>
              <w:textAlignment w:val="center"/>
              <w:rPr>
                <w:rFonts w:hint="default" w:hAnsi="仿宋" w:eastAsia="仿宋" w:cs="仿宋"/>
                <w:kern w:val="0"/>
                <w:sz w:val="15"/>
                <w:szCs w:val="15"/>
                <w:highlight w:val="none"/>
                <w:lang w:val="en-US" w:eastAsia="zh-CN"/>
              </w:rPr>
            </w:pPr>
            <w:r>
              <w:rPr>
                <w:rFonts w:hint="eastAsia" w:ascii="宋体" w:eastAsia="宋体" w:cs="宋体"/>
                <w:color w:val="000000"/>
                <w:kern w:val="0"/>
                <w:sz w:val="15"/>
                <w:szCs w:val="15"/>
                <w:highlight w:val="none"/>
                <w:lang w:val="en-US" w:eastAsia="zh-CN"/>
              </w:rPr>
              <w:t>175</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生鲜乳收购从业人员健康证明</w:t>
            </w:r>
            <w:bookmarkStart w:id="0" w:name="_GoBack"/>
            <w:bookmarkEnd w:id="0"/>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生鲜乳收购许可</w:t>
            </w:r>
          </w:p>
        </w:tc>
        <w:tc>
          <w:tcPr>
            <w:tcW w:w="2300" w:type="dxa"/>
            <w:vAlign w:val="center"/>
          </w:tcPr>
          <w:p>
            <w:pPr>
              <w:widowControl/>
              <w:spacing w:line="200" w:lineRule="exact"/>
              <w:rPr>
                <w:rFonts w:hAnsi="仿宋" w:cs="仿宋"/>
                <w:kern w:val="0"/>
                <w:sz w:val="15"/>
                <w:szCs w:val="15"/>
                <w:highlight w:val="none"/>
              </w:rPr>
            </w:pPr>
          </w:p>
        </w:tc>
        <w:tc>
          <w:tcPr>
            <w:tcW w:w="2218" w:type="dxa"/>
            <w:vAlign w:val="center"/>
          </w:tcPr>
          <w:p>
            <w:pPr>
              <w:widowControl/>
              <w:spacing w:line="200" w:lineRule="exact"/>
              <w:jc w:val="left"/>
              <w:textAlignment w:val="center"/>
              <w:rPr>
                <w:rFonts w:hAnsi="仿宋" w:cs="仿宋"/>
                <w:kern w:val="0"/>
                <w:sz w:val="15"/>
                <w:szCs w:val="15"/>
                <w:highlight w:val="none"/>
              </w:rPr>
            </w:pPr>
            <w:r>
              <w:rPr>
                <w:rFonts w:hint="eastAsia" w:hAnsi="仿宋" w:cs="仿宋"/>
                <w:kern w:val="0"/>
                <w:sz w:val="15"/>
                <w:szCs w:val="15"/>
                <w:highlight w:val="none"/>
              </w:rPr>
              <w:t>《乳品质量安全监督管理条例》（国务院令第536号）第二十条</w:t>
            </w: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《生鲜乳生产收购管理办法》（2008年农业部令第15号）第十八条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县级以上医疗机构</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01" w:type="dxa"/>
            <w:vAlign w:val="center"/>
          </w:tcPr>
          <w:p>
            <w:pPr>
              <w:widowControl/>
              <w:jc w:val="center"/>
              <w:textAlignment w:val="center"/>
              <w:rPr>
                <w:rFonts w:hint="default" w:hAnsi="仿宋" w:eastAsia="仿宋" w:cs="仿宋"/>
                <w:kern w:val="0"/>
                <w:sz w:val="15"/>
                <w:szCs w:val="15"/>
                <w:highlight w:val="none"/>
                <w:lang w:val="en-US" w:eastAsia="zh-CN"/>
              </w:rPr>
            </w:pPr>
            <w:r>
              <w:rPr>
                <w:rFonts w:hint="eastAsia" w:ascii="宋体" w:eastAsia="宋体" w:cs="宋体"/>
                <w:color w:val="000000"/>
                <w:kern w:val="0"/>
                <w:sz w:val="15"/>
                <w:szCs w:val="15"/>
                <w:highlight w:val="none"/>
                <w:lang w:val="en-US" w:eastAsia="zh-CN"/>
              </w:rPr>
              <w:t>184</w:t>
            </w:r>
          </w:p>
        </w:tc>
        <w:tc>
          <w:tcPr>
            <w:tcW w:w="88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活动场地同意使用的证明</w:t>
            </w:r>
          </w:p>
        </w:tc>
        <w:tc>
          <w:tcPr>
            <w:tcW w:w="10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举办健身气功活动及设立站点审批</w:t>
            </w:r>
          </w:p>
        </w:tc>
        <w:tc>
          <w:tcPr>
            <w:tcW w:w="23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《中华人民共和国体育法》（2016年11月7日修正）第四十三条</w:t>
            </w:r>
          </w:p>
        </w:tc>
        <w:tc>
          <w:tcPr>
            <w:tcW w:w="2218" w:type="dxa"/>
            <w:vAlign w:val="center"/>
          </w:tcPr>
          <w:p>
            <w:pPr>
              <w:widowControl/>
              <w:spacing w:line="200" w:lineRule="exact"/>
              <w:rPr>
                <w:rFonts w:hAnsi="仿宋" w:cs="仿宋"/>
                <w:kern w:val="0"/>
                <w:sz w:val="15"/>
                <w:szCs w:val="15"/>
                <w:highlight w:val="none"/>
              </w:rPr>
            </w:pPr>
          </w:p>
        </w:tc>
        <w:tc>
          <w:tcPr>
            <w:tcW w:w="2070" w:type="dxa"/>
            <w:vAlign w:val="center"/>
          </w:tcPr>
          <w:p>
            <w:pPr>
              <w:widowControl/>
              <w:spacing w:line="200" w:lineRule="exact"/>
              <w:rPr>
                <w:rFonts w:hAnsi="仿宋" w:cs="仿宋"/>
                <w:kern w:val="0"/>
                <w:sz w:val="15"/>
                <w:szCs w:val="15"/>
                <w:highlight w:val="none"/>
              </w:rPr>
            </w:pPr>
          </w:p>
        </w:tc>
        <w:tc>
          <w:tcPr>
            <w:tcW w:w="2075"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《健身气功管理办法》（2006年国家体育总局令第9号）第十三条</w:t>
            </w:r>
          </w:p>
        </w:tc>
        <w:tc>
          <w:tcPr>
            <w:tcW w:w="900"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县级行政审批部门</w:t>
            </w:r>
          </w:p>
        </w:tc>
        <w:tc>
          <w:tcPr>
            <w:tcW w:w="837" w:type="dxa"/>
            <w:vAlign w:val="center"/>
          </w:tcPr>
          <w:p>
            <w:pPr>
              <w:widowControl/>
              <w:spacing w:line="200" w:lineRule="exact"/>
              <w:textAlignment w:val="center"/>
              <w:rPr>
                <w:rFonts w:hAnsi="仿宋" w:cs="仿宋"/>
                <w:kern w:val="0"/>
                <w:sz w:val="15"/>
                <w:szCs w:val="15"/>
                <w:highlight w:val="none"/>
              </w:rPr>
            </w:pPr>
            <w:r>
              <w:rPr>
                <w:rFonts w:hint="eastAsia" w:hAnsi="仿宋" w:cs="仿宋"/>
                <w:kern w:val="0"/>
                <w:sz w:val="15"/>
                <w:szCs w:val="15"/>
                <w:highlight w:val="none"/>
              </w:rPr>
              <w:t>活动场地管理者</w:t>
            </w:r>
          </w:p>
        </w:tc>
        <w:tc>
          <w:tcPr>
            <w:tcW w:w="830" w:type="dxa"/>
            <w:vAlign w:val="center"/>
          </w:tcPr>
          <w:p>
            <w:pPr>
              <w:widowControl/>
              <w:spacing w:line="200" w:lineRule="exact"/>
              <w:jc w:val="center"/>
              <w:textAlignment w:val="center"/>
              <w:rPr>
                <w:rFonts w:hAnsi="仿宋" w:cs="仿宋"/>
                <w:kern w:val="0"/>
                <w:sz w:val="15"/>
                <w:szCs w:val="15"/>
                <w:highlight w:val="none"/>
                <w:u w:val="single"/>
              </w:rPr>
            </w:pPr>
          </w:p>
        </w:tc>
      </w:tr>
    </w:tbl>
    <w:p>
      <w:pPr>
        <w:pStyle w:val="2"/>
        <w:spacing w:line="520" w:lineRule="exact"/>
        <w:jc w:val="left"/>
        <w:rPr>
          <w:rFonts w:ascii="黑体" w:hAnsi="黑体" w:eastAsia="黑体" w:cs="黑体"/>
          <w:sz w:val="32"/>
          <w:highlight w:val="none"/>
        </w:rPr>
      </w:pPr>
    </w:p>
    <w:p>
      <w:pPr>
        <w:pStyle w:val="17"/>
        <w:rPr>
          <w:rFonts w:hint="default" w:eastAsia="仿宋"/>
          <w:color w:val="auto"/>
          <w:lang w:val="en-US" w:eastAsia="zh-CN"/>
        </w:rPr>
        <w:sectPr>
          <w:footerReference r:id="rId3" w:type="default"/>
          <w:pgSz w:w="16838" w:h="11906" w:orient="landscape"/>
          <w:pgMar w:top="1588" w:right="1928" w:bottom="1474" w:left="1814" w:header="851" w:footer="1531" w:gutter="0"/>
          <w:pgNumType w:fmt="decimal"/>
          <w:cols w:space="720" w:num="1"/>
          <w:docGrid w:type="linesAndChars" w:linePitch="595" w:charSpace="-849"/>
        </w:sectPr>
      </w:pPr>
    </w:p>
    <w:p>
      <w:pPr>
        <w:pStyle w:val="17"/>
        <w:rPr>
          <w:rFonts w:hint="eastAsia" w:eastAsia="仿宋"/>
          <w:color w:val="auto"/>
          <w:lang w:eastAsia="zh-CN"/>
        </w:rPr>
      </w:pPr>
    </w:p>
    <w:sectPr>
      <w:pgSz w:w="11906" w:h="16838"/>
      <w:pgMar w:top="1928" w:right="1474" w:bottom="1814" w:left="1588" w:header="851" w:footer="1531" w:gutter="0"/>
      <w:pgNumType w:fmt="decimal"/>
      <w:cols w:space="720" w:num="1"/>
      <w:docGrid w:type="linesAndChars" w:linePitch="595"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小标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0000000000000000000"/>
    <w:charset w:val="86"/>
    <w:family w:val="auto"/>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37</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fupl/LAQAAnAMAAA4AAAAAAAAAAQAgAAAAHgEAAGRycy9lMm9E&#10;b2MueG1sUEsFBgAAAAAGAAYAWQEAAFs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mirrorMargins w:val="1"/>
  <w:documentProtection w:enforcement="0"/>
  <w:defaultTabStop w:val="420"/>
  <w:drawingGridHorizontalSpacing w:val="158"/>
  <w:drawingGridVerticalSpacing w:val="595"/>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2M2MxN2IxNDM3MGZiYmE5ZmJkOTNkOGQxOGE2OTAifQ=="/>
  </w:docVars>
  <w:rsids>
    <w:rsidRoot w:val="576C591B"/>
    <w:rsid w:val="000169A0"/>
    <w:rsid w:val="00023F77"/>
    <w:rsid w:val="00024431"/>
    <w:rsid w:val="00057B07"/>
    <w:rsid w:val="00074D3B"/>
    <w:rsid w:val="000811F5"/>
    <w:rsid w:val="00095A31"/>
    <w:rsid w:val="000B4430"/>
    <w:rsid w:val="000C4D3D"/>
    <w:rsid w:val="000E5B6E"/>
    <w:rsid w:val="00103867"/>
    <w:rsid w:val="00106E10"/>
    <w:rsid w:val="00106FB6"/>
    <w:rsid w:val="00114A7F"/>
    <w:rsid w:val="001379FE"/>
    <w:rsid w:val="00142BA2"/>
    <w:rsid w:val="00153D1A"/>
    <w:rsid w:val="001772F3"/>
    <w:rsid w:val="0019493D"/>
    <w:rsid w:val="001C08C6"/>
    <w:rsid w:val="001C0AF5"/>
    <w:rsid w:val="001E289F"/>
    <w:rsid w:val="001E313A"/>
    <w:rsid w:val="0020568D"/>
    <w:rsid w:val="00213774"/>
    <w:rsid w:val="0022257C"/>
    <w:rsid w:val="002532EB"/>
    <w:rsid w:val="00283178"/>
    <w:rsid w:val="00291721"/>
    <w:rsid w:val="002C4A49"/>
    <w:rsid w:val="002E4AE5"/>
    <w:rsid w:val="00307089"/>
    <w:rsid w:val="00345B67"/>
    <w:rsid w:val="0036046B"/>
    <w:rsid w:val="003A2189"/>
    <w:rsid w:val="003A28B2"/>
    <w:rsid w:val="003C08E9"/>
    <w:rsid w:val="003C485B"/>
    <w:rsid w:val="003D6247"/>
    <w:rsid w:val="003D6445"/>
    <w:rsid w:val="003E5E3B"/>
    <w:rsid w:val="003F76C4"/>
    <w:rsid w:val="00403BC0"/>
    <w:rsid w:val="00411B8B"/>
    <w:rsid w:val="00413902"/>
    <w:rsid w:val="004301FD"/>
    <w:rsid w:val="00476A55"/>
    <w:rsid w:val="00477B88"/>
    <w:rsid w:val="00481B9B"/>
    <w:rsid w:val="004A0018"/>
    <w:rsid w:val="004B06A1"/>
    <w:rsid w:val="004B7B88"/>
    <w:rsid w:val="004C16E6"/>
    <w:rsid w:val="004C2140"/>
    <w:rsid w:val="004C2436"/>
    <w:rsid w:val="004D0BAD"/>
    <w:rsid w:val="004F5424"/>
    <w:rsid w:val="005051DF"/>
    <w:rsid w:val="0054409C"/>
    <w:rsid w:val="005B0EF3"/>
    <w:rsid w:val="005F53B2"/>
    <w:rsid w:val="005F7731"/>
    <w:rsid w:val="00612DC1"/>
    <w:rsid w:val="00636467"/>
    <w:rsid w:val="0067018E"/>
    <w:rsid w:val="006938DB"/>
    <w:rsid w:val="006956FD"/>
    <w:rsid w:val="006A1FE8"/>
    <w:rsid w:val="006B51AB"/>
    <w:rsid w:val="006B5535"/>
    <w:rsid w:val="006E325F"/>
    <w:rsid w:val="00720828"/>
    <w:rsid w:val="00746606"/>
    <w:rsid w:val="0075437B"/>
    <w:rsid w:val="007635BF"/>
    <w:rsid w:val="00765034"/>
    <w:rsid w:val="00774635"/>
    <w:rsid w:val="00796F6A"/>
    <w:rsid w:val="007A0FEC"/>
    <w:rsid w:val="007E1492"/>
    <w:rsid w:val="007F7647"/>
    <w:rsid w:val="00845F5A"/>
    <w:rsid w:val="00865168"/>
    <w:rsid w:val="008676E9"/>
    <w:rsid w:val="00871548"/>
    <w:rsid w:val="008D17CA"/>
    <w:rsid w:val="008E5A99"/>
    <w:rsid w:val="008F0552"/>
    <w:rsid w:val="008F0D49"/>
    <w:rsid w:val="008F5124"/>
    <w:rsid w:val="00946383"/>
    <w:rsid w:val="0094799A"/>
    <w:rsid w:val="00984CEB"/>
    <w:rsid w:val="00997A51"/>
    <w:rsid w:val="009E07ED"/>
    <w:rsid w:val="00A3468F"/>
    <w:rsid w:val="00A51890"/>
    <w:rsid w:val="00A53183"/>
    <w:rsid w:val="00A55D19"/>
    <w:rsid w:val="00A842BD"/>
    <w:rsid w:val="00A90335"/>
    <w:rsid w:val="00AA3962"/>
    <w:rsid w:val="00AB3D14"/>
    <w:rsid w:val="00AE5332"/>
    <w:rsid w:val="00AF4FF6"/>
    <w:rsid w:val="00B32032"/>
    <w:rsid w:val="00B645D6"/>
    <w:rsid w:val="00B81943"/>
    <w:rsid w:val="00B861FD"/>
    <w:rsid w:val="00BB2ABC"/>
    <w:rsid w:val="00BB42A3"/>
    <w:rsid w:val="00C12F1A"/>
    <w:rsid w:val="00C132BC"/>
    <w:rsid w:val="00C15BD8"/>
    <w:rsid w:val="00C7192A"/>
    <w:rsid w:val="00C80F63"/>
    <w:rsid w:val="00C973ED"/>
    <w:rsid w:val="00CD1DEB"/>
    <w:rsid w:val="00CE60EE"/>
    <w:rsid w:val="00CF74ED"/>
    <w:rsid w:val="00D16CB7"/>
    <w:rsid w:val="00D24E37"/>
    <w:rsid w:val="00D33985"/>
    <w:rsid w:val="00D3434A"/>
    <w:rsid w:val="00D64F6B"/>
    <w:rsid w:val="00D73151"/>
    <w:rsid w:val="00DB26A4"/>
    <w:rsid w:val="00DC5E34"/>
    <w:rsid w:val="00DE3E36"/>
    <w:rsid w:val="00E23C05"/>
    <w:rsid w:val="00E24B91"/>
    <w:rsid w:val="00E311CF"/>
    <w:rsid w:val="00E4313B"/>
    <w:rsid w:val="00E529DC"/>
    <w:rsid w:val="00E569A4"/>
    <w:rsid w:val="00EB0534"/>
    <w:rsid w:val="00EB20B2"/>
    <w:rsid w:val="00EB43B8"/>
    <w:rsid w:val="00F365D5"/>
    <w:rsid w:val="00F4346F"/>
    <w:rsid w:val="00F56B8B"/>
    <w:rsid w:val="00F66F37"/>
    <w:rsid w:val="00F81B5D"/>
    <w:rsid w:val="00FA720E"/>
    <w:rsid w:val="00FB0B32"/>
    <w:rsid w:val="00FE6B72"/>
    <w:rsid w:val="00FF0236"/>
    <w:rsid w:val="00FF2607"/>
    <w:rsid w:val="01091EF8"/>
    <w:rsid w:val="01EA587B"/>
    <w:rsid w:val="02AD3E8C"/>
    <w:rsid w:val="03D719A3"/>
    <w:rsid w:val="04EF5C88"/>
    <w:rsid w:val="058746DE"/>
    <w:rsid w:val="05934541"/>
    <w:rsid w:val="05E9105E"/>
    <w:rsid w:val="071236C1"/>
    <w:rsid w:val="07FEC1A5"/>
    <w:rsid w:val="080C64B4"/>
    <w:rsid w:val="08203297"/>
    <w:rsid w:val="0969246D"/>
    <w:rsid w:val="09B90B7A"/>
    <w:rsid w:val="0A8F4AFC"/>
    <w:rsid w:val="0B620C2D"/>
    <w:rsid w:val="0B7D745C"/>
    <w:rsid w:val="0B9902C3"/>
    <w:rsid w:val="0BEF9190"/>
    <w:rsid w:val="0CD0422A"/>
    <w:rsid w:val="0CD400D8"/>
    <w:rsid w:val="0D484F24"/>
    <w:rsid w:val="0DB94A5C"/>
    <w:rsid w:val="0E2333F1"/>
    <w:rsid w:val="0F6B5369"/>
    <w:rsid w:val="117E0DBA"/>
    <w:rsid w:val="13F618A5"/>
    <w:rsid w:val="14FF2E10"/>
    <w:rsid w:val="151F2056"/>
    <w:rsid w:val="164F43CB"/>
    <w:rsid w:val="165962C7"/>
    <w:rsid w:val="175D2949"/>
    <w:rsid w:val="17B36813"/>
    <w:rsid w:val="17FA9015"/>
    <w:rsid w:val="1954059A"/>
    <w:rsid w:val="19800FD7"/>
    <w:rsid w:val="1A390FDA"/>
    <w:rsid w:val="1A61475C"/>
    <w:rsid w:val="1A6D4637"/>
    <w:rsid w:val="1ADE03BC"/>
    <w:rsid w:val="1B3C1ED1"/>
    <w:rsid w:val="1B7D71C1"/>
    <w:rsid w:val="1C2746DE"/>
    <w:rsid w:val="1C5841A4"/>
    <w:rsid w:val="1CA10C76"/>
    <w:rsid w:val="1CB26237"/>
    <w:rsid w:val="1D220BB3"/>
    <w:rsid w:val="1D314152"/>
    <w:rsid w:val="1D744AD6"/>
    <w:rsid w:val="1DDBCB47"/>
    <w:rsid w:val="1E9C0100"/>
    <w:rsid w:val="1FCC4909"/>
    <w:rsid w:val="1FDF8801"/>
    <w:rsid w:val="1FE50899"/>
    <w:rsid w:val="208A771C"/>
    <w:rsid w:val="213A454D"/>
    <w:rsid w:val="214C44BB"/>
    <w:rsid w:val="2197E4F5"/>
    <w:rsid w:val="21B3495E"/>
    <w:rsid w:val="21C6015F"/>
    <w:rsid w:val="22634641"/>
    <w:rsid w:val="24585C7F"/>
    <w:rsid w:val="25EE955F"/>
    <w:rsid w:val="270E567A"/>
    <w:rsid w:val="27317960"/>
    <w:rsid w:val="27B7E0AA"/>
    <w:rsid w:val="2858552C"/>
    <w:rsid w:val="29574639"/>
    <w:rsid w:val="29C14611"/>
    <w:rsid w:val="2A4F72A1"/>
    <w:rsid w:val="2A511591"/>
    <w:rsid w:val="2AB24CA6"/>
    <w:rsid w:val="2B0A1BDE"/>
    <w:rsid w:val="2BFB6842"/>
    <w:rsid w:val="2C073A2E"/>
    <w:rsid w:val="2CCA8231"/>
    <w:rsid w:val="2CEB3524"/>
    <w:rsid w:val="2D8016E0"/>
    <w:rsid w:val="2DA04A51"/>
    <w:rsid w:val="2F0735DD"/>
    <w:rsid w:val="2F107978"/>
    <w:rsid w:val="2F4074EF"/>
    <w:rsid w:val="2F6A2F2E"/>
    <w:rsid w:val="30D7612C"/>
    <w:rsid w:val="30F603E5"/>
    <w:rsid w:val="31641291"/>
    <w:rsid w:val="318B1822"/>
    <w:rsid w:val="31B91625"/>
    <w:rsid w:val="321D6769"/>
    <w:rsid w:val="33077FDD"/>
    <w:rsid w:val="33246063"/>
    <w:rsid w:val="333FD19F"/>
    <w:rsid w:val="340A0F69"/>
    <w:rsid w:val="34B41C7B"/>
    <w:rsid w:val="34D45CCC"/>
    <w:rsid w:val="34D5145B"/>
    <w:rsid w:val="35FB9406"/>
    <w:rsid w:val="36162CA4"/>
    <w:rsid w:val="365136DC"/>
    <w:rsid w:val="3701572F"/>
    <w:rsid w:val="37251627"/>
    <w:rsid w:val="3754329E"/>
    <w:rsid w:val="377F94B4"/>
    <w:rsid w:val="37D7F1AE"/>
    <w:rsid w:val="38321307"/>
    <w:rsid w:val="38CE7BED"/>
    <w:rsid w:val="38EE192A"/>
    <w:rsid w:val="3931060F"/>
    <w:rsid w:val="398E0AC6"/>
    <w:rsid w:val="3A48133A"/>
    <w:rsid w:val="3A7F580C"/>
    <w:rsid w:val="3ABD1900"/>
    <w:rsid w:val="3AD76784"/>
    <w:rsid w:val="3AFF5A97"/>
    <w:rsid w:val="3B883EDC"/>
    <w:rsid w:val="3B911CBD"/>
    <w:rsid w:val="3BBC450D"/>
    <w:rsid w:val="3BFC6459"/>
    <w:rsid w:val="3C540242"/>
    <w:rsid w:val="3C602759"/>
    <w:rsid w:val="3C8B56D3"/>
    <w:rsid w:val="3CF165A4"/>
    <w:rsid w:val="3DE96B72"/>
    <w:rsid w:val="3E321823"/>
    <w:rsid w:val="3E4B5393"/>
    <w:rsid w:val="3EB37388"/>
    <w:rsid w:val="3F76374A"/>
    <w:rsid w:val="3FDA96D4"/>
    <w:rsid w:val="3FFBA298"/>
    <w:rsid w:val="3FFCD17D"/>
    <w:rsid w:val="3FFFF251"/>
    <w:rsid w:val="410A4337"/>
    <w:rsid w:val="412D656B"/>
    <w:rsid w:val="414E1CF3"/>
    <w:rsid w:val="425A5C23"/>
    <w:rsid w:val="445675A5"/>
    <w:rsid w:val="45B21E62"/>
    <w:rsid w:val="45D23D40"/>
    <w:rsid w:val="45F15EB3"/>
    <w:rsid w:val="46AB1BA9"/>
    <w:rsid w:val="478C0393"/>
    <w:rsid w:val="489D421A"/>
    <w:rsid w:val="48AC20FC"/>
    <w:rsid w:val="48CD4895"/>
    <w:rsid w:val="4945BBD0"/>
    <w:rsid w:val="49584F34"/>
    <w:rsid w:val="4A531D91"/>
    <w:rsid w:val="4A567B06"/>
    <w:rsid w:val="4BB04458"/>
    <w:rsid w:val="4C956E7F"/>
    <w:rsid w:val="4CBC5C20"/>
    <w:rsid w:val="4D5679DC"/>
    <w:rsid w:val="4DEBF660"/>
    <w:rsid w:val="4EBF0DC9"/>
    <w:rsid w:val="4FF72271"/>
    <w:rsid w:val="4FFF5454"/>
    <w:rsid w:val="504715D5"/>
    <w:rsid w:val="50DD573E"/>
    <w:rsid w:val="514928BE"/>
    <w:rsid w:val="51576F04"/>
    <w:rsid w:val="51CE15FE"/>
    <w:rsid w:val="527477A8"/>
    <w:rsid w:val="52FB8364"/>
    <w:rsid w:val="538556DC"/>
    <w:rsid w:val="53FF4819"/>
    <w:rsid w:val="555F00EE"/>
    <w:rsid w:val="56F8F648"/>
    <w:rsid w:val="576C591B"/>
    <w:rsid w:val="57A859DE"/>
    <w:rsid w:val="57AB93BE"/>
    <w:rsid w:val="57DBC91E"/>
    <w:rsid w:val="57FF2C16"/>
    <w:rsid w:val="5891729E"/>
    <w:rsid w:val="58A12D5A"/>
    <w:rsid w:val="58B840BB"/>
    <w:rsid w:val="58DA7713"/>
    <w:rsid w:val="593D6718"/>
    <w:rsid w:val="594516D5"/>
    <w:rsid w:val="59DF4E85"/>
    <w:rsid w:val="5A136A51"/>
    <w:rsid w:val="5AA0730F"/>
    <w:rsid w:val="5B4022ED"/>
    <w:rsid w:val="5BCA7224"/>
    <w:rsid w:val="5BD85BE8"/>
    <w:rsid w:val="5BEB68A7"/>
    <w:rsid w:val="5C7D8136"/>
    <w:rsid w:val="5D773C78"/>
    <w:rsid w:val="5DE0757A"/>
    <w:rsid w:val="5DE27FC0"/>
    <w:rsid w:val="5DFB3A78"/>
    <w:rsid w:val="5E236A19"/>
    <w:rsid w:val="5E2F3574"/>
    <w:rsid w:val="5E6C11E9"/>
    <w:rsid w:val="5EFFAB86"/>
    <w:rsid w:val="5EFFF7B3"/>
    <w:rsid w:val="5F3FA3DB"/>
    <w:rsid w:val="5F4909C6"/>
    <w:rsid w:val="5F514BBF"/>
    <w:rsid w:val="5F7A5770"/>
    <w:rsid w:val="5F7F81FE"/>
    <w:rsid w:val="5F9E0088"/>
    <w:rsid w:val="5FA76CAD"/>
    <w:rsid w:val="5FAE07E5"/>
    <w:rsid w:val="5FAFE532"/>
    <w:rsid w:val="5FDFEAE5"/>
    <w:rsid w:val="5FF92295"/>
    <w:rsid w:val="5FFB3714"/>
    <w:rsid w:val="5FFDDD2F"/>
    <w:rsid w:val="5FFF157B"/>
    <w:rsid w:val="609D7265"/>
    <w:rsid w:val="62375A15"/>
    <w:rsid w:val="63293DF3"/>
    <w:rsid w:val="63592DAD"/>
    <w:rsid w:val="63A018E5"/>
    <w:rsid w:val="64B90E6F"/>
    <w:rsid w:val="64FE2780"/>
    <w:rsid w:val="65117D8A"/>
    <w:rsid w:val="654562D5"/>
    <w:rsid w:val="65DF2FC8"/>
    <w:rsid w:val="667F2769"/>
    <w:rsid w:val="66C468C0"/>
    <w:rsid w:val="66C9511F"/>
    <w:rsid w:val="66E718F4"/>
    <w:rsid w:val="66EA616C"/>
    <w:rsid w:val="66EF252E"/>
    <w:rsid w:val="67722E11"/>
    <w:rsid w:val="67CF5085"/>
    <w:rsid w:val="67DE6C60"/>
    <w:rsid w:val="67E3F359"/>
    <w:rsid w:val="67EFB039"/>
    <w:rsid w:val="69DE6F9C"/>
    <w:rsid w:val="6A446721"/>
    <w:rsid w:val="6AAB9193"/>
    <w:rsid w:val="6AB5850D"/>
    <w:rsid w:val="6B2F6A59"/>
    <w:rsid w:val="6B474E0E"/>
    <w:rsid w:val="6BB74C26"/>
    <w:rsid w:val="6BFF7CFA"/>
    <w:rsid w:val="6C09790C"/>
    <w:rsid w:val="6D0700AD"/>
    <w:rsid w:val="6D9739C3"/>
    <w:rsid w:val="6DED75D3"/>
    <w:rsid w:val="6E1B173C"/>
    <w:rsid w:val="6E4DF7FD"/>
    <w:rsid w:val="6EB41528"/>
    <w:rsid w:val="6ED27CDD"/>
    <w:rsid w:val="6F134E87"/>
    <w:rsid w:val="6F7BF5EA"/>
    <w:rsid w:val="6F9FE1CE"/>
    <w:rsid w:val="6FBE8A16"/>
    <w:rsid w:val="6FD77DF6"/>
    <w:rsid w:val="6FDFC4F7"/>
    <w:rsid w:val="6FE14395"/>
    <w:rsid w:val="6FEEE252"/>
    <w:rsid w:val="71A85B13"/>
    <w:rsid w:val="720F0FF6"/>
    <w:rsid w:val="734CD956"/>
    <w:rsid w:val="737F2B52"/>
    <w:rsid w:val="73C75B2E"/>
    <w:rsid w:val="74620429"/>
    <w:rsid w:val="74814BDA"/>
    <w:rsid w:val="74DB372D"/>
    <w:rsid w:val="75DF10B5"/>
    <w:rsid w:val="75F7AEA7"/>
    <w:rsid w:val="764E5A97"/>
    <w:rsid w:val="769F34BF"/>
    <w:rsid w:val="76BFC924"/>
    <w:rsid w:val="76D907BC"/>
    <w:rsid w:val="76D91E36"/>
    <w:rsid w:val="76EC9DD3"/>
    <w:rsid w:val="76F7DB5B"/>
    <w:rsid w:val="76F89842"/>
    <w:rsid w:val="77777198"/>
    <w:rsid w:val="777F9FA1"/>
    <w:rsid w:val="779F3BAA"/>
    <w:rsid w:val="77BEFF5F"/>
    <w:rsid w:val="77E574DE"/>
    <w:rsid w:val="77F7BD38"/>
    <w:rsid w:val="77FD042C"/>
    <w:rsid w:val="78754DBE"/>
    <w:rsid w:val="78AA128E"/>
    <w:rsid w:val="78AD980B"/>
    <w:rsid w:val="79235AA9"/>
    <w:rsid w:val="7999F318"/>
    <w:rsid w:val="79DFC81C"/>
    <w:rsid w:val="79E06D68"/>
    <w:rsid w:val="7A3E26E1"/>
    <w:rsid w:val="7A7A7D8F"/>
    <w:rsid w:val="7A7F9F6C"/>
    <w:rsid w:val="7AD97550"/>
    <w:rsid w:val="7AFE2DC9"/>
    <w:rsid w:val="7B944DF4"/>
    <w:rsid w:val="7B94C0B8"/>
    <w:rsid w:val="7BBDB9B1"/>
    <w:rsid w:val="7BDD3969"/>
    <w:rsid w:val="7BE3BA73"/>
    <w:rsid w:val="7BEF5ED5"/>
    <w:rsid w:val="7BF47201"/>
    <w:rsid w:val="7C603954"/>
    <w:rsid w:val="7CB6DB89"/>
    <w:rsid w:val="7CEEC030"/>
    <w:rsid w:val="7D300408"/>
    <w:rsid w:val="7D4F87BF"/>
    <w:rsid w:val="7D8FFD8C"/>
    <w:rsid w:val="7DAFBCD5"/>
    <w:rsid w:val="7DDB12A1"/>
    <w:rsid w:val="7DE71687"/>
    <w:rsid w:val="7DFCF265"/>
    <w:rsid w:val="7DFF59DB"/>
    <w:rsid w:val="7E7FB04E"/>
    <w:rsid w:val="7EAA313A"/>
    <w:rsid w:val="7EBE2B6F"/>
    <w:rsid w:val="7EDF1B0C"/>
    <w:rsid w:val="7EEB4743"/>
    <w:rsid w:val="7F5A3A7C"/>
    <w:rsid w:val="7F7FFFFF"/>
    <w:rsid w:val="7F87AAAE"/>
    <w:rsid w:val="7F99A9AD"/>
    <w:rsid w:val="7FAF623C"/>
    <w:rsid w:val="7FBF7440"/>
    <w:rsid w:val="7FBFC21B"/>
    <w:rsid w:val="7FC401DD"/>
    <w:rsid w:val="7FDB2D92"/>
    <w:rsid w:val="7FDEF209"/>
    <w:rsid w:val="7FE9030B"/>
    <w:rsid w:val="7FF770BD"/>
    <w:rsid w:val="7FF9B78A"/>
    <w:rsid w:val="7FFBC700"/>
    <w:rsid w:val="86BEC466"/>
    <w:rsid w:val="87DDF15B"/>
    <w:rsid w:val="8FDA2C68"/>
    <w:rsid w:val="977B7A7C"/>
    <w:rsid w:val="978B17BB"/>
    <w:rsid w:val="97A710C1"/>
    <w:rsid w:val="97F70E84"/>
    <w:rsid w:val="99F79F0B"/>
    <w:rsid w:val="9EDB5FBB"/>
    <w:rsid w:val="9F3F2F36"/>
    <w:rsid w:val="9FBEB9E8"/>
    <w:rsid w:val="9FEA74BF"/>
    <w:rsid w:val="9FF1156C"/>
    <w:rsid w:val="9FF5437C"/>
    <w:rsid w:val="9FFA4748"/>
    <w:rsid w:val="9FFF4112"/>
    <w:rsid w:val="A66FBE92"/>
    <w:rsid w:val="A7BF3045"/>
    <w:rsid w:val="ABBF62D0"/>
    <w:rsid w:val="ABCF48FF"/>
    <w:rsid w:val="AD76601E"/>
    <w:rsid w:val="ADF53495"/>
    <w:rsid w:val="AE7E4C8D"/>
    <w:rsid w:val="AFFF1002"/>
    <w:rsid w:val="B0BB3C11"/>
    <w:rsid w:val="B3C97F53"/>
    <w:rsid w:val="B3DD25EA"/>
    <w:rsid w:val="B4BB31C1"/>
    <w:rsid w:val="B79D9EF4"/>
    <w:rsid w:val="B7BFF128"/>
    <w:rsid w:val="B7FF5595"/>
    <w:rsid w:val="B8FD3840"/>
    <w:rsid w:val="B9ADF936"/>
    <w:rsid w:val="B9C71231"/>
    <w:rsid w:val="B9FFA829"/>
    <w:rsid w:val="BA7B23C6"/>
    <w:rsid w:val="BAFD4978"/>
    <w:rsid w:val="BBAB4D5C"/>
    <w:rsid w:val="BBF34633"/>
    <w:rsid w:val="BBF3EDD4"/>
    <w:rsid w:val="BCFF5600"/>
    <w:rsid w:val="BE77944A"/>
    <w:rsid w:val="BE7B1CC8"/>
    <w:rsid w:val="BE7EF8F3"/>
    <w:rsid w:val="BEF713E0"/>
    <w:rsid w:val="BF736B72"/>
    <w:rsid w:val="BFAB700A"/>
    <w:rsid w:val="BFC7A5EC"/>
    <w:rsid w:val="BFDDA38B"/>
    <w:rsid w:val="BFDE6C69"/>
    <w:rsid w:val="BFFD6803"/>
    <w:rsid w:val="BFFF7F04"/>
    <w:rsid w:val="C64A3243"/>
    <w:rsid w:val="C7ED15D5"/>
    <w:rsid w:val="C9BFAD4E"/>
    <w:rsid w:val="CB5735B4"/>
    <w:rsid w:val="CBB75F2C"/>
    <w:rsid w:val="CBDF2920"/>
    <w:rsid w:val="CBDF8AE2"/>
    <w:rsid w:val="CEE959E8"/>
    <w:rsid w:val="CF5F4301"/>
    <w:rsid w:val="D69FA247"/>
    <w:rsid w:val="D6EFBCC7"/>
    <w:rsid w:val="D7FF4576"/>
    <w:rsid w:val="D978A8CE"/>
    <w:rsid w:val="D9FFD89D"/>
    <w:rsid w:val="DAFFF7DC"/>
    <w:rsid w:val="DBBF5706"/>
    <w:rsid w:val="DBF37F41"/>
    <w:rsid w:val="DCBFDB78"/>
    <w:rsid w:val="DDBD8C32"/>
    <w:rsid w:val="DDF75922"/>
    <w:rsid w:val="DDFA27A9"/>
    <w:rsid w:val="DF17C0E1"/>
    <w:rsid w:val="DF7D8631"/>
    <w:rsid w:val="DFB78E08"/>
    <w:rsid w:val="DFFFA196"/>
    <w:rsid w:val="E3FE9D6B"/>
    <w:rsid w:val="E3FFC8D2"/>
    <w:rsid w:val="E3FFCE5F"/>
    <w:rsid w:val="E59FEADC"/>
    <w:rsid w:val="E629878C"/>
    <w:rsid w:val="E6356846"/>
    <w:rsid w:val="E6F53224"/>
    <w:rsid w:val="E77E1352"/>
    <w:rsid w:val="E7BF524F"/>
    <w:rsid w:val="EB6BD662"/>
    <w:rsid w:val="ED6F8D89"/>
    <w:rsid w:val="EEF30FF1"/>
    <w:rsid w:val="EEFE973C"/>
    <w:rsid w:val="EF7AE01F"/>
    <w:rsid w:val="EFE3E3BE"/>
    <w:rsid w:val="EFF4B35D"/>
    <w:rsid w:val="EFF79BC4"/>
    <w:rsid w:val="EFFB4578"/>
    <w:rsid w:val="F05FDD4E"/>
    <w:rsid w:val="F1FF3D24"/>
    <w:rsid w:val="F33F6882"/>
    <w:rsid w:val="F39B2B66"/>
    <w:rsid w:val="F3E642F0"/>
    <w:rsid w:val="F3FDE019"/>
    <w:rsid w:val="F6EFF199"/>
    <w:rsid w:val="F6FFD815"/>
    <w:rsid w:val="F77F56BA"/>
    <w:rsid w:val="F796037F"/>
    <w:rsid w:val="F7AD9612"/>
    <w:rsid w:val="F7BFDF67"/>
    <w:rsid w:val="F7CB5E8A"/>
    <w:rsid w:val="F7EFBA95"/>
    <w:rsid w:val="F7F566FB"/>
    <w:rsid w:val="F7F5B110"/>
    <w:rsid w:val="F7FF4562"/>
    <w:rsid w:val="F8F8A3DA"/>
    <w:rsid w:val="F9FE740F"/>
    <w:rsid w:val="F9FFD4DF"/>
    <w:rsid w:val="FAEA1E0F"/>
    <w:rsid w:val="FBB7AA98"/>
    <w:rsid w:val="FBD579D4"/>
    <w:rsid w:val="FBD75CD6"/>
    <w:rsid w:val="FBED72FC"/>
    <w:rsid w:val="FC39A9CC"/>
    <w:rsid w:val="FD73D4DD"/>
    <w:rsid w:val="FD75AB3F"/>
    <w:rsid w:val="FDBB99E5"/>
    <w:rsid w:val="FDCB8684"/>
    <w:rsid w:val="FDDF7C95"/>
    <w:rsid w:val="FDED4EBA"/>
    <w:rsid w:val="FDFF4CCC"/>
    <w:rsid w:val="FE0F6E82"/>
    <w:rsid w:val="FE734873"/>
    <w:rsid w:val="FE7F6613"/>
    <w:rsid w:val="FE7F6771"/>
    <w:rsid w:val="FEDFF9E6"/>
    <w:rsid w:val="FEF7E77C"/>
    <w:rsid w:val="FEFA5C1A"/>
    <w:rsid w:val="FEFB1E78"/>
    <w:rsid w:val="FF33F937"/>
    <w:rsid w:val="FF3F2A3F"/>
    <w:rsid w:val="FF57CB39"/>
    <w:rsid w:val="FF5F3E4E"/>
    <w:rsid w:val="FF735A48"/>
    <w:rsid w:val="FF7EB969"/>
    <w:rsid w:val="FF882FCF"/>
    <w:rsid w:val="FF95417E"/>
    <w:rsid w:val="FFBF332E"/>
    <w:rsid w:val="FFCFB95F"/>
    <w:rsid w:val="FFCFC6A6"/>
    <w:rsid w:val="FFDA65BF"/>
    <w:rsid w:val="FFDFCC93"/>
    <w:rsid w:val="FFEF670E"/>
    <w:rsid w:val="FFEFDAB3"/>
    <w:rsid w:val="FFEFDB8F"/>
    <w:rsid w:val="FFF527C7"/>
    <w:rsid w:val="FFF71367"/>
    <w:rsid w:val="FFF768D5"/>
    <w:rsid w:val="FFF7AE0C"/>
    <w:rsid w:val="FFFBC50E"/>
    <w:rsid w:val="FFFE6A8E"/>
    <w:rsid w:val="FFFE73DF"/>
    <w:rsid w:val="FFFFBD46"/>
    <w:rsid w:val="FFFFC9CB"/>
    <w:rsid w:val="FFFFE02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 w:hAnsi="宋体" w:eastAsia="仿宋" w:cs="Times New Roman"/>
      <w:kern w:val="2"/>
      <w:sz w:val="32"/>
      <w:szCs w:val="22"/>
      <w:lang w:val="en-US" w:eastAsia="zh-CN" w:bidi="ar-SA"/>
    </w:rPr>
  </w:style>
  <w:style w:type="paragraph" w:styleId="3">
    <w:name w:val="heading 1"/>
    <w:basedOn w:val="1"/>
    <w:next w:val="1"/>
    <w:qFormat/>
    <w:locked/>
    <w:uiPriority w:val="0"/>
    <w:pPr>
      <w:spacing w:beforeAutospacing="1" w:afterAutospacing="1"/>
      <w:jc w:val="left"/>
      <w:outlineLvl w:val="0"/>
    </w:pPr>
    <w:rPr>
      <w:rFonts w:hint="eastAsia" w:ascii="宋体" w:eastAsia="宋体" w:cs="宋体"/>
      <w:b/>
      <w:kern w:val="44"/>
      <w:sz w:val="48"/>
      <w:szCs w:val="48"/>
    </w:rPr>
  </w:style>
  <w:style w:type="paragraph" w:styleId="4">
    <w:name w:val="heading 2"/>
    <w:basedOn w:val="1"/>
    <w:next w:val="1"/>
    <w:unhideWhenUsed/>
    <w:qFormat/>
    <w:locked/>
    <w:uiPriority w:val="0"/>
    <w:pPr>
      <w:spacing w:beforeAutospacing="1" w:afterAutospacing="1"/>
      <w:jc w:val="left"/>
      <w:outlineLvl w:val="1"/>
    </w:pPr>
    <w:rPr>
      <w:rFonts w:hint="eastAsia" w:ascii="宋体" w:eastAsia="宋体" w:cs="宋体"/>
      <w:b/>
      <w:kern w:val="0"/>
      <w:sz w:val="36"/>
      <w:szCs w:val="36"/>
    </w:rPr>
  </w:style>
  <w:style w:type="paragraph" w:styleId="5">
    <w:name w:val="heading 3"/>
    <w:basedOn w:val="1"/>
    <w:next w:val="1"/>
    <w:unhideWhenUsed/>
    <w:qFormat/>
    <w:locked/>
    <w:uiPriority w:val="0"/>
    <w:pPr>
      <w:spacing w:beforeAutospacing="1" w:afterAutospacing="1"/>
      <w:jc w:val="left"/>
      <w:outlineLvl w:val="2"/>
    </w:pPr>
    <w:rPr>
      <w:rFonts w:hint="eastAsia" w:ascii="宋体" w:eastAsia="宋体" w:cs="宋体"/>
      <w:b/>
      <w:kern w:val="0"/>
      <w:sz w:val="27"/>
      <w:szCs w:val="27"/>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8"/>
    <w:qFormat/>
    <w:uiPriority w:val="99"/>
    <w:pPr>
      <w:spacing w:line="240" w:lineRule="atLeast"/>
    </w:pPr>
    <w:rPr>
      <w:rFonts w:eastAsia="小标宋"/>
      <w:sz w:val="44"/>
      <w:szCs w:val="32"/>
    </w:rPr>
  </w:style>
  <w:style w:type="paragraph" w:styleId="6">
    <w:name w:val="footer"/>
    <w:basedOn w:val="1"/>
    <w:link w:val="19"/>
    <w:qFormat/>
    <w:uiPriority w:val="99"/>
    <w:pPr>
      <w:tabs>
        <w:tab w:val="center" w:pos="4153"/>
        <w:tab w:val="right" w:pos="8306"/>
      </w:tabs>
      <w:snapToGrid w:val="0"/>
      <w:jc w:val="left"/>
    </w:pPr>
    <w:rPr>
      <w:sz w:val="18"/>
      <w:szCs w:val="18"/>
    </w:rPr>
  </w:style>
  <w:style w:type="paragraph" w:styleId="7">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rPr>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locked/>
    <w:uiPriority w:val="0"/>
    <w:rPr>
      <w:b/>
    </w:rPr>
  </w:style>
  <w:style w:type="character" w:styleId="13">
    <w:name w:val="page number"/>
    <w:basedOn w:val="11"/>
    <w:qFormat/>
    <w:uiPriority w:val="99"/>
    <w:rPr>
      <w:rFonts w:cs="Times New Roman"/>
    </w:rPr>
  </w:style>
  <w:style w:type="character" w:styleId="14">
    <w:name w:val="FollowedHyperlink"/>
    <w:basedOn w:val="11"/>
    <w:unhideWhenUsed/>
    <w:qFormat/>
    <w:uiPriority w:val="99"/>
    <w:rPr>
      <w:color w:val="666666"/>
      <w:sz w:val="18"/>
      <w:szCs w:val="18"/>
      <w:u w:val="none"/>
    </w:rPr>
  </w:style>
  <w:style w:type="character" w:styleId="15">
    <w:name w:val="Emphasis"/>
    <w:basedOn w:val="11"/>
    <w:qFormat/>
    <w:locked/>
    <w:uiPriority w:val="0"/>
  </w:style>
  <w:style w:type="character" w:styleId="16">
    <w:name w:val="Hyperlink"/>
    <w:basedOn w:val="11"/>
    <w:unhideWhenUsed/>
    <w:qFormat/>
    <w:uiPriority w:val="99"/>
    <w:rPr>
      <w:color w:val="666666"/>
      <w:sz w:val="18"/>
      <w:szCs w:val="18"/>
      <w:u w:val="none"/>
    </w:rPr>
  </w:style>
  <w:style w:type="paragraph" w:customStyle="1" w:styleId="17">
    <w:name w:val="Default"/>
    <w:basedOn w:val="1"/>
    <w:semiHidden/>
    <w:qFormat/>
    <w:uiPriority w:val="0"/>
    <w:pPr>
      <w:autoSpaceDE w:val="0"/>
      <w:autoSpaceDN w:val="0"/>
      <w:adjustRightInd w:val="0"/>
      <w:jc w:val="left"/>
    </w:pPr>
    <w:rPr>
      <w:rFonts w:ascii="方正仿宋_GBK" w:hAnsi="方正仿宋_GBK" w:cs="宋体"/>
      <w:color w:val="000000"/>
      <w:kern w:val="0"/>
      <w:sz w:val="24"/>
      <w:szCs w:val="24"/>
    </w:rPr>
  </w:style>
  <w:style w:type="character" w:customStyle="1" w:styleId="18">
    <w:name w:val="正文文本 Char"/>
    <w:basedOn w:val="11"/>
    <w:link w:val="2"/>
    <w:qFormat/>
    <w:locked/>
    <w:uiPriority w:val="99"/>
    <w:rPr>
      <w:rFonts w:ascii="宋体" w:hAnsi="宋体" w:eastAsia="小标宋" w:cs="Times New Roman"/>
      <w:sz w:val="32"/>
      <w:szCs w:val="32"/>
    </w:rPr>
  </w:style>
  <w:style w:type="character" w:customStyle="1" w:styleId="19">
    <w:name w:val="页脚 Char"/>
    <w:basedOn w:val="11"/>
    <w:link w:val="6"/>
    <w:qFormat/>
    <w:locked/>
    <w:uiPriority w:val="99"/>
    <w:rPr>
      <w:rFonts w:ascii="宋体" w:hAnsi="宋体" w:eastAsia="方正仿宋简体" w:cs="Times New Roman"/>
      <w:sz w:val="18"/>
      <w:szCs w:val="18"/>
    </w:rPr>
  </w:style>
  <w:style w:type="character" w:customStyle="1" w:styleId="20">
    <w:name w:val="页眉 Char"/>
    <w:basedOn w:val="11"/>
    <w:link w:val="7"/>
    <w:semiHidden/>
    <w:qFormat/>
    <w:locked/>
    <w:uiPriority w:val="99"/>
    <w:rPr>
      <w:rFonts w:ascii="宋体" w:hAnsi="宋体" w:eastAsia="方正仿宋简体" w:cs="Times New Roman"/>
      <w:sz w:val="18"/>
      <w:szCs w:val="18"/>
    </w:rPr>
  </w:style>
  <w:style w:type="character" w:customStyle="1" w:styleId="21">
    <w:name w:val="wenzhang1"/>
    <w:basedOn w:val="11"/>
    <w:qFormat/>
    <w:uiPriority w:val="99"/>
    <w:rPr>
      <w:rFonts w:ascii="宋体" w:hAnsi="宋体" w:eastAsia="宋体" w:cs="宋体"/>
      <w:color w:val="000000"/>
      <w:sz w:val="21"/>
      <w:szCs w:val="21"/>
    </w:rPr>
  </w:style>
  <w:style w:type="character" w:customStyle="1" w:styleId="22">
    <w:name w:val="font61"/>
    <w:basedOn w:val="11"/>
    <w:qFormat/>
    <w:uiPriority w:val="0"/>
    <w:rPr>
      <w:rFonts w:hint="eastAsia" w:ascii="宋体" w:hAnsi="宋体" w:eastAsia="宋体" w:cs="宋体"/>
      <w:color w:val="000000"/>
      <w:sz w:val="20"/>
      <w:szCs w:val="20"/>
      <w:u w:val="none"/>
    </w:rPr>
  </w:style>
  <w:style w:type="character" w:customStyle="1" w:styleId="23">
    <w:name w:val="font01"/>
    <w:basedOn w:val="11"/>
    <w:qFormat/>
    <w:uiPriority w:val="0"/>
    <w:rPr>
      <w:rFonts w:hint="eastAsia" w:ascii="宋体" w:hAnsi="宋体" w:eastAsia="宋体" w:cs="宋体"/>
      <w:color w:val="000000"/>
      <w:sz w:val="20"/>
      <w:szCs w:val="20"/>
      <w:u w:val="none"/>
    </w:rPr>
  </w:style>
  <w:style w:type="character" w:customStyle="1" w:styleId="24">
    <w:name w:val="font41"/>
    <w:basedOn w:val="11"/>
    <w:qFormat/>
    <w:uiPriority w:val="0"/>
    <w:rPr>
      <w:rFonts w:hint="eastAsia" w:ascii="宋体" w:hAnsi="宋体" w:eastAsia="宋体" w:cs="宋体"/>
      <w:color w:val="000000"/>
      <w:sz w:val="20"/>
      <w:szCs w:val="20"/>
      <w:u w:val="none"/>
    </w:rPr>
  </w:style>
  <w:style w:type="character" w:customStyle="1" w:styleId="25">
    <w:name w:val="font31"/>
    <w:basedOn w:val="11"/>
    <w:qFormat/>
    <w:uiPriority w:val="0"/>
    <w:rPr>
      <w:rFonts w:hint="eastAsia" w:ascii="宋体" w:hAnsi="宋体" w:eastAsia="宋体" w:cs="宋体"/>
      <w:color w:val="000000"/>
      <w:sz w:val="20"/>
      <w:szCs w:val="20"/>
      <w:u w:val="none"/>
    </w:rPr>
  </w:style>
  <w:style w:type="character" w:customStyle="1" w:styleId="26">
    <w:name w:val="font12"/>
    <w:basedOn w:val="11"/>
    <w:qFormat/>
    <w:uiPriority w:val="0"/>
    <w:rPr>
      <w:rFonts w:hint="eastAsia" w:ascii="宋体" w:hAnsi="宋体" w:eastAsia="宋体" w:cs="宋体"/>
      <w:color w:val="FF0000"/>
      <w:sz w:val="20"/>
      <w:szCs w:val="20"/>
      <w:u w:val="none"/>
    </w:rPr>
  </w:style>
  <w:style w:type="character" w:customStyle="1" w:styleId="27">
    <w:name w:val="font21"/>
    <w:basedOn w:val="11"/>
    <w:qFormat/>
    <w:uiPriority w:val="0"/>
    <w:rPr>
      <w:rFonts w:hint="eastAsia" w:ascii="宋体" w:hAnsi="宋体" w:eastAsia="宋体" w:cs="宋体"/>
      <w:color w:val="000000"/>
      <w:sz w:val="20"/>
      <w:szCs w:val="20"/>
      <w:u w:val="none"/>
    </w:rPr>
  </w:style>
  <w:style w:type="character" w:customStyle="1" w:styleId="28">
    <w:name w:val="font71"/>
    <w:basedOn w:val="11"/>
    <w:qFormat/>
    <w:uiPriority w:val="0"/>
    <w:rPr>
      <w:rFonts w:hint="eastAsia" w:ascii="宋体" w:hAnsi="宋体" w:eastAsia="宋体" w:cs="宋体"/>
      <w:color w:val="000000"/>
      <w:sz w:val="18"/>
      <w:szCs w:val="18"/>
      <w:u w:val="none"/>
    </w:rPr>
  </w:style>
  <w:style w:type="character" w:customStyle="1" w:styleId="29">
    <w:name w:val="font11"/>
    <w:basedOn w:val="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8096</Words>
  <Characters>8734</Characters>
  <Lines>321</Lines>
  <Paragraphs>90</Paragraphs>
  <TotalTime>127</TotalTime>
  <ScaleCrop>false</ScaleCrop>
  <LinksUpToDate>false</LinksUpToDate>
  <CharactersWithSpaces>8753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2019-08-27T17:03:00Z</dcterms:created>
  <dc:creator>刘浩然</dc:creator>
  <cp:lastModifiedBy>Administrator</cp:lastModifiedBy>
  <cp:lastPrinted>2022-09-08T06:50:06Z</cp:lastPrinted>
  <dcterms:modified xsi:type="dcterms:W3CDTF">2022-09-08T08:36:33Z</dcterms:modified>
  <dc:title>附件2</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B57D4013D33D435194B91104E0E5A10E</vt:lpwstr>
  </property>
</Properties>
</file>