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snapToGrid/>
        <w:spacing w:after="0" w:line="390" w:lineRule="atLeast"/>
        <w:jc w:val="center"/>
        <w:rPr>
          <w:rFonts w:hint="eastAsia" w:ascii="黑体" w:hAnsi="黑体" w:eastAsia="黑体" w:cs="仿宋"/>
          <w:b/>
          <w:color w:val="000000"/>
          <w:sz w:val="44"/>
          <w:szCs w:val="44"/>
        </w:rPr>
      </w:pPr>
      <w:r>
        <w:rPr>
          <w:rFonts w:hint="eastAsia" w:ascii="黑体" w:hAnsi="黑体" w:eastAsia="黑体" w:cs="仿宋"/>
          <w:b/>
          <w:color w:val="000000"/>
          <w:sz w:val="44"/>
          <w:szCs w:val="44"/>
        </w:rPr>
        <w:t>涞源县执法服务指南</w:t>
      </w:r>
    </w:p>
    <w:p>
      <w:pPr>
        <w:adjustRightInd/>
        <w:snapToGrid/>
        <w:spacing w:after="0" w:line="390" w:lineRule="atLeast"/>
        <w:jc w:val="center"/>
        <w:rPr>
          <w:rFonts w:hint="eastAsia" w:ascii="黑体" w:hAnsi="黑体" w:eastAsia="黑体" w:cs="仿宋"/>
          <w:b/>
          <w:color w:val="000000"/>
          <w:sz w:val="44"/>
          <w:szCs w:val="44"/>
        </w:rPr>
      </w:pPr>
      <w:bookmarkStart w:id="0" w:name="_GoBack"/>
      <w:bookmarkEnd w:id="0"/>
    </w:p>
    <w:p>
      <w:pPr>
        <w:adjustRightInd/>
        <w:snapToGrid/>
        <w:spacing w:after="0" w:line="390" w:lineRule="atLeast"/>
        <w:rPr>
          <w:rFonts w:hint="eastAsia" w:ascii="宋体" w:hAnsi="宋体" w:eastAsia="宋体" w:cs="宋体"/>
          <w:color w:val="000000"/>
          <w:sz w:val="21"/>
          <w:szCs w:val="21"/>
        </w:rPr>
      </w:pPr>
      <w:r>
        <w:rPr>
          <w:rFonts w:hint="eastAsia" w:ascii="仿宋" w:hAnsi="仿宋" w:eastAsia="仿宋" w:cs="仿宋"/>
          <w:b/>
          <w:color w:val="000000"/>
          <w:sz w:val="32"/>
          <w:szCs w:val="32"/>
        </w:rPr>
        <w:t>一、</w:t>
      </w:r>
      <w:r>
        <w:rPr>
          <w:rFonts w:ascii="Times New Roman" w:hAnsi="Times New Roman" w:eastAsia="仿宋" w:cs="Times New Roman"/>
          <w:b/>
          <w:color w:val="000000"/>
          <w:sz w:val="14"/>
          <w:szCs w:val="14"/>
        </w:rPr>
        <w:t xml:space="preserve"> </w:t>
      </w:r>
      <w:r>
        <w:rPr>
          <w:rFonts w:hint="eastAsia" w:ascii="仿宋" w:hAnsi="仿宋" w:eastAsia="仿宋" w:cs="宋体"/>
          <w:b/>
          <w:color w:val="000000"/>
          <w:sz w:val="32"/>
          <w:szCs w:val="32"/>
        </w:rPr>
        <w:t>机构职能</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文广新局下属文化市场行政执法队为行政执法主体。</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文化市场行政执法队受文广新局委托，履行对全县文化、</w:t>
      </w:r>
      <w:r>
        <w:rPr>
          <w:rFonts w:hint="eastAsia" w:ascii="仿宋" w:hAnsi="仿宋" w:eastAsia="仿宋" w:cs="宋体"/>
          <w:color w:val="000000"/>
          <w:sz w:val="32"/>
          <w:szCs w:val="32"/>
          <w:lang w:val="en-US" w:eastAsia="zh-CN"/>
        </w:rPr>
        <w:t xml:space="preserve">文物旅游 </w:t>
      </w:r>
      <w:r>
        <w:rPr>
          <w:rFonts w:hint="eastAsia" w:ascii="仿宋" w:hAnsi="仿宋" w:eastAsia="仿宋" w:cs="宋体"/>
          <w:color w:val="000000"/>
          <w:sz w:val="32"/>
          <w:szCs w:val="32"/>
        </w:rPr>
        <w:t>广播电影电视、新闻出版、艺术品经营等文化市场综合行政执法职责：</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（一）贯彻执行国家、省有关文化、广电、新闻出版、版权、艺术品经营活动的法律法规，引导文化市场树立正确的经营理念，规范经营行为，维护市场秩序。</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（二）组织协调重大违法案件的查处工作，组织实施全县文化市场行政执法专项治理行动。</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（三）受理对文化市场及文化生产经营活动违法行为的投诉、举报，对有下列行为的重特大案件直接进行查处：</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1.营业性演出、歌舞娱乐、互联网服务营业场所、电子游艺、艺术品经营等活动中的违法违规行为；网络动漫、手机动漫、网络音乐、手机音乐和网络游戏外网运营等互联网文化经营活动的违法经营行为。</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2.违法安装和设置卫星电视广播地面接收设施；违法接收、传送境外卫星电视节目和走私、盗版影片放映行为；违规从事互联网视听节目服务活动以及违法设立广播电视台（站）、有线传输覆盖网、发射台、转播台、微波站、卫星上行站等行为。</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3.报纸、图书、期刊、音像制品、电子出版物、计算机软件、内部资料性出版物等方面的违法违规出版活动；出版物、包装装潢印刷品和其他印刷品的违规印刷经营活动。</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4.通过互联网和手机媒体传播淫秽色情及低俗信息；互联网著作权、信息网络（含网络出版）等网络侵权盗版活动。</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（四）承担县文化市场管理工作领导小组的日常工作。</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b/>
          <w:color w:val="000000"/>
          <w:sz w:val="32"/>
          <w:szCs w:val="32"/>
        </w:rPr>
        <w:t>二、执法依据</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公共法律、法规、规章</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（一）法律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中华人民共和国著作权法、中华人民共和国文物保护法</w:t>
      </w:r>
      <w:r>
        <w:rPr>
          <w:rFonts w:hint="eastAsia" w:ascii="Calibri" w:hAnsi="Calibri" w:eastAsia="仿宋_GB2312" w:cs="仿宋_GB2312"/>
          <w:color w:val="000000"/>
          <w:sz w:val="32"/>
          <w:szCs w:val="32"/>
        </w:rPr>
        <w:t>、</w:t>
      </w:r>
      <w:r>
        <w:rPr>
          <w:rFonts w:hint="eastAsia" w:ascii="仿宋" w:hAnsi="仿宋" w:eastAsia="仿宋" w:cs="宋体"/>
          <w:color w:val="000000"/>
          <w:sz w:val="32"/>
          <w:szCs w:val="32"/>
        </w:rPr>
        <w:t>中华人民共和国公共文化服务保障法</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（二）行政法规</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1.互联网上网服务营业场所管理条例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2.娱乐场所管理条例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3.营业性演出管理条例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4.广播电视管理条例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5.中华人民共和国著作权法实施条例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6.信息网络传播权保护条例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7.计算机软件保护条例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8.出版管理条例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9.音像制品管理条例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10.印刷业管理条例</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（三）部门规章</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1.娱乐场所管理办法</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2.营业性演出管理条例实施细则</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3.广播电视广告播出管理办法</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4.卫星电视广播地面接收设施管理规定</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5.出版物市场管理规定</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6.内部资料性出版物管理办法</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7.音像制品出版管理规定</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8.印刷品承印管理规定</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9.互联网文化管理暂行规定</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10.网络游戏管理暂行办法</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11.文化市场综合行政执法管理办法</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12.艺术品经营管理办法</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13.文化市场行政处罚自由裁量权适用办法（试行）</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14.文化市场突发事件应急管理办法</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15.文化市场重大案件管理办法</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16.文化市场综合行政执法案卷评查办法（试行）</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17.文化市场行政处罚案件档案管理办法（试行）</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18.文化市场综合执法人员培训考核办法（试行）</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宋体"/>
          <w:color w:val="000000"/>
          <w:sz w:val="32"/>
          <w:szCs w:val="32"/>
        </w:rPr>
        <w:t>19.文化市场黑名单管理办法（试行）</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b/>
          <w:color w:val="000000"/>
          <w:sz w:val="32"/>
          <w:szCs w:val="32"/>
        </w:rPr>
        <w:t>三、执法结果</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32"/>
          <w:szCs w:val="32"/>
        </w:rPr>
        <w:t>（一）行政处罚案件信息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500"/>
        <w:gridCol w:w="885"/>
        <w:gridCol w:w="945"/>
        <w:gridCol w:w="915"/>
        <w:gridCol w:w="1005"/>
        <w:gridCol w:w="720"/>
        <w:gridCol w:w="930"/>
        <w:gridCol w:w="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序号</w:t>
            </w:r>
          </w:p>
        </w:tc>
        <w:tc>
          <w:tcPr>
            <w:tcW w:w="1500"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行政处罚</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决定书编号</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处罚时间</w:t>
            </w:r>
          </w:p>
        </w:tc>
        <w:tc>
          <w:tcPr>
            <w:tcW w:w="94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处罚</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对象</w:t>
            </w:r>
          </w:p>
        </w:tc>
        <w:tc>
          <w:tcPr>
            <w:tcW w:w="91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处罚事由</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处罚</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依据</w:t>
            </w:r>
          </w:p>
        </w:tc>
        <w:tc>
          <w:tcPr>
            <w:tcW w:w="720"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处罚内容</w:t>
            </w:r>
          </w:p>
        </w:tc>
        <w:tc>
          <w:tcPr>
            <w:tcW w:w="930"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执行情况</w:t>
            </w:r>
          </w:p>
        </w:tc>
        <w:tc>
          <w:tcPr>
            <w:tcW w:w="947"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是否</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结案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1</w:t>
            </w:r>
          </w:p>
        </w:tc>
        <w:tc>
          <w:tcPr>
            <w:tcW w:w="1500"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88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94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91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100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720"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930"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947"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24"/>
              </w:rPr>
              <w:t>2</w:t>
            </w:r>
          </w:p>
        </w:tc>
        <w:tc>
          <w:tcPr>
            <w:tcW w:w="1500"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88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94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91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1005"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720"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930"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c>
          <w:tcPr>
            <w:tcW w:w="947" w:type="dxa"/>
            <w:tcBorders>
              <w:top w:val="single" w:color="auto" w:sz="4" w:space="0"/>
              <w:left w:val="single" w:color="auto" w:sz="4" w:space="0"/>
              <w:bottom w:val="single" w:color="auto" w:sz="4" w:space="0"/>
              <w:right w:val="single" w:color="auto" w:sz="4" w:space="0"/>
            </w:tcBorders>
            <w:shd w:val="clear" w:color="auto" w:fill="auto"/>
          </w:tcPr>
          <w:p>
            <w:pPr>
              <w:adjustRightInd/>
              <w:snapToGrid/>
              <w:spacing w:after="0" w:line="390" w:lineRule="atLeast"/>
              <w:rPr>
                <w:rFonts w:ascii="微软雅黑" w:hAnsi="微软雅黑" w:cs="宋体"/>
                <w:color w:val="000000"/>
                <w:sz w:val="21"/>
                <w:szCs w:val="21"/>
              </w:rPr>
            </w:pPr>
          </w:p>
        </w:tc>
      </w:tr>
    </w:tbl>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b/>
          <w:color w:val="000000"/>
          <w:sz w:val="32"/>
          <w:szCs w:val="32"/>
        </w:rPr>
        <w:t>四、救济途径</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32"/>
          <w:szCs w:val="32"/>
        </w:rPr>
        <w:t>（一）享有权利：听证权利、陈述申辩权利、行政复议权利、行政诉讼权利、国家赔偿权利</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32"/>
          <w:szCs w:val="32"/>
        </w:rPr>
        <w:t>（二）救济途径：向作出具体行政行为的行政执法部门申请进行听证、陈述申辩；向上级执法部门或本级政府法制机构提出行政复议；向被告所在地人民法院提出行政诉讼和国家赔偿。</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b/>
          <w:color w:val="000000"/>
          <w:sz w:val="32"/>
          <w:szCs w:val="32"/>
        </w:rPr>
        <w:t>五、投诉举报</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32"/>
          <w:szCs w:val="32"/>
        </w:rPr>
        <w:t>（一）投诉举报的方式及途径：工作日举报、24小时投诉电话：732</w:t>
      </w:r>
      <w:r>
        <w:rPr>
          <w:rFonts w:hint="eastAsia" w:ascii="仿宋" w:hAnsi="仿宋" w:eastAsia="仿宋" w:cs="仿宋_GB2312"/>
          <w:color w:val="000000"/>
          <w:sz w:val="32"/>
          <w:szCs w:val="32"/>
          <w:lang w:val="en-US" w:eastAsia="zh-CN"/>
        </w:rPr>
        <w:t>3347</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32"/>
          <w:szCs w:val="32"/>
        </w:rPr>
        <w:t>（二）投诉举报的受理条件及受理机构：对投诉举报调查核实后，如情况属实，我局予以受理。</w:t>
      </w:r>
    </w:p>
    <w:p>
      <w:pPr>
        <w:adjustRightInd/>
        <w:snapToGrid/>
        <w:spacing w:after="0" w:line="390" w:lineRule="atLeast"/>
        <w:rPr>
          <w:rFonts w:ascii="宋体" w:hAnsi="宋体" w:eastAsia="宋体" w:cs="宋体"/>
          <w:color w:val="000000"/>
          <w:sz w:val="21"/>
          <w:szCs w:val="21"/>
        </w:rPr>
      </w:pPr>
      <w:r>
        <w:rPr>
          <w:rFonts w:hint="eastAsia" w:ascii="仿宋" w:hAnsi="仿宋" w:eastAsia="仿宋" w:cs="仿宋_GB2312"/>
          <w:color w:val="000000"/>
          <w:sz w:val="32"/>
          <w:szCs w:val="32"/>
        </w:rPr>
        <w:t>（三）反馈程序：投诉举报30个工作日内予以回复。对情况属实的，做出受理决定，书面或电话告知投诉举报人，对查无实据的，做出不予受理决定，书面或电话告知投诉举报人。</w:t>
      </w:r>
      <w:r>
        <w:rPr>
          <w:rFonts w:hint="eastAsia" w:ascii="仿宋" w:hAnsi="仿宋" w:eastAsia="仿宋" w:cs="宋体"/>
          <w:color w:val="000000"/>
          <w:sz w:val="32"/>
          <w:szCs w:val="32"/>
        </w:rPr>
        <w:t xml:space="preserve"> </w:t>
      </w:r>
    </w:p>
    <w:p>
      <w:pPr>
        <w:spacing w:line="220" w:lineRule="atLeast"/>
      </w:pPr>
    </w:p>
    <w:sectPr>
      <w:pgSz w:w="11906" w:h="16838"/>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characterSpacingControl w:val="doNotCompress"/>
  <w:compat>
    <w:useFELayout/>
    <w:compatSetting w:name="compatibilityMode" w:uri="http://schemas.microsoft.com/office/word" w:val="12"/>
  </w:compat>
  <w:rsids>
    <w:rsidRoot w:val="00D31D50"/>
    <w:rsid w:val="000F57CD"/>
    <w:rsid w:val="001A7D17"/>
    <w:rsid w:val="00323B43"/>
    <w:rsid w:val="003D37D8"/>
    <w:rsid w:val="00426133"/>
    <w:rsid w:val="004358AB"/>
    <w:rsid w:val="008B7726"/>
    <w:rsid w:val="00B54DE9"/>
    <w:rsid w:val="00D31D50"/>
    <w:rsid w:val="279727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微软雅黑"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jc w:val="center"/>
    </w:pPr>
    <w:rPr>
      <w:sz w:val="18"/>
      <w:szCs w:val="18"/>
    </w:rPr>
  </w:style>
  <w:style w:type="character" w:customStyle="1" w:styleId="6">
    <w:name w:val="页眉 Char"/>
    <w:basedOn w:val="5"/>
    <w:link w:val="3"/>
    <w:semiHidden/>
    <w:qFormat/>
    <w:uiPriority w:val="99"/>
    <w:rPr>
      <w:rFonts w:ascii="Tahoma" w:hAnsi="Tahoma"/>
      <w:sz w:val="18"/>
      <w:szCs w:val="18"/>
    </w:rPr>
  </w:style>
  <w:style w:type="character" w:customStyle="1" w:styleId="7">
    <w:name w:val="页脚 Char"/>
    <w:basedOn w:val="5"/>
    <w:link w:val="2"/>
    <w:semiHidden/>
    <w:qFormat/>
    <w:uiPriority w:val="99"/>
    <w:rPr>
      <w:rFonts w:ascii="Tahoma" w:hAnsi="Tahoma"/>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230</Words>
  <Characters>1314</Characters>
  <Lines>10</Lines>
  <Paragraphs>3</Paragraphs>
  <TotalTime>12</TotalTime>
  <ScaleCrop>false</ScaleCrop>
  <LinksUpToDate>false</LinksUpToDate>
  <CharactersWithSpaces>1541</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Administrator</cp:lastModifiedBy>
  <cp:lastPrinted>2019-07-02T06:45:00Z</cp:lastPrinted>
  <dcterms:modified xsi:type="dcterms:W3CDTF">2022-07-04T05:21:06Z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