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15" w:lineRule="atLeast"/>
        <w:ind w:firstLine="480"/>
        <w:jc w:val="center"/>
        <w:rPr>
          <w:rFonts w:ascii="Times New Roman" w:hAnsi="Times New Roman" w:eastAsia="宋体" w:cs="Times New Roman"/>
          <w:color w:val="333333"/>
          <w:kern w:val="0"/>
          <w:szCs w:val="21"/>
        </w:rPr>
      </w:pPr>
      <w:r>
        <w:rPr>
          <w:rFonts w:hint="eastAsia" w:ascii="方正小标宋简体" w:hAnsi="Times New Roman" w:eastAsia="方正小标宋简体" w:cs="Times New Roman"/>
          <w:color w:val="000000"/>
          <w:kern w:val="0"/>
          <w:sz w:val="44"/>
          <w:szCs w:val="44"/>
          <w:lang w:eastAsia="zh-CN"/>
        </w:rPr>
        <w:t>涞源</w:t>
      </w:r>
      <w:r>
        <w:rPr>
          <w:rFonts w:hint="eastAsia" w:ascii="方正小标宋简体" w:hAnsi="Times New Roman" w:eastAsia="方正小标宋简体" w:cs="Times New Roman"/>
          <w:color w:val="000000"/>
          <w:kern w:val="0"/>
          <w:sz w:val="44"/>
          <w:szCs w:val="44"/>
        </w:rPr>
        <w:t>县审计局</w:t>
      </w:r>
    </w:p>
    <w:p>
      <w:pPr>
        <w:widowControl/>
        <w:shd w:val="clear" w:color="auto" w:fill="FFFFFF"/>
        <w:spacing w:line="315" w:lineRule="atLeast"/>
        <w:ind w:firstLine="480"/>
        <w:jc w:val="center"/>
        <w:rPr>
          <w:rFonts w:ascii="Times New Roman" w:hAnsi="Times New Roman" w:eastAsia="宋体" w:cs="Times New Roman"/>
          <w:color w:val="333333"/>
          <w:kern w:val="0"/>
          <w:szCs w:val="21"/>
        </w:rPr>
      </w:pPr>
      <w:r>
        <w:rPr>
          <w:rFonts w:hint="eastAsia" w:ascii="方正小标宋简体" w:hAnsi="Times New Roman" w:eastAsia="方正小标宋简体" w:cs="Times New Roman"/>
          <w:color w:val="000000"/>
          <w:kern w:val="0"/>
          <w:sz w:val="44"/>
          <w:szCs w:val="44"/>
        </w:rPr>
        <w:t>重大执法决定法制审核目录清单</w:t>
      </w:r>
    </w:p>
    <w:p>
      <w:pPr>
        <w:widowControl/>
        <w:shd w:val="clear" w:color="auto" w:fill="FFFFFF"/>
        <w:spacing w:line="315" w:lineRule="atLeast"/>
        <w:ind w:firstLine="480"/>
        <w:jc w:val="center"/>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bl>
      <w:tblPr>
        <w:tblStyle w:val="3"/>
        <w:tblW w:w="14040" w:type="dxa"/>
        <w:tblInd w:w="77" w:type="dxa"/>
        <w:shd w:val="clear" w:color="auto" w:fill="FFFFFF"/>
        <w:tblLayout w:type="fixed"/>
        <w:tblCellMar>
          <w:top w:w="0" w:type="dxa"/>
          <w:left w:w="0" w:type="dxa"/>
          <w:bottom w:w="0" w:type="dxa"/>
          <w:right w:w="0" w:type="dxa"/>
        </w:tblCellMar>
      </w:tblPr>
      <w:tblGrid>
        <w:gridCol w:w="708"/>
        <w:gridCol w:w="1104"/>
        <w:gridCol w:w="7188"/>
        <w:gridCol w:w="4188"/>
        <w:gridCol w:w="852"/>
      </w:tblGrid>
      <w:tr>
        <w:tblPrEx>
          <w:shd w:val="clear" w:color="auto" w:fill="FFFFFF"/>
          <w:tblLayout w:type="fixed"/>
          <w:tblCellMar>
            <w:top w:w="0" w:type="dxa"/>
            <w:left w:w="0" w:type="dxa"/>
            <w:bottom w:w="0" w:type="dxa"/>
            <w:right w:w="0" w:type="dxa"/>
          </w:tblCellMar>
        </w:tblPrEx>
        <w:trPr>
          <w:trHeight w:val="545" w:hRule="atLeast"/>
        </w:trPr>
        <w:tc>
          <w:tcPr>
            <w:tcW w:w="70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序号</w:t>
            </w:r>
          </w:p>
        </w:tc>
        <w:tc>
          <w:tcPr>
            <w:tcW w:w="110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类 别</w:t>
            </w:r>
          </w:p>
        </w:tc>
        <w:tc>
          <w:tcPr>
            <w:tcW w:w="718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重大行政执法决定</w:t>
            </w:r>
            <w:bookmarkStart w:id="0" w:name="_GoBack"/>
            <w:bookmarkEnd w:id="0"/>
          </w:p>
        </w:tc>
        <w:tc>
          <w:tcPr>
            <w:tcW w:w="418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审核内容</w:t>
            </w:r>
          </w:p>
        </w:tc>
        <w:tc>
          <w:tcPr>
            <w:tcW w:w="85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备 注</w:t>
            </w:r>
          </w:p>
        </w:tc>
      </w:tr>
      <w:tr>
        <w:tblPrEx>
          <w:tblLayout w:type="fixed"/>
          <w:tblCellMar>
            <w:top w:w="0" w:type="dxa"/>
            <w:left w:w="0" w:type="dxa"/>
            <w:bottom w:w="0" w:type="dxa"/>
            <w:right w:w="0" w:type="dxa"/>
          </w:tblCellMar>
        </w:tblPrEx>
        <w:trPr>
          <w:trHeight w:val="72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1</w:t>
            </w:r>
          </w:p>
        </w:tc>
        <w:tc>
          <w:tcPr>
            <w:tcW w:w="1104"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行政处罚</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对拒绝、拖延提供与审计事项有关的资料，或者提供的资料不真实、不完整，或者拒绝、阻碍检查的处罚</w:t>
            </w:r>
          </w:p>
        </w:tc>
        <w:tc>
          <w:tcPr>
            <w:tcW w:w="4188"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审理机构主要审核下列内容：</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（一）是否超越本机关执法权限；</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（二）主要事实是否清楚、相关证据是否适当、充分；</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（三）适用法律法规和标准是否适当；</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（四）评价、定性、处理处罚意见是否恰当；</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（五）行政自由裁量权行使是否适当；</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（六）审计程序是否符合规定；</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（七）法律文书制作是否规范； </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（八）其他依法应当审核的内容。</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 审核过程中遇有复杂问题的，经审计机关负责人同意后，审理机构可以组织专家进行论证。</w:t>
            </w: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textAlignment w:val="center"/>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2</w:t>
            </w:r>
          </w:p>
        </w:tc>
        <w:tc>
          <w:tcPr>
            <w:tcW w:w="1104" w:type="dxa"/>
            <w:vMerge w:val="continue"/>
            <w:tcBorders>
              <w:top w:val="nil"/>
              <w:left w:val="nil"/>
              <w:bottom w:val="single" w:color="auto" w:sz="8" w:space="0"/>
              <w:right w:val="single" w:color="auto" w:sz="8" w:space="0"/>
            </w:tcBorders>
            <w:shd w:val="clear" w:color="auto" w:fill="FFFFFF"/>
            <w:vAlign w:val="center"/>
          </w:tcPr>
          <w:p>
            <w:pPr>
              <w:widowControl/>
              <w:jc w:val="center"/>
              <w:rPr>
                <w:rFonts w:ascii="Times New Roman" w:hAnsi="Times New Roman" w:eastAsia="宋体" w:cs="Times New Roman"/>
                <w:color w:val="333333"/>
                <w:kern w:val="0"/>
                <w:szCs w:val="21"/>
              </w:rPr>
            </w:pP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对违反国家规定的财政财务收支行为的处罚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3</w:t>
            </w:r>
          </w:p>
        </w:tc>
        <w:tc>
          <w:tcPr>
            <w:tcW w:w="1104"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行政强制</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制止封存权</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4</w:t>
            </w:r>
          </w:p>
        </w:tc>
        <w:tc>
          <w:tcPr>
            <w:tcW w:w="1104" w:type="dxa"/>
            <w:vMerge w:val="continue"/>
            <w:tcBorders>
              <w:top w:val="nil"/>
              <w:left w:val="nil"/>
              <w:bottom w:val="single" w:color="auto" w:sz="8" w:space="0"/>
              <w:right w:val="single" w:color="auto" w:sz="8" w:space="0"/>
            </w:tcBorders>
            <w:shd w:val="clear" w:color="auto" w:fill="FFFFFF"/>
            <w:vAlign w:val="center"/>
          </w:tcPr>
          <w:p>
            <w:pPr>
              <w:widowControl/>
              <w:jc w:val="center"/>
              <w:rPr>
                <w:rFonts w:ascii="Times New Roman" w:hAnsi="Times New Roman" w:eastAsia="宋体" w:cs="Times New Roman"/>
                <w:color w:val="333333"/>
                <w:kern w:val="0"/>
                <w:szCs w:val="21"/>
              </w:rPr>
            </w:pP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暂停拨付与使用权</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1596"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5</w:t>
            </w:r>
          </w:p>
        </w:tc>
        <w:tc>
          <w:tcPr>
            <w:tcW w:w="110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审计处理</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left="420" w:leftChars="20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（一）责令限期缴纳应当上缴的款项；</w:t>
            </w:r>
            <w:r>
              <w:rPr>
                <w:rFonts w:hint="eastAsia" w:ascii="宋体" w:hAnsi="宋体" w:eastAsia="宋体" w:cs="Times New Roman"/>
                <w:color w:val="000000"/>
                <w:kern w:val="0"/>
                <w:sz w:val="22"/>
              </w:rPr>
              <w:br w:type="textWrapping"/>
            </w:r>
            <w:r>
              <w:rPr>
                <w:rFonts w:hint="eastAsia" w:ascii="方正仿宋简体" w:hAnsi="Times New Roman" w:eastAsia="方正仿宋简体" w:cs="Times New Roman"/>
                <w:color w:val="000000"/>
                <w:kern w:val="0"/>
                <w:sz w:val="22"/>
              </w:rPr>
              <w:t>（二）责令限期退还被侵占的国有资产；</w:t>
            </w:r>
            <w:r>
              <w:rPr>
                <w:rFonts w:hint="eastAsia" w:ascii="宋体" w:hAnsi="宋体" w:eastAsia="宋体" w:cs="Times New Roman"/>
                <w:color w:val="000000"/>
                <w:kern w:val="0"/>
                <w:sz w:val="22"/>
              </w:rPr>
              <w:br w:type="textWrapping"/>
            </w:r>
            <w:r>
              <w:rPr>
                <w:rFonts w:hint="eastAsia" w:ascii="方正仿宋简体" w:hAnsi="Times New Roman" w:eastAsia="方正仿宋简体" w:cs="Times New Roman"/>
                <w:color w:val="000000"/>
                <w:kern w:val="0"/>
                <w:sz w:val="22"/>
              </w:rPr>
              <w:t>（三）责令限期退还违法所得；</w:t>
            </w:r>
            <w:r>
              <w:rPr>
                <w:rFonts w:hint="eastAsia" w:ascii="宋体" w:hAnsi="宋体" w:eastAsia="宋体" w:cs="Times New Roman"/>
                <w:color w:val="000000"/>
                <w:kern w:val="0"/>
                <w:sz w:val="22"/>
              </w:rPr>
              <w:br w:type="textWrapping"/>
            </w:r>
            <w:r>
              <w:rPr>
                <w:rFonts w:hint="eastAsia" w:ascii="方正仿宋简体" w:hAnsi="Times New Roman" w:eastAsia="方正仿宋简体" w:cs="Times New Roman"/>
                <w:color w:val="000000"/>
                <w:kern w:val="0"/>
                <w:sz w:val="22"/>
              </w:rPr>
              <w:t>（四）责令按照国家统一的会计制度的有关规定进行处理；</w:t>
            </w:r>
          </w:p>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（五）其他需下达审计决定的处理措施。</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72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6</w:t>
            </w:r>
          </w:p>
        </w:tc>
        <w:tc>
          <w:tcPr>
            <w:tcW w:w="110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审计监督</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拟作出审计移送处理决定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7</w:t>
            </w:r>
          </w:p>
        </w:tc>
        <w:tc>
          <w:tcPr>
            <w:tcW w:w="1104"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其 他</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拟作出的其他重大、复杂、疑难处理处罚决定。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tblLayout w:type="fixed"/>
          <w:tblCellMar>
            <w:top w:w="0" w:type="dxa"/>
            <w:left w:w="0" w:type="dxa"/>
            <w:bottom w:w="0" w:type="dxa"/>
            <w:right w:w="0" w:type="dxa"/>
          </w:tblCellMar>
        </w:tblPrEx>
        <w:trPr>
          <w:trHeight w:val="72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8</w:t>
            </w:r>
          </w:p>
        </w:tc>
        <w:tc>
          <w:tcPr>
            <w:tcW w:w="1104"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法律、法规、规章和上级行政机关规定应当进行法制审核的其他重大行政执法决定。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bl>
    <w:p>
      <w:pPr>
        <w:widowControl/>
        <w:shd w:val="clear" w:color="auto" w:fill="FFFFFF"/>
        <w:spacing w:line="540" w:lineRule="atLeast"/>
        <w:ind w:firstLine="480"/>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微软雅黑"/>
    <w:panose1 w:val="03000509000000000000"/>
    <w:charset w:val="86"/>
    <w:family w:val="roman"/>
    <w:pitch w:val="default"/>
    <w:sig w:usb0="00000000" w:usb1="00000000" w:usb2="00000000" w:usb3="00000000" w:csb0="00040000" w:csb1="00000000"/>
  </w:font>
  <w:font w:name="方正仿宋简体">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C2CB3"/>
    <w:rsid w:val="000C2CB3"/>
    <w:rsid w:val="002B5F2A"/>
    <w:rsid w:val="00591520"/>
    <w:rsid w:val="005F20A8"/>
    <w:rsid w:val="0CB943CF"/>
    <w:rsid w:val="3D310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character" w:customStyle="1" w:styleId="4">
    <w:name w:val="apple-converted-space"/>
    <w:basedOn w:val="2"/>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66315D-8DDC-4C6C-A2CA-1419B0F28B5E}">
  <ds:schemaRefs/>
</ds:datastoreItem>
</file>

<file path=docProps/app.xml><?xml version="1.0" encoding="utf-8"?>
<Properties xmlns="http://schemas.openxmlformats.org/officeDocument/2006/extended-properties" xmlns:vt="http://schemas.openxmlformats.org/officeDocument/2006/docPropsVTypes">
  <Template>Normal.dotm</Template>
  <Pages>1</Pages>
  <Words>87</Words>
  <Characters>501</Characters>
  <Lines>4</Lines>
  <Paragraphs>1</Paragraphs>
  <TotalTime>5</TotalTime>
  <ScaleCrop>false</ScaleCrop>
  <LinksUpToDate>false</LinksUpToDate>
  <CharactersWithSpaces>587</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2017-09-06T03:03:00Z</dcterms:created>
  <dc:creator>ailun</dc:creator>
  <cp:lastModifiedBy>Administrator</cp:lastModifiedBy>
  <dcterms:modified xsi:type="dcterms:W3CDTF">2022-07-08T03:59:37Z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CA24EBFB4D5343039C324BA8F5779E10</vt:lpwstr>
  </property>
</Properties>
</file>