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25D5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8" w:beforeAutospacing="0" w:after="28" w:afterAutospacing="0" w:line="600" w:lineRule="exact"/>
        <w:ind w:left="0" w:right="0" w:firstLine="0"/>
        <w:jc w:val="center"/>
        <w:textAlignment w:val="auto"/>
        <w:rPr>
          <w:rFonts w:hint="eastAsia" w:ascii="宋体" w:hAnsi="宋体" w:eastAsia="宋体" w:cs="宋体"/>
          <w:b/>
          <w:bCs/>
          <w:i w:val="0"/>
          <w:iCs w:val="0"/>
          <w:caps w:val="0"/>
          <w:color w:val="333333"/>
          <w:spacing w:val="0"/>
          <w:sz w:val="42"/>
          <w:szCs w:val="42"/>
          <w:u w:val="none"/>
          <w:shd w:val="clear" w:fill="FFFFFF"/>
          <w:lang w:eastAsia="zh-CN"/>
        </w:rPr>
      </w:pPr>
      <w:r>
        <w:rPr>
          <w:rFonts w:hint="eastAsia" w:ascii="宋体" w:hAnsi="宋体" w:eastAsia="宋体" w:cs="宋体"/>
          <w:b/>
          <w:bCs/>
          <w:i w:val="0"/>
          <w:iCs w:val="0"/>
          <w:caps w:val="0"/>
          <w:color w:val="333333"/>
          <w:spacing w:val="0"/>
          <w:sz w:val="42"/>
          <w:szCs w:val="42"/>
          <w:u w:val="none"/>
          <w:shd w:val="clear" w:fill="FFFFFF"/>
          <w:lang w:eastAsia="zh-CN"/>
        </w:rPr>
        <w:t>金家井乡人民政府</w:t>
      </w:r>
    </w:p>
    <w:p w14:paraId="12FA91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8" w:beforeAutospacing="0" w:after="28" w:afterAutospacing="0" w:line="600" w:lineRule="exact"/>
        <w:ind w:left="0" w:right="0" w:firstLine="0"/>
        <w:jc w:val="center"/>
        <w:textAlignment w:val="auto"/>
        <w:rPr>
          <w:rFonts w:hint="eastAsia" w:ascii="宋体" w:hAnsi="宋体" w:eastAsia="宋体" w:cs="宋体"/>
          <w:b/>
          <w:bCs/>
          <w:i w:val="0"/>
          <w:iCs w:val="0"/>
          <w:caps w:val="0"/>
          <w:color w:val="000000"/>
          <w:spacing w:val="0"/>
          <w:sz w:val="27"/>
          <w:szCs w:val="27"/>
          <w:u w:val="none"/>
        </w:rPr>
      </w:pPr>
      <w:r>
        <w:rPr>
          <w:rFonts w:hint="eastAsia" w:ascii="宋体" w:hAnsi="宋体" w:eastAsia="宋体" w:cs="宋体"/>
          <w:b/>
          <w:bCs/>
          <w:i w:val="0"/>
          <w:iCs w:val="0"/>
          <w:caps w:val="0"/>
          <w:color w:val="333333"/>
          <w:spacing w:val="0"/>
          <w:sz w:val="42"/>
          <w:szCs w:val="42"/>
          <w:u w:val="none"/>
          <w:shd w:val="clear" w:fill="FFFFFF"/>
        </w:rPr>
        <w:t>行政执法案卷评查和管理制度</w:t>
      </w:r>
    </w:p>
    <w:p w14:paraId="1CFBC2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28" w:beforeAutospacing="0" w:after="28" w:afterAutospacing="0" w:line="647" w:lineRule="atLeast"/>
        <w:ind w:left="0" w:right="0" w:firstLine="647"/>
        <w:jc w:val="left"/>
        <w:rPr>
          <w:rFonts w:hint="eastAsia" w:ascii="仿宋" w:hAnsi="仿宋" w:eastAsia="仿宋" w:cs="仿宋"/>
          <w:i w:val="0"/>
          <w:iCs w:val="0"/>
          <w:caps w:val="0"/>
          <w:color w:val="333333"/>
          <w:spacing w:val="0"/>
          <w:sz w:val="32"/>
          <w:szCs w:val="32"/>
          <w:u w:val="none"/>
          <w:shd w:val="clear" w:fill="FFFFFF"/>
        </w:rPr>
      </w:pPr>
    </w:p>
    <w:p w14:paraId="22396C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第一条 为进一步规范行政执法行为，强化行政执法监督，提高行政执法水平，根据《中华人民共和国行政处罚法》《中华人民共和国行政许可法》等有关法律法规和规章的规定，结合我单位实际，制定本制度。</w:t>
      </w:r>
    </w:p>
    <w:p w14:paraId="5C9881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第二条 本制度所称行政执法案卷，是指已办结的行政处罚案卷。</w:t>
      </w:r>
    </w:p>
    <w:p w14:paraId="3FA4346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第三条 本制度所称的案卷评查是指</w:t>
      </w:r>
      <w:r>
        <w:rPr>
          <w:rFonts w:hint="eastAsia" w:ascii="仿宋" w:hAnsi="仿宋" w:eastAsia="仿宋" w:cs="仿宋"/>
          <w:sz w:val="32"/>
          <w:szCs w:val="32"/>
          <w:lang w:eastAsia="zh-CN"/>
        </w:rPr>
        <w:t>乡政府</w:t>
      </w:r>
      <w:r>
        <w:rPr>
          <w:rFonts w:hint="eastAsia" w:ascii="仿宋" w:hAnsi="仿宋" w:eastAsia="仿宋" w:cs="仿宋"/>
          <w:sz w:val="32"/>
          <w:szCs w:val="32"/>
        </w:rPr>
        <w:t>通过对执法处室的行政执法案卷实施检查，对行政执法行为的合法性、合理性和执法文书的规范性进行评判，并对存在的问题进行督察整改的活动。　　</w:t>
      </w:r>
    </w:p>
    <w:p w14:paraId="446F8B6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第四条 </w:t>
      </w:r>
      <w:r>
        <w:rPr>
          <w:rFonts w:hint="eastAsia" w:ascii="仿宋" w:hAnsi="仿宋" w:eastAsia="仿宋" w:cs="仿宋"/>
          <w:sz w:val="32"/>
          <w:szCs w:val="32"/>
          <w:lang w:eastAsia="zh-CN"/>
        </w:rPr>
        <w:t>乡政府组织人员</w:t>
      </w:r>
      <w:r>
        <w:rPr>
          <w:rFonts w:hint="eastAsia" w:ascii="仿宋" w:hAnsi="仿宋" w:eastAsia="仿宋" w:cs="仿宋"/>
          <w:sz w:val="32"/>
          <w:szCs w:val="32"/>
        </w:rPr>
        <w:t>依据本制度负责组织案卷评查工作。</w:t>
      </w:r>
    </w:p>
    <w:p w14:paraId="0FD16F7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第五条 行政执法案卷评查工作要遵循客观、公正、合法的原则。</w:t>
      </w:r>
    </w:p>
    <w:p w14:paraId="4662485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第六条 案卷评查</w:t>
      </w:r>
      <w:r>
        <w:rPr>
          <w:rFonts w:hint="eastAsia" w:ascii="仿宋" w:hAnsi="仿宋" w:eastAsia="仿宋" w:cs="仿宋"/>
          <w:sz w:val="32"/>
          <w:szCs w:val="32"/>
          <w:lang w:eastAsia="zh-CN"/>
        </w:rPr>
        <w:t>每年不定期进行，</w:t>
      </w:r>
      <w:r>
        <w:rPr>
          <w:rFonts w:hint="eastAsia" w:ascii="仿宋" w:hAnsi="仿宋" w:eastAsia="仿宋" w:cs="仿宋"/>
          <w:sz w:val="32"/>
          <w:szCs w:val="32"/>
        </w:rPr>
        <w:t>主要以随机抽查方式</w:t>
      </w:r>
      <w:r>
        <w:rPr>
          <w:rFonts w:hint="eastAsia" w:ascii="仿宋" w:hAnsi="仿宋" w:eastAsia="仿宋" w:cs="仿宋"/>
          <w:sz w:val="32"/>
          <w:szCs w:val="32"/>
          <w:lang w:eastAsia="zh-CN"/>
        </w:rPr>
        <w:t>为主</w:t>
      </w:r>
      <w:bookmarkStart w:id="0" w:name="_GoBack"/>
      <w:bookmarkEnd w:id="0"/>
      <w:r>
        <w:rPr>
          <w:rFonts w:hint="eastAsia" w:ascii="仿宋" w:hAnsi="仿宋" w:eastAsia="仿宋" w:cs="仿宋"/>
          <w:sz w:val="32"/>
          <w:szCs w:val="32"/>
        </w:rPr>
        <w:t>。</w:t>
      </w:r>
    </w:p>
    <w:p w14:paraId="5FA1F5C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第七条 行政执法案卷评查按照《河北省乡镇人民政府和街道办事处行政执法文书参考样式（2021年版）》</w:t>
      </w:r>
      <w:r>
        <w:rPr>
          <w:rFonts w:hint="eastAsia" w:ascii="仿宋" w:hAnsi="仿宋" w:eastAsia="仿宋" w:cs="仿宋"/>
          <w:sz w:val="32"/>
          <w:szCs w:val="32"/>
          <w:lang w:eastAsia="zh-CN"/>
        </w:rPr>
        <w:t>、</w:t>
      </w:r>
      <w:r>
        <w:rPr>
          <w:rFonts w:hint="eastAsia" w:ascii="仿宋" w:hAnsi="仿宋" w:eastAsia="仿宋" w:cs="仿宋"/>
          <w:sz w:val="32"/>
          <w:szCs w:val="32"/>
        </w:rPr>
        <w:t>《河北省行政处罚案卷评查标准（2023年版本）》逐项</w:t>
      </w:r>
      <w:r>
        <w:rPr>
          <w:rFonts w:hint="eastAsia" w:ascii="仿宋" w:hAnsi="仿宋" w:eastAsia="仿宋" w:cs="仿宋"/>
          <w:sz w:val="32"/>
          <w:szCs w:val="32"/>
          <w:lang w:eastAsia="zh-CN"/>
        </w:rPr>
        <w:t>对照</w:t>
      </w:r>
      <w:r>
        <w:rPr>
          <w:rFonts w:hint="eastAsia" w:ascii="仿宋" w:hAnsi="仿宋" w:eastAsia="仿宋" w:cs="仿宋"/>
          <w:sz w:val="32"/>
          <w:szCs w:val="32"/>
        </w:rPr>
        <w:t>评分，确定每本案卷的应得总分</w:t>
      </w:r>
      <w:r>
        <w:rPr>
          <w:rFonts w:hint="eastAsia" w:ascii="仿宋" w:hAnsi="仿宋" w:eastAsia="仿宋" w:cs="仿宋"/>
          <w:sz w:val="32"/>
          <w:szCs w:val="32"/>
          <w:lang w:eastAsia="zh-CN"/>
        </w:rPr>
        <w:t>。</w:t>
      </w:r>
    </w:p>
    <w:p w14:paraId="4F1C78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第八条 案卷评查应当一案一评。案卷评查情况、扣分理由及评查得分应作书面记录，并由评查人签名。</w:t>
      </w:r>
    </w:p>
    <w:p w14:paraId="41EAE82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第九条 行政执法案卷经评查，逐卷作出优秀（</w:t>
      </w:r>
      <w:r>
        <w:rPr>
          <w:rFonts w:hint="eastAsia" w:ascii="仿宋" w:hAnsi="仿宋" w:eastAsia="仿宋" w:cs="仿宋"/>
          <w:sz w:val="32"/>
          <w:szCs w:val="32"/>
          <w:lang w:val="en-US"/>
        </w:rPr>
        <w:t>95</w:t>
      </w:r>
      <w:r>
        <w:rPr>
          <w:rFonts w:hint="eastAsia" w:ascii="仿宋" w:hAnsi="仿宋" w:eastAsia="仿宋" w:cs="仿宋"/>
          <w:sz w:val="32"/>
          <w:szCs w:val="32"/>
        </w:rPr>
        <w:t>分以上）、良好（</w:t>
      </w:r>
      <w:r>
        <w:rPr>
          <w:rFonts w:hint="eastAsia" w:ascii="仿宋" w:hAnsi="仿宋" w:eastAsia="仿宋" w:cs="仿宋"/>
          <w:sz w:val="32"/>
          <w:szCs w:val="32"/>
          <w:lang w:val="en-US"/>
        </w:rPr>
        <w:t>90-95</w:t>
      </w:r>
      <w:r>
        <w:rPr>
          <w:rFonts w:hint="eastAsia" w:ascii="仿宋" w:hAnsi="仿宋" w:eastAsia="仿宋" w:cs="仿宋"/>
          <w:sz w:val="32"/>
          <w:szCs w:val="32"/>
        </w:rPr>
        <w:t>分）、合格（</w:t>
      </w:r>
      <w:r>
        <w:rPr>
          <w:rFonts w:hint="eastAsia" w:ascii="仿宋" w:hAnsi="仿宋" w:eastAsia="仿宋" w:cs="仿宋"/>
          <w:sz w:val="32"/>
          <w:szCs w:val="32"/>
          <w:lang w:val="en-US"/>
        </w:rPr>
        <w:t>70-89</w:t>
      </w:r>
      <w:r>
        <w:rPr>
          <w:rFonts w:hint="eastAsia" w:ascii="仿宋" w:hAnsi="仿宋" w:eastAsia="仿宋" w:cs="仿宋"/>
          <w:sz w:val="32"/>
          <w:szCs w:val="32"/>
        </w:rPr>
        <w:t>分）和不合格（</w:t>
      </w:r>
      <w:r>
        <w:rPr>
          <w:rFonts w:hint="eastAsia" w:ascii="仿宋" w:hAnsi="仿宋" w:eastAsia="仿宋" w:cs="仿宋"/>
          <w:sz w:val="32"/>
          <w:szCs w:val="32"/>
          <w:lang w:val="en-US"/>
        </w:rPr>
        <w:t>70</w:t>
      </w:r>
      <w:r>
        <w:rPr>
          <w:rFonts w:hint="eastAsia" w:ascii="仿宋" w:hAnsi="仿宋" w:eastAsia="仿宋" w:cs="仿宋"/>
          <w:sz w:val="32"/>
          <w:szCs w:val="32"/>
        </w:rPr>
        <w:t>分以下）的评价。对得分在</w:t>
      </w:r>
      <w:r>
        <w:rPr>
          <w:rFonts w:hint="eastAsia" w:ascii="仿宋" w:hAnsi="仿宋" w:eastAsia="仿宋" w:cs="仿宋"/>
          <w:sz w:val="32"/>
          <w:szCs w:val="32"/>
          <w:lang w:val="en-US"/>
        </w:rPr>
        <w:t>70</w:t>
      </w:r>
      <w:r>
        <w:rPr>
          <w:rFonts w:hint="eastAsia" w:ascii="仿宋" w:hAnsi="仿宋" w:eastAsia="仿宋" w:cs="仿宋"/>
          <w:sz w:val="32"/>
          <w:szCs w:val="32"/>
        </w:rPr>
        <w:t>分以下的，应对办案人员进行法律律法规知识培训。 </w:t>
      </w:r>
    </w:p>
    <w:p w14:paraId="1F33C9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第十条 行政执法案卷评查过程中发现错案的，</w:t>
      </w:r>
      <w:r>
        <w:rPr>
          <w:rFonts w:hint="eastAsia" w:ascii="仿宋" w:hAnsi="仿宋" w:eastAsia="仿宋" w:cs="仿宋"/>
          <w:sz w:val="32"/>
          <w:szCs w:val="32"/>
          <w:lang w:eastAsia="zh-CN"/>
        </w:rPr>
        <w:t>立即严格按照法定程序启动纠错机制，技师撤销错误决定，并追究相关责任人的责任</w:t>
      </w:r>
      <w:r>
        <w:rPr>
          <w:rFonts w:hint="eastAsia" w:ascii="仿宋" w:hAnsi="仿宋" w:eastAsia="仿宋" w:cs="仿宋"/>
          <w:sz w:val="32"/>
          <w:szCs w:val="32"/>
        </w:rPr>
        <w:t>。对</w:t>
      </w:r>
      <w:r>
        <w:rPr>
          <w:rFonts w:hint="eastAsia" w:ascii="仿宋" w:hAnsi="仿宋" w:eastAsia="仿宋" w:cs="仿宋"/>
          <w:sz w:val="32"/>
          <w:szCs w:val="32"/>
          <w:lang w:eastAsia="zh-CN"/>
        </w:rPr>
        <w:t>案卷评查中发现</w:t>
      </w:r>
      <w:r>
        <w:rPr>
          <w:rFonts w:hint="eastAsia" w:ascii="仿宋" w:hAnsi="仿宋" w:eastAsia="仿宋" w:cs="仿宋"/>
          <w:sz w:val="32"/>
          <w:szCs w:val="32"/>
        </w:rPr>
        <w:t>执法人员在执法过程中</w:t>
      </w:r>
      <w:r>
        <w:rPr>
          <w:rFonts w:hint="eastAsia" w:ascii="仿宋" w:hAnsi="仿宋" w:eastAsia="仿宋" w:cs="仿宋"/>
          <w:sz w:val="32"/>
          <w:szCs w:val="32"/>
          <w:lang w:eastAsia="zh-CN"/>
        </w:rPr>
        <w:t>存在</w:t>
      </w:r>
      <w:r>
        <w:rPr>
          <w:rFonts w:hint="eastAsia" w:ascii="仿宋" w:hAnsi="仿宋" w:eastAsia="仿宋" w:cs="仿宋"/>
          <w:sz w:val="32"/>
          <w:szCs w:val="32"/>
        </w:rPr>
        <w:t>玩忽职守、滥用职权、徇私舞弊</w:t>
      </w:r>
      <w:r>
        <w:rPr>
          <w:rFonts w:hint="eastAsia" w:ascii="仿宋" w:hAnsi="仿宋" w:eastAsia="仿宋" w:cs="仿宋"/>
          <w:sz w:val="32"/>
          <w:szCs w:val="32"/>
          <w:lang w:eastAsia="zh-CN"/>
        </w:rPr>
        <w:t>等情况的</w:t>
      </w:r>
      <w:r>
        <w:rPr>
          <w:rFonts w:hint="eastAsia" w:ascii="仿宋" w:hAnsi="仿宋" w:eastAsia="仿宋" w:cs="仿宋"/>
          <w:sz w:val="32"/>
          <w:szCs w:val="32"/>
        </w:rPr>
        <w:t>，根据情节对负有直接责任的主管人员和其他直接责任人员给予批评教育、离岗培训、调离执法岗位、暂扣行政执法证或者吊销行政执法证等处理决定；情节严重的，依规依纪依法给予处分；构成犯罪的，依法追究刑事责任。 </w:t>
      </w:r>
    </w:p>
    <w:p w14:paraId="679B530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eastAsia="zh-CN"/>
        </w:rPr>
        <w:t>一</w:t>
      </w:r>
      <w:r>
        <w:rPr>
          <w:rFonts w:hint="eastAsia" w:ascii="仿宋" w:hAnsi="仿宋" w:eastAsia="仿宋" w:cs="仿宋"/>
          <w:sz w:val="32"/>
          <w:szCs w:val="32"/>
        </w:rPr>
        <w:t>条 本制度自发布之日起实施。</w:t>
      </w:r>
    </w:p>
    <w:p w14:paraId="020D4E2E">
      <w:pPr>
        <w:rPr>
          <w:rFonts w:hint="eastAsia" w:ascii="仿宋" w:hAnsi="仿宋" w:eastAsia="仿宋" w:cs="仿宋"/>
          <w:sz w:val="32"/>
          <w:szCs w:val="32"/>
        </w:rPr>
      </w:pPr>
    </w:p>
    <w:p w14:paraId="3F4011EA">
      <w:pPr>
        <w:rPr>
          <w:rFonts w:hint="eastAsia" w:ascii="仿宋" w:hAnsi="仿宋" w:eastAsia="仿宋" w:cs="仿宋"/>
          <w:sz w:val="32"/>
          <w:szCs w:val="32"/>
        </w:rPr>
      </w:pPr>
    </w:p>
    <w:p w14:paraId="1666B3F9">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293ADC00">
      <w:pPr>
        <w:rPr>
          <w:rFonts w:hint="eastAsia"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wZDIxODYyMjVkZmQ2ZGI2NzdjYTY5NGI4ZWUyYTEifQ=="/>
  </w:docVars>
  <w:rsids>
    <w:rsidRoot w:val="00000000"/>
    <w:rsid w:val="172E38A4"/>
    <w:rsid w:val="320E7F7F"/>
    <w:rsid w:val="367F45F6"/>
    <w:rsid w:val="5C340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637</Words>
  <Characters>652</Characters>
  <Lines>0</Lines>
  <Paragraphs>0</Paragraphs>
  <TotalTime>5</TotalTime>
  <ScaleCrop>false</ScaleCrop>
  <LinksUpToDate>false</LinksUpToDate>
  <CharactersWithSpaces>695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2023-04-20T08:23:00Z</dcterms:created>
  <dc:creator>Administrator</dc:creator>
  <cp:lastModifiedBy>竹仗徐行</cp:lastModifiedBy>
  <cp:lastPrinted>2023-04-20T08:26:00Z</cp:lastPrinted>
  <dcterms:modified xsi:type="dcterms:W3CDTF">2024-09-13T08:11:26Z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B5A249AF53694EFFAEBAEFF1644AF1D8_13</vt:lpwstr>
  </property>
</Properties>
</file>