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FA6555">
      <w:pPr>
        <w:spacing w:line="600" w:lineRule="exact"/>
        <w:jc w:val="center"/>
        <w:rPr>
          <w:rFonts w:ascii="黑体" w:eastAsia="黑体"/>
          <w:sz w:val="44"/>
          <w:szCs w:val="44"/>
        </w:rPr>
      </w:pPr>
    </w:p>
    <w:p w14:paraId="2F209469">
      <w:pPr>
        <w:spacing w:line="600" w:lineRule="exact"/>
        <w:jc w:val="center"/>
        <w:rPr>
          <w:rFonts w:ascii="黑体" w:eastAsia="黑体"/>
          <w:sz w:val="44"/>
          <w:szCs w:val="44"/>
        </w:rPr>
      </w:pPr>
    </w:p>
    <w:p w14:paraId="2DB63A8B">
      <w:pPr>
        <w:spacing w:line="600" w:lineRule="exact"/>
        <w:jc w:val="center"/>
        <w:rPr>
          <w:rFonts w:ascii="黑体" w:eastAsia="黑体"/>
          <w:sz w:val="44"/>
          <w:szCs w:val="44"/>
        </w:rPr>
      </w:pPr>
    </w:p>
    <w:p w14:paraId="135DFD6B">
      <w:pPr>
        <w:spacing w:line="500" w:lineRule="exact"/>
        <w:rPr>
          <w:rFonts w:ascii="黑体" w:eastAsia="黑体"/>
          <w:sz w:val="44"/>
          <w:szCs w:val="44"/>
        </w:rPr>
      </w:pPr>
    </w:p>
    <w:p w14:paraId="01B9713E">
      <w:pPr>
        <w:spacing w:line="500" w:lineRule="exact"/>
        <w:rPr>
          <w:rFonts w:ascii="黑体" w:eastAsia="黑体"/>
          <w:sz w:val="13"/>
          <w:szCs w:val="13"/>
        </w:rPr>
      </w:pPr>
    </w:p>
    <w:p w14:paraId="6C951189">
      <w:pPr>
        <w:spacing w:line="600" w:lineRule="exact"/>
        <w:jc w:val="center"/>
        <w:rPr>
          <w:rFonts w:ascii="黑体" w:eastAsia="黑体"/>
          <w:sz w:val="44"/>
          <w:szCs w:val="44"/>
        </w:rPr>
      </w:pPr>
      <w:r>
        <w:rPr>
          <w:rFonts w:hint="eastAsia" w:ascii="仿宋_GB2312" w:hAnsi="仿宋_GB2312" w:eastAsia="仿宋_GB2312" w:cs="仿宋_GB2312"/>
          <w:sz w:val="32"/>
          <w:szCs w:val="32"/>
        </w:rPr>
        <w:t>涞水字</w:t>
      </w:r>
    </w:p>
    <w:p w14:paraId="15FB07DC">
      <w:pPr>
        <w:spacing w:line="600" w:lineRule="exact"/>
        <w:jc w:val="center"/>
        <w:rPr>
          <w:rFonts w:ascii="仿宋_GB2312" w:eastAsia="仿宋_GB2312"/>
          <w:sz w:val="32"/>
          <w:szCs w:val="32"/>
        </w:rPr>
      </w:pPr>
    </w:p>
    <w:p w14:paraId="146E52F6">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涞源县水利局</w:t>
      </w:r>
    </w:p>
    <w:p w14:paraId="75D92E03">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关于印发随机抽查市场监管执法事项清单的</w:t>
      </w:r>
    </w:p>
    <w:p w14:paraId="1D3AF9B9">
      <w:pPr>
        <w:widowControl/>
        <w:snapToGrid w:val="0"/>
        <w:spacing w:line="560" w:lineRule="exact"/>
        <w:jc w:val="center"/>
        <w:rPr>
          <w:rFonts w:ascii="方正小标宋简体" w:hAnsi="宋体" w:eastAsia="方正小标宋简体" w:cs="宋体"/>
          <w:kern w:val="0"/>
          <w:sz w:val="44"/>
          <w:szCs w:val="44"/>
        </w:rPr>
      </w:pPr>
      <w:r>
        <w:rPr>
          <w:rFonts w:hint="eastAsia" w:ascii="方正小标宋简体" w:hAnsi="宋体" w:eastAsia="方正小标宋简体" w:cs="宋体"/>
          <w:kern w:val="0"/>
          <w:sz w:val="44"/>
          <w:szCs w:val="44"/>
        </w:rPr>
        <w:t>通  知</w:t>
      </w:r>
    </w:p>
    <w:p w14:paraId="61FF6018">
      <w:pPr>
        <w:widowControl/>
        <w:snapToGrid w:val="0"/>
        <w:spacing w:line="560" w:lineRule="exact"/>
        <w:jc w:val="left"/>
        <w:rPr>
          <w:rFonts w:ascii="仿宋_GB2312" w:eastAsia="仿宋_GB2312" w:hAnsiTheme="minorEastAsia" w:cstheme="minorEastAsia"/>
          <w:kern w:val="0"/>
          <w:sz w:val="32"/>
          <w:szCs w:val="32"/>
        </w:rPr>
      </w:pPr>
    </w:p>
    <w:p w14:paraId="44E131F0">
      <w:pPr>
        <w:rPr>
          <w:rFonts w:ascii="仿宋_GB2312" w:eastAsia="仿宋_GB2312"/>
          <w:sz w:val="32"/>
          <w:szCs w:val="32"/>
        </w:rPr>
      </w:pPr>
      <w:r>
        <w:rPr>
          <w:rFonts w:hint="eastAsia" w:ascii="仿宋_GB2312" w:eastAsia="仿宋_GB2312"/>
          <w:sz w:val="32"/>
          <w:szCs w:val="32"/>
        </w:rPr>
        <w:t>各股室：</w:t>
      </w:r>
    </w:p>
    <w:p w14:paraId="6155F0D7">
      <w:pPr>
        <w:ind w:firstLine="645"/>
        <w:rPr>
          <w:rFonts w:ascii="仿宋_GB2312" w:eastAsia="仿宋_GB2312"/>
          <w:sz w:val="32"/>
          <w:szCs w:val="32"/>
        </w:rPr>
      </w:pPr>
      <w:r>
        <w:rPr>
          <w:rFonts w:hint="eastAsia" w:ascii="仿宋_GB2312" w:eastAsia="仿宋_GB2312"/>
          <w:sz w:val="32"/>
          <w:szCs w:val="32"/>
        </w:rPr>
        <w:t>现将涞源县水利局随机抽查市场监管执法事项清单(202</w:t>
      </w:r>
      <w:r>
        <w:rPr>
          <w:rFonts w:hint="eastAsia" w:ascii="仿宋_GB2312" w:eastAsia="仿宋_GB2312"/>
          <w:sz w:val="32"/>
          <w:szCs w:val="32"/>
          <w:lang w:val="en-US" w:eastAsia="zh-CN"/>
        </w:rPr>
        <w:t>6</w:t>
      </w:r>
      <w:r>
        <w:rPr>
          <w:rFonts w:hint="eastAsia" w:ascii="仿宋_GB2312" w:eastAsia="仿宋_GB2312"/>
          <w:sz w:val="32"/>
          <w:szCs w:val="32"/>
        </w:rPr>
        <w:t>年版）印发给你们，请各责任股室结合工作实际抓好落实，做到抽查事项全覆盖。</w:t>
      </w:r>
    </w:p>
    <w:p w14:paraId="7AFE1062">
      <w:pPr>
        <w:spacing w:line="600" w:lineRule="exact"/>
        <w:ind w:firstLine="640" w:firstLineChars="200"/>
        <w:rPr>
          <w:rFonts w:ascii="仿宋_GB2312" w:eastAsia="仿宋_GB2312" w:hAnsiTheme="minorEastAsia" w:cstheme="minorEastAsia"/>
          <w:bCs/>
          <w:color w:val="000000"/>
          <w:sz w:val="32"/>
          <w:szCs w:val="32"/>
        </w:rPr>
      </w:pPr>
      <w:r>
        <w:rPr>
          <w:rFonts w:hint="eastAsia" w:ascii="仿宋_GB2312" w:hAnsi="仿宋_GB2312" w:eastAsia="仿宋_GB2312" w:cs="仿宋_GB2312"/>
          <w:sz w:val="32"/>
          <w:szCs w:val="32"/>
        </w:rPr>
        <w:t>附件：</w:t>
      </w:r>
      <w:r>
        <w:rPr>
          <w:rFonts w:hint="eastAsia" w:ascii="仿宋_GB2312" w:eastAsia="仿宋_GB2312" w:hAnsiTheme="minorEastAsia" w:cstheme="minorEastAsia"/>
          <w:bCs/>
          <w:color w:val="000000"/>
          <w:sz w:val="32"/>
          <w:szCs w:val="32"/>
        </w:rPr>
        <w:t>涞源县水利局随机抽查市场监管执法事项清单(202</w:t>
      </w:r>
      <w:r>
        <w:rPr>
          <w:rFonts w:hint="eastAsia" w:ascii="仿宋_GB2312" w:eastAsia="仿宋_GB2312" w:hAnsiTheme="minorEastAsia" w:cstheme="minorEastAsia"/>
          <w:bCs/>
          <w:color w:val="000000"/>
          <w:sz w:val="32"/>
          <w:szCs w:val="32"/>
          <w:lang w:val="en-US" w:eastAsia="zh-CN"/>
        </w:rPr>
        <w:t>6</w:t>
      </w:r>
      <w:r>
        <w:rPr>
          <w:rFonts w:hint="eastAsia" w:ascii="仿宋_GB2312" w:eastAsia="仿宋_GB2312" w:hAnsiTheme="minorEastAsia" w:cstheme="minorEastAsia"/>
          <w:bCs/>
          <w:color w:val="000000"/>
          <w:sz w:val="32"/>
          <w:szCs w:val="32"/>
        </w:rPr>
        <w:t>年版）</w:t>
      </w:r>
    </w:p>
    <w:p w14:paraId="56162D85">
      <w:pPr>
        <w:pStyle w:val="6"/>
        <w:widowControl/>
        <w:spacing w:line="600" w:lineRule="exact"/>
        <w:ind w:firstLine="640"/>
        <w:jc w:val="left"/>
        <w:rPr>
          <w:rFonts w:ascii="仿宋_GB2312" w:eastAsia="仿宋_GB2312" w:hAnsiTheme="minorEastAsia" w:cstheme="minorEastAsia"/>
          <w:bCs/>
          <w:color w:val="000000"/>
          <w:sz w:val="32"/>
          <w:szCs w:val="32"/>
        </w:rPr>
      </w:pPr>
    </w:p>
    <w:p w14:paraId="558A23C1">
      <w:pPr>
        <w:pStyle w:val="6"/>
        <w:widowControl/>
        <w:spacing w:line="600" w:lineRule="exact"/>
        <w:ind w:firstLine="640"/>
        <w:jc w:val="left"/>
        <w:rPr>
          <w:rFonts w:ascii="仿宋_GB2312" w:eastAsia="仿宋_GB2312" w:hAnsiTheme="minorEastAsia" w:cstheme="minorEastAsia"/>
          <w:bCs/>
          <w:color w:val="000000"/>
          <w:sz w:val="32"/>
          <w:szCs w:val="32"/>
        </w:rPr>
      </w:pPr>
      <w:r>
        <w:rPr>
          <w:rFonts w:hint="eastAsia" w:ascii="仿宋_GB2312" w:eastAsia="仿宋_GB2312" w:hAnsiTheme="minorEastAsia" w:cstheme="minorEastAsia"/>
          <w:bCs/>
          <w:color w:val="000000"/>
          <w:sz w:val="32"/>
          <w:szCs w:val="32"/>
        </w:rPr>
        <w:t xml:space="preserve">                             涞源县水利局</w:t>
      </w:r>
    </w:p>
    <w:p w14:paraId="5D745E38">
      <w:pPr>
        <w:pStyle w:val="6"/>
        <w:widowControl/>
        <w:spacing w:line="600" w:lineRule="exact"/>
        <w:ind w:firstLine="5126" w:firstLineChars="1602"/>
        <w:jc w:val="left"/>
      </w:pPr>
      <w:r>
        <w:rPr>
          <w:rFonts w:hint="eastAsia" w:ascii="仿宋_GB2312" w:eastAsia="仿宋_GB2312" w:hAnsiTheme="minorEastAsia" w:cstheme="minorEastAsia"/>
          <w:bCs/>
          <w:color w:val="000000"/>
          <w:sz w:val="32"/>
          <w:szCs w:val="32"/>
        </w:rPr>
        <w:t>202</w:t>
      </w:r>
      <w:r>
        <w:rPr>
          <w:rFonts w:hint="eastAsia" w:ascii="仿宋_GB2312" w:eastAsia="仿宋_GB2312" w:hAnsiTheme="minorEastAsia" w:cstheme="minorEastAsia"/>
          <w:bCs/>
          <w:color w:val="000000"/>
          <w:sz w:val="32"/>
          <w:szCs w:val="32"/>
          <w:lang w:val="en-US" w:eastAsia="zh-CN"/>
        </w:rPr>
        <w:t>6</w:t>
      </w:r>
      <w:r>
        <w:rPr>
          <w:rFonts w:hint="eastAsia" w:ascii="仿宋_GB2312" w:eastAsia="仿宋_GB2312" w:hAnsiTheme="minorEastAsia" w:cstheme="minorEastAsia"/>
          <w:bCs/>
          <w:color w:val="000000"/>
          <w:sz w:val="32"/>
          <w:szCs w:val="32"/>
        </w:rPr>
        <w:t>年</w:t>
      </w:r>
      <w:r>
        <w:rPr>
          <w:rFonts w:hint="eastAsia" w:ascii="仿宋_GB2312" w:eastAsia="仿宋_GB2312" w:hAnsiTheme="minorEastAsia" w:cstheme="minorEastAsia"/>
          <w:bCs/>
          <w:color w:val="000000"/>
          <w:sz w:val="32"/>
          <w:szCs w:val="32"/>
          <w:lang w:val="en-US" w:eastAsia="zh-CN"/>
        </w:rPr>
        <w:t>3</w:t>
      </w:r>
      <w:r>
        <w:rPr>
          <w:rFonts w:hint="eastAsia" w:ascii="仿宋_GB2312" w:eastAsia="仿宋_GB2312" w:hAnsiTheme="minorEastAsia" w:cstheme="minorEastAsia"/>
          <w:bCs/>
          <w:color w:val="000000"/>
          <w:sz w:val="32"/>
          <w:szCs w:val="32"/>
        </w:rPr>
        <w:t>月</w:t>
      </w:r>
      <w:r>
        <w:rPr>
          <w:rFonts w:hint="eastAsia" w:ascii="仿宋_GB2312" w:eastAsia="仿宋_GB2312" w:hAnsiTheme="minorEastAsia" w:cstheme="minorEastAsia"/>
          <w:bCs/>
          <w:color w:val="000000"/>
          <w:sz w:val="32"/>
          <w:szCs w:val="32"/>
          <w:lang w:val="en-US" w:eastAsia="zh-CN"/>
        </w:rPr>
        <w:t>20</w:t>
      </w:r>
      <w:r>
        <w:rPr>
          <w:rFonts w:hint="eastAsia" w:ascii="仿宋_GB2312" w:eastAsia="仿宋_GB2312" w:hAnsiTheme="minorEastAsia" w:cstheme="minorEastAsia"/>
          <w:bCs/>
          <w:color w:val="000000"/>
          <w:sz w:val="32"/>
          <w:szCs w:val="32"/>
        </w:rPr>
        <w:t>日</w:t>
      </w:r>
    </w:p>
    <w:p w14:paraId="02B6E0DB"/>
    <w:p w14:paraId="23C6A8A4"/>
    <w:p w14:paraId="3EC8CA79">
      <w:pPr>
        <w:pStyle w:val="2"/>
        <w:spacing w:line="520" w:lineRule="exact"/>
        <w:rPr>
          <w:rFonts w:ascii="黑体" w:hAnsi="黑体" w:eastAsia="黑体" w:cstheme="minorEastAsia"/>
          <w:bCs/>
          <w:color w:val="000000"/>
          <w:sz w:val="32"/>
          <w:szCs w:val="32"/>
        </w:rPr>
        <w:sectPr>
          <w:footerReference r:id="rId3" w:type="default"/>
          <w:pgSz w:w="11906" w:h="16838"/>
          <w:pgMar w:top="1531" w:right="1531" w:bottom="1531" w:left="1531" w:header="851" w:footer="992" w:gutter="0"/>
          <w:cols w:space="425" w:num="1"/>
          <w:docGrid w:type="linesAndChars" w:linePitch="312" w:charSpace="0"/>
        </w:sectPr>
      </w:pPr>
      <w:r>
        <w:rPr>
          <w:rFonts w:ascii="仿宋_GB2312" w:hAnsi="仿宋_GB2312" w:eastAsia="仿宋_GB2312" w:cs="仿宋_GB2312"/>
          <w:sz w:val="32"/>
          <w:szCs w:val="32"/>
        </w:rPr>
        <w:pict>
          <v:line id="直接连接符 3" o:spid="_x0000_s1029" o:spt="20" style="position:absolute;left:0pt;flip:y;margin-left:0.3pt;margin-top:31.15pt;height:0.15pt;width:444.5pt;z-index:251659264;mso-width-relative:page;mso-height-relative:page;" coordsize="21600,21600" o:gfxdata="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x0ysedMAAAAG&#10;AQAADwAAAAAAAAABACAAAAAiAAAAZHJzL2Rvd25yZXYueG1sUEsBAhQAFAAAAAgAh07iQKkeI9vo&#10;AQAAsQMAAA4AAAAAAAAAAQAgAAAAIgEAAGRycy9lMm9Eb2MueG1sUEsFBgAAAAAGAAYAWQEAAHwF&#10;AAAAAA==&#10;">
            <v:path arrowok="t"/>
            <v:fill focussize="0,0"/>
            <v:stroke/>
            <v:imagedata o:title=""/>
            <o:lock v:ext="edit"/>
          </v:line>
        </w:pict>
      </w:r>
      <w:r>
        <w:rPr>
          <w:rFonts w:ascii="仿宋_GB2312" w:hAnsi="仿宋_GB2312" w:eastAsia="仿宋_GB2312" w:cs="仿宋_GB2312"/>
          <w:sz w:val="32"/>
          <w:szCs w:val="32"/>
        </w:rPr>
        <w:pict>
          <v:line id="直接连接符 5" o:spid="_x0000_s1028" o:spt="20" style="position:absolute;left:0pt;margin-left:0.6pt;margin-top:1pt;height:0.45pt;width:443.9pt;z-index:251660288;mso-width-relative:page;mso-height-relative:page;" coordsize="21600,21600" o:gfxdata="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LNaM77SAAAABQEAAA8AAAAAAAAA&#10;AQAgAAAAIgAAAGRycy9kb3ducmV2LnhtbFBLAQIUABQAAAAIAIdO4kCqTxDF3gEAAKcDAAAOAAAA&#10;AAAAAAEAIAAAACEBAABkcnMvZTJvRG9jLnhtbFBLBQYAAAAABgAGAFkBAABxBQAAAAA=&#10;">
            <v:path arrowok="t"/>
            <v:fill focussize="0,0"/>
            <v:stroke/>
            <v:imagedata o:title=""/>
            <o:lock v:ext="edit"/>
          </v:line>
        </w:pict>
      </w:r>
      <w:r>
        <w:rPr>
          <w:rFonts w:hint="eastAsia" w:ascii="仿宋_GB2312" w:hAnsi="仿宋_GB2312" w:eastAsia="仿宋_GB2312" w:cs="仿宋_GB2312"/>
          <w:sz w:val="32"/>
          <w:szCs w:val="32"/>
        </w:rPr>
        <w:t>涞源县水利局                        202</w:t>
      </w:r>
      <w:r>
        <w:rPr>
          <w:rFonts w:hint="eastAsia" w:ascii="仿宋_GB2312" w:hAnsi="仿宋_GB2312" w:eastAsia="仿宋_GB2312" w:cs="仿宋_GB2312"/>
          <w:sz w:val="32"/>
          <w:szCs w:val="32"/>
          <w:lang w:val="en-US" w:eastAsia="zh-CN"/>
        </w:rPr>
        <w:t>6</w:t>
      </w:r>
      <w:r>
        <w:rPr>
          <w:rFonts w:hint="eastAsia" w:ascii="仿宋_GB2312" w:hAnsi="仿宋_GB2312" w:eastAsia="仿宋_GB2312" w:cs="仿宋_GB2312"/>
          <w:sz w:val="32"/>
          <w:szCs w:val="32"/>
        </w:rPr>
        <w:t>年</w:t>
      </w: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月</w:t>
      </w:r>
      <w:r>
        <w:rPr>
          <w:rFonts w:hint="eastAsia" w:ascii="仿宋_GB2312" w:hAnsi="仿宋_GB2312" w:eastAsia="仿宋_GB2312" w:cs="仿宋_GB2312"/>
          <w:sz w:val="32"/>
          <w:szCs w:val="32"/>
          <w:lang w:val="en-US" w:eastAsia="zh-CN"/>
        </w:rPr>
        <w:t>20</w:t>
      </w:r>
      <w:r>
        <w:rPr>
          <w:rFonts w:hint="eastAsia" w:ascii="仿宋_GB2312" w:hAnsi="仿宋_GB2312" w:eastAsia="仿宋_GB2312" w:cs="仿宋_GB2312"/>
          <w:sz w:val="32"/>
          <w:szCs w:val="32"/>
        </w:rPr>
        <w:t>日印发</w:t>
      </w:r>
    </w:p>
    <w:p w14:paraId="6F4CB87B">
      <w:pPr>
        <w:pStyle w:val="6"/>
        <w:widowControl/>
        <w:spacing w:line="600" w:lineRule="exact"/>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附件：</w:t>
      </w:r>
    </w:p>
    <w:p w14:paraId="29196FB4">
      <w:pPr>
        <w:pStyle w:val="6"/>
        <w:widowControl/>
        <w:spacing w:line="600" w:lineRule="exact"/>
        <w:jc w:val="center"/>
        <w:rPr>
          <w:rFonts w:ascii="黑体" w:hAnsi="黑体" w:eastAsia="黑体" w:cstheme="minorEastAsia"/>
          <w:bCs/>
          <w:color w:val="000000"/>
          <w:sz w:val="32"/>
          <w:szCs w:val="32"/>
        </w:rPr>
      </w:pPr>
      <w:r>
        <w:rPr>
          <w:rFonts w:hint="eastAsia" w:ascii="黑体" w:hAnsi="黑体" w:eastAsia="黑体" w:cstheme="minorEastAsia"/>
          <w:bCs/>
          <w:color w:val="000000"/>
          <w:sz w:val="32"/>
          <w:szCs w:val="32"/>
        </w:rPr>
        <w:t>涞源县水利局随机抽查市场监管执法事项清单(202</w:t>
      </w:r>
      <w:r>
        <w:rPr>
          <w:rFonts w:hint="eastAsia" w:ascii="黑体" w:hAnsi="黑体" w:eastAsia="黑体" w:cstheme="minorEastAsia"/>
          <w:bCs/>
          <w:color w:val="000000"/>
          <w:sz w:val="32"/>
          <w:szCs w:val="32"/>
          <w:lang w:val="en-US" w:eastAsia="zh-CN"/>
        </w:rPr>
        <w:t>6</w:t>
      </w:r>
      <w:bookmarkStart w:id="0" w:name="_GoBack"/>
      <w:bookmarkEnd w:id="0"/>
      <w:r>
        <w:rPr>
          <w:rFonts w:hint="eastAsia" w:ascii="黑体" w:hAnsi="黑体" w:eastAsia="黑体" w:cstheme="minorEastAsia"/>
          <w:bCs/>
          <w:color w:val="000000"/>
          <w:sz w:val="32"/>
          <w:szCs w:val="32"/>
        </w:rPr>
        <w:t>年版）</w:t>
      </w:r>
    </w:p>
    <w:p w14:paraId="2E68C8AD">
      <w:pPr>
        <w:pStyle w:val="6"/>
        <w:widowControl/>
        <w:spacing w:line="600" w:lineRule="exact"/>
        <w:jc w:val="center"/>
        <w:rPr>
          <w:rFonts w:ascii="黑体" w:hAnsi="黑体" w:eastAsia="黑体" w:cstheme="minorEastAsia"/>
          <w:bCs/>
          <w:color w:val="000000"/>
          <w:sz w:val="32"/>
          <w:szCs w:val="32"/>
        </w:rPr>
      </w:pPr>
    </w:p>
    <w:tbl>
      <w:tblPr>
        <w:tblStyle w:val="7"/>
        <w:tblW w:w="13830" w:type="dxa"/>
        <w:tblInd w:w="95" w:type="dxa"/>
        <w:tblLayout w:type="fixed"/>
        <w:tblCellMar>
          <w:top w:w="0" w:type="dxa"/>
          <w:left w:w="108" w:type="dxa"/>
          <w:bottom w:w="0" w:type="dxa"/>
          <w:right w:w="108" w:type="dxa"/>
        </w:tblCellMar>
      </w:tblPr>
      <w:tblGrid>
        <w:gridCol w:w="617"/>
        <w:gridCol w:w="1167"/>
        <w:gridCol w:w="1117"/>
        <w:gridCol w:w="879"/>
        <w:gridCol w:w="854"/>
        <w:gridCol w:w="3183"/>
        <w:gridCol w:w="867"/>
        <w:gridCol w:w="4591"/>
        <w:gridCol w:w="555"/>
      </w:tblGrid>
      <w:tr w14:paraId="6CCEAC1A">
        <w:tblPrEx>
          <w:tblCellMar>
            <w:top w:w="0" w:type="dxa"/>
            <w:left w:w="108" w:type="dxa"/>
            <w:bottom w:w="0" w:type="dxa"/>
            <w:right w:w="108" w:type="dxa"/>
          </w:tblCellMar>
        </w:tblPrEx>
        <w:trPr>
          <w:trHeight w:val="840"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B9956D">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序号</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6C1DF">
            <w:pPr>
              <w:widowControl/>
              <w:jc w:val="center"/>
              <w:rPr>
                <w:rFonts w:hint="eastAsia" w:ascii="黑体" w:hAnsi="黑体" w:eastAsia="黑体" w:cs="宋体"/>
                <w:color w:val="000000"/>
                <w:kern w:val="0"/>
                <w:sz w:val="24"/>
                <w:lang w:eastAsia="zh-CN"/>
              </w:rPr>
            </w:pPr>
            <w:r>
              <w:rPr>
                <w:rFonts w:hint="eastAsia" w:ascii="黑体" w:hAnsi="黑体" w:eastAsia="黑体" w:cs="宋体"/>
                <w:color w:val="000000"/>
                <w:kern w:val="0"/>
                <w:sz w:val="24"/>
                <w:lang w:eastAsia="zh-CN"/>
              </w:rPr>
              <w:t>抽查类别名称</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1B13CD">
            <w:pPr>
              <w:widowControl/>
              <w:jc w:val="center"/>
              <w:rPr>
                <w:rFonts w:hint="eastAsia" w:ascii="黑体" w:hAnsi="黑体" w:eastAsia="黑体" w:cs="宋体"/>
                <w:color w:val="000000"/>
                <w:kern w:val="0"/>
                <w:sz w:val="24"/>
                <w:lang w:eastAsia="zh-CN"/>
              </w:rPr>
            </w:pPr>
            <w:r>
              <w:rPr>
                <w:rFonts w:hint="eastAsia" w:ascii="黑体" w:hAnsi="黑体" w:eastAsia="黑体" w:cs="宋体"/>
                <w:color w:val="000000"/>
                <w:kern w:val="0"/>
                <w:sz w:val="24"/>
                <w:lang w:eastAsia="zh-CN"/>
              </w:rPr>
              <w:t>事项名称</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7A6BE">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事项类别</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FF81F1">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w:t>
            </w:r>
          </w:p>
          <w:p w14:paraId="65FA3AFC">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主体</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627DB7">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检查依据</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BD89C7">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检查方式</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D1D5D8">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检查内容</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15FDF7">
            <w:pPr>
              <w:widowControl/>
              <w:jc w:val="center"/>
              <w:rPr>
                <w:rFonts w:ascii="黑体" w:hAnsi="黑体" w:eastAsia="黑体" w:cs="宋体"/>
                <w:color w:val="000000"/>
                <w:kern w:val="0"/>
                <w:sz w:val="24"/>
              </w:rPr>
            </w:pPr>
            <w:r>
              <w:rPr>
                <w:rFonts w:hint="eastAsia" w:ascii="黑体" w:hAnsi="黑体" w:eastAsia="黑体" w:cs="宋体"/>
                <w:color w:val="000000"/>
                <w:kern w:val="0"/>
                <w:sz w:val="24"/>
              </w:rPr>
              <w:t>备注</w:t>
            </w:r>
          </w:p>
        </w:tc>
      </w:tr>
      <w:tr w14:paraId="40C87828">
        <w:tblPrEx>
          <w:tblCellMar>
            <w:top w:w="0" w:type="dxa"/>
            <w:left w:w="108" w:type="dxa"/>
            <w:bottom w:w="0" w:type="dxa"/>
            <w:right w:w="108" w:type="dxa"/>
          </w:tblCellMar>
        </w:tblPrEx>
        <w:trPr>
          <w:trHeight w:val="1560"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0455C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1</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38BD">
            <w:pPr>
              <w:widowControl/>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对单位/个人取用水行为的随机抽查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4A02A">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对单位/个人取用水行为的随机抽查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BD74EA">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254D0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2EC06">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《取水许可和水资源费征收管理条例》第三十八条第一款。</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C707C9">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lang w:eastAsia="zh-CN"/>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A43C5">
            <w:pPr>
              <w:widowControl/>
              <w:jc w:val="center"/>
              <w:rPr>
                <w:rFonts w:hint="eastAsia" w:ascii="仿宋" w:hAnsi="仿宋" w:eastAsia="仿宋" w:cs="仿宋"/>
                <w:color w:val="000000"/>
                <w:kern w:val="0"/>
                <w:sz w:val="20"/>
                <w:szCs w:val="20"/>
              </w:rPr>
            </w:pPr>
            <w:r>
              <w:rPr>
                <w:rFonts w:hint="eastAsia" w:ascii="仿宋" w:hAnsi="仿宋" w:eastAsia="仿宋" w:cs="仿宋"/>
                <w:i w:val="0"/>
                <w:iCs w:val="0"/>
                <w:color w:val="000000"/>
                <w:kern w:val="0"/>
                <w:sz w:val="20"/>
                <w:szCs w:val="20"/>
                <w:u w:val="none"/>
                <w:lang w:val="en-US" w:eastAsia="zh-CN" w:bidi="ar"/>
              </w:rPr>
              <w:t>取水活动是否与取水许可批复内容一致。</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BAF096">
            <w:pPr>
              <w:widowControl/>
              <w:jc w:val="center"/>
              <w:rPr>
                <w:rFonts w:hint="eastAsia" w:ascii="仿宋" w:hAnsi="仿宋" w:eastAsia="仿宋" w:cs="仿宋"/>
                <w:color w:val="000000"/>
                <w:kern w:val="0"/>
                <w:sz w:val="20"/>
                <w:szCs w:val="20"/>
              </w:rPr>
            </w:pPr>
          </w:p>
        </w:tc>
      </w:tr>
      <w:tr w14:paraId="74E68323">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F4DB3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2</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C1B5D0">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对生产建设项目水土保持审批的后续监管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FB62C5">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对生产建设项目水土保持审批的后续监管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F6E794">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D79784">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847F2C">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《中华人民共和国水土保持法》第二十九条、第四十三条；《河北省实施＜中华人民共和国水土保持法＞办法》第二十三条、第三十八条；《水利部办公厅关于印发生产建设项目水土保持监督管理办法的通知》。</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E88B1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1CE5D8">
            <w:pPr>
              <w:widowControl/>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土保持工作组织管理情况；水土保持方案审批（含重大变更）情况、水土保持后续设计情况；表土剥离、保存和利用情况；取、弃土（包括渣、石、砂、矸石、尾矿等）场选址及防护情况；水土保持措施落实情况；水土保持监测、监理情况；水土保持补偿费缴纳情况；水土保持设施自主验收情况。</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CF5A2">
            <w:pPr>
              <w:widowControl/>
              <w:jc w:val="center"/>
              <w:rPr>
                <w:rFonts w:hint="eastAsia" w:ascii="仿宋" w:hAnsi="仿宋" w:eastAsia="仿宋" w:cs="仿宋"/>
                <w:color w:val="000000"/>
                <w:kern w:val="0"/>
                <w:sz w:val="20"/>
                <w:szCs w:val="20"/>
              </w:rPr>
            </w:pPr>
          </w:p>
        </w:tc>
      </w:tr>
      <w:tr w14:paraId="54493ADD">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42871">
            <w:pPr>
              <w:widowControl/>
              <w:jc w:val="center"/>
              <w:rPr>
                <w:rFonts w:hint="eastAsia" w:ascii="仿宋" w:hAnsi="仿宋" w:eastAsia="仿宋" w:cs="仿宋"/>
                <w:color w:val="000000" w:themeColor="text1"/>
                <w:kern w:val="0"/>
                <w:sz w:val="20"/>
                <w:szCs w:val="20"/>
                <w:lang w:val="en-US" w:eastAsia="zh-CN"/>
              </w:rPr>
            </w:pPr>
            <w:r>
              <w:rPr>
                <w:rFonts w:hint="eastAsia" w:ascii="仿宋" w:hAnsi="仿宋" w:eastAsia="仿宋" w:cs="仿宋"/>
                <w:color w:val="000000" w:themeColor="text1"/>
                <w:kern w:val="0"/>
                <w:sz w:val="20"/>
                <w:szCs w:val="20"/>
                <w:lang w:val="en-US" w:eastAsia="zh-CN"/>
              </w:rPr>
              <w:t>3</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5EE432">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rPr>
            </w:pPr>
            <w:r>
              <w:rPr>
                <w:rFonts w:hint="eastAsia" w:ascii="仿宋" w:hAnsi="仿宋" w:eastAsia="仿宋" w:cs="仿宋"/>
                <w:i w:val="0"/>
                <w:iCs w:val="0"/>
                <w:color w:val="000000" w:themeColor="text1"/>
                <w:kern w:val="2"/>
                <w:sz w:val="20"/>
                <w:szCs w:val="20"/>
                <w:u w:val="none"/>
                <w:lang w:val="en-US" w:eastAsia="zh-CN" w:bidi="ar-SA"/>
              </w:rPr>
              <w:t>对水利行业安全生产实施情况的监督检查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C60FD">
            <w:pPr>
              <w:widowControl/>
              <w:jc w:val="center"/>
              <w:rPr>
                <w:rFonts w:hint="eastAsia" w:ascii="仿宋" w:hAnsi="仿宋" w:eastAsia="仿宋" w:cs="仿宋"/>
                <w:color w:val="000000" w:themeColor="text1"/>
                <w:kern w:val="0"/>
                <w:sz w:val="20"/>
                <w:szCs w:val="20"/>
              </w:rPr>
            </w:pPr>
            <w:r>
              <w:rPr>
                <w:rFonts w:hint="eastAsia" w:ascii="仿宋" w:hAnsi="仿宋" w:eastAsia="仿宋" w:cs="仿宋"/>
                <w:color w:val="000000" w:themeColor="text1"/>
                <w:kern w:val="0"/>
                <w:sz w:val="20"/>
                <w:szCs w:val="20"/>
              </w:rPr>
              <w:t>水利行业安全生产实施情况监督检查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9D124">
            <w:pPr>
              <w:keepNext w:val="0"/>
              <w:keepLines w:val="0"/>
              <w:widowControl/>
              <w:suppressLineNumbers w:val="0"/>
              <w:jc w:val="center"/>
              <w:textAlignment w:val="center"/>
              <w:rPr>
                <w:rFonts w:hint="eastAsia" w:ascii="仿宋" w:hAnsi="仿宋" w:eastAsia="仿宋" w:cs="仿宋"/>
                <w:i w:val="0"/>
                <w:iCs w:val="0"/>
                <w:color w:val="000000" w:themeColor="text1"/>
                <w:kern w:val="2"/>
                <w:sz w:val="20"/>
                <w:szCs w:val="20"/>
                <w:u w:val="none"/>
                <w:lang w:val="en-US" w:eastAsia="zh-CN" w:bidi="ar-SA"/>
              </w:rPr>
            </w:pPr>
            <w:r>
              <w:rPr>
                <w:rFonts w:hint="eastAsia" w:ascii="仿宋" w:hAnsi="仿宋" w:eastAsia="仿宋" w:cs="仿宋"/>
                <w:i w:val="0"/>
                <w:iCs w:val="0"/>
                <w:color w:val="000000" w:themeColor="text1"/>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95BC73">
            <w:pPr>
              <w:widowControl/>
              <w:jc w:val="center"/>
              <w:rPr>
                <w:rFonts w:hint="eastAsia" w:ascii="仿宋" w:hAnsi="仿宋" w:eastAsia="仿宋" w:cs="仿宋"/>
                <w:color w:val="000000" w:themeColor="text1"/>
                <w:kern w:val="0"/>
                <w:sz w:val="20"/>
                <w:szCs w:val="20"/>
              </w:rPr>
            </w:pPr>
            <w:r>
              <w:rPr>
                <w:rFonts w:hint="eastAsia" w:ascii="仿宋" w:hAnsi="仿宋" w:eastAsia="仿宋" w:cs="仿宋"/>
                <w:color w:val="000000" w:themeColor="text1"/>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43368">
            <w:pPr>
              <w:keepNext w:val="0"/>
              <w:keepLines w:val="0"/>
              <w:widowControl/>
              <w:suppressLineNumbers w:val="0"/>
              <w:jc w:val="left"/>
              <w:textAlignment w:val="center"/>
              <w:rPr>
                <w:rFonts w:hint="eastAsia" w:ascii="仿宋" w:hAnsi="仿宋" w:eastAsia="仿宋" w:cs="仿宋"/>
                <w:color w:val="000000" w:themeColor="text1"/>
                <w:kern w:val="0"/>
                <w:sz w:val="20"/>
                <w:szCs w:val="20"/>
              </w:rPr>
            </w:pPr>
            <w:r>
              <w:rPr>
                <w:rFonts w:hint="eastAsia" w:ascii="仿宋" w:hAnsi="仿宋" w:eastAsia="仿宋" w:cs="仿宋"/>
                <w:color w:val="000000" w:themeColor="text1"/>
                <w:kern w:val="0"/>
                <w:sz w:val="20"/>
                <w:szCs w:val="20"/>
              </w:rPr>
              <w:t>《中华人民共和国安全生产法》第十条。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7FA7">
            <w:pPr>
              <w:widowControl/>
              <w:jc w:val="center"/>
              <w:rPr>
                <w:rFonts w:hint="eastAsia" w:ascii="仿宋" w:hAnsi="仿宋" w:eastAsia="仿宋" w:cs="仿宋"/>
                <w:color w:val="000000" w:themeColor="text1"/>
                <w:kern w:val="0"/>
                <w:sz w:val="20"/>
                <w:szCs w:val="20"/>
              </w:rPr>
            </w:pPr>
            <w:r>
              <w:rPr>
                <w:rFonts w:hint="eastAsia" w:ascii="仿宋" w:hAnsi="仿宋" w:eastAsia="仿宋" w:cs="仿宋"/>
                <w:i w:val="0"/>
                <w:iCs w:val="0"/>
                <w:color w:val="000000" w:themeColor="text1"/>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A35F3">
            <w:pPr>
              <w:keepNext w:val="0"/>
              <w:keepLines w:val="0"/>
              <w:widowControl/>
              <w:suppressLineNumbers w:val="0"/>
              <w:jc w:val="left"/>
              <w:textAlignment w:val="center"/>
              <w:rPr>
                <w:rFonts w:hint="eastAsia" w:ascii="仿宋" w:hAnsi="仿宋" w:eastAsia="仿宋" w:cs="仿宋"/>
                <w:i w:val="0"/>
                <w:iCs w:val="0"/>
                <w:color w:val="000000" w:themeColor="text1"/>
                <w:kern w:val="2"/>
                <w:sz w:val="20"/>
                <w:szCs w:val="20"/>
                <w:u w:val="none"/>
                <w:lang w:val="en-US" w:eastAsia="zh-CN" w:bidi="ar-SA"/>
              </w:rPr>
            </w:pPr>
            <w:r>
              <w:rPr>
                <w:rFonts w:hint="eastAsia" w:ascii="仿宋" w:hAnsi="仿宋" w:eastAsia="仿宋" w:cs="仿宋"/>
                <w:i w:val="0"/>
                <w:iCs w:val="0"/>
                <w:color w:val="000000" w:themeColor="text1"/>
                <w:kern w:val="2"/>
                <w:sz w:val="20"/>
                <w:szCs w:val="20"/>
                <w:u w:val="none"/>
                <w:lang w:val="en-US" w:eastAsia="zh-CN" w:bidi="ar-SA"/>
              </w:rPr>
              <w:t>安全生产实施情况监督检查：明确检查目的，制定检查方案，成立监督检查组，采取工作座谈、现场检查和查阅资料等方式开展监督检查，做好检查记录，反馈检查意见，发现安全隐患的督促被检查单位隐患整改。</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DF5FF">
            <w:pPr>
              <w:widowControl/>
              <w:jc w:val="center"/>
              <w:rPr>
                <w:rFonts w:hint="eastAsia" w:ascii="仿宋" w:hAnsi="仿宋" w:eastAsia="仿宋" w:cs="仿宋"/>
                <w:color w:val="000000" w:themeColor="text1"/>
                <w:kern w:val="0"/>
                <w:sz w:val="20"/>
                <w:szCs w:val="20"/>
              </w:rPr>
            </w:pPr>
          </w:p>
        </w:tc>
      </w:tr>
      <w:tr w14:paraId="097B3101">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4FF809">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4</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E11CF">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对大坝管理和保护范围内修建码头、渔塘许可后续监管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EA572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对大坝管理和保护范围内修建码头、渔塘许可后续监管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955BE5">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1685DF">
            <w:pPr>
              <w:widowControl/>
              <w:jc w:val="center"/>
              <w:rPr>
                <w:rFonts w:hint="eastAsia" w:ascii="仿宋" w:hAnsi="仿宋" w:eastAsia="仿宋" w:cs="仿宋"/>
                <w:color w:val="000000"/>
                <w:kern w:val="0"/>
                <w:sz w:val="20"/>
                <w:szCs w:val="20"/>
                <w:lang w:val="en-US" w:eastAsia="zh-CN" w:bidi="ar-SA"/>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A9B015">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《水库大坝安全管理条例》第三条、第十七条。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9D8B37">
            <w:pPr>
              <w:widowControl/>
              <w:jc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0746AA">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修建项目方案是否与批复文件一致；对大坝安全、工程管理和抢险工作是否有影响。</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FA99C">
            <w:pPr>
              <w:widowControl/>
              <w:jc w:val="center"/>
              <w:rPr>
                <w:rFonts w:hint="eastAsia" w:ascii="仿宋" w:hAnsi="仿宋" w:eastAsia="仿宋" w:cs="仿宋"/>
                <w:color w:val="000000"/>
                <w:kern w:val="0"/>
                <w:sz w:val="20"/>
                <w:szCs w:val="20"/>
              </w:rPr>
            </w:pPr>
          </w:p>
        </w:tc>
      </w:tr>
      <w:tr w14:paraId="75A0CB1C">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612D36">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5</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BB16B">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对河道管理范围内有关活动（不含河道采砂）审批的后续监管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0F1D9">
            <w:pPr>
              <w:widowControl/>
              <w:tabs>
                <w:tab w:val="left" w:pos="303"/>
              </w:tabs>
              <w:jc w:val="left"/>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ab/>
            </w:r>
            <w:r>
              <w:rPr>
                <w:rFonts w:hint="eastAsia" w:ascii="仿宋" w:hAnsi="仿宋" w:eastAsia="仿宋" w:cs="仿宋"/>
                <w:color w:val="000000"/>
                <w:kern w:val="0"/>
                <w:sz w:val="20"/>
                <w:szCs w:val="20"/>
                <w:lang w:eastAsia="zh-CN"/>
              </w:rPr>
              <w:t>对河道管理范围内有关活动（不含河道采砂）审批的后续监管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94AED">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8BC18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B2282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《中华人民共和国河道管理条例》第八条、第二十五条、第四十四条。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68FC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color w:val="000000"/>
                <w:kern w:val="0"/>
                <w:sz w:val="20"/>
                <w:szCs w:val="20"/>
                <w:lang w:eastAsia="zh-CN"/>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42AB6F">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是否越权审批、超类别审批；是否符合岸线功能分区管控要求；是否按照批复实施；是否未经批准设置临时建（构）筑物；是否非法倾倒弃渣、垃圾；是否落实消除和减轻影响措施；是否按规定编制防汛预案；是否存在其他未批先动或可能影响防洪安全问题；现场监管是否落实。</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6F43A">
            <w:pPr>
              <w:widowControl/>
              <w:jc w:val="center"/>
              <w:rPr>
                <w:rFonts w:hint="eastAsia" w:ascii="仿宋" w:hAnsi="仿宋" w:eastAsia="仿宋" w:cs="仿宋"/>
                <w:color w:val="000000"/>
                <w:kern w:val="0"/>
                <w:sz w:val="20"/>
                <w:szCs w:val="20"/>
              </w:rPr>
            </w:pPr>
          </w:p>
        </w:tc>
      </w:tr>
      <w:tr w14:paraId="3746FA0C">
        <w:tblPrEx>
          <w:tblCellMar>
            <w:top w:w="0" w:type="dxa"/>
            <w:left w:w="108" w:type="dxa"/>
            <w:bottom w:w="0" w:type="dxa"/>
            <w:right w:w="108" w:type="dxa"/>
          </w:tblCellMar>
        </w:tblPrEx>
        <w:trPr>
          <w:trHeight w:val="3902"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173282">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6</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C892D6">
            <w:pPr>
              <w:bidi w:val="0"/>
              <w:ind w:firstLine="504" w:firstLineChars="0"/>
              <w:jc w:val="left"/>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对洪水影响评价类审批（河道管理范围内建设项目工程建设方案审批）的后续监管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E102E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对洪水影响评价类审批（河道管理范围内建设项目工程建设方案审批）的后续监管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7FD98">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A343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A146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《中华人民共和国水法》第三十八条、第五十九条；《中华人民共和国防洪法》第二十七条、第二十八条。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7016A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0BC2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是否越权审批、超类别审批；是否符合岸线功能分区管控要求；是否按照批复实施；是否未经批准设置临时建（构）筑物；是否非法倾倒弃渣、垃圾；是否落实消除和减轻影响措施；是否按规定编制防汛预案；是否存在其他未批先建或可能影响防洪安全问题；现场监管是否落实。</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35712">
            <w:pPr>
              <w:widowControl/>
              <w:jc w:val="center"/>
              <w:rPr>
                <w:rFonts w:hint="eastAsia" w:ascii="仿宋" w:hAnsi="仿宋" w:eastAsia="仿宋" w:cs="仿宋"/>
                <w:color w:val="000000"/>
                <w:kern w:val="0"/>
                <w:sz w:val="20"/>
                <w:szCs w:val="20"/>
              </w:rPr>
            </w:pPr>
          </w:p>
        </w:tc>
      </w:tr>
      <w:tr w14:paraId="184536DE">
        <w:tblPrEx>
          <w:tblCellMar>
            <w:top w:w="0" w:type="dxa"/>
            <w:left w:w="108" w:type="dxa"/>
            <w:bottom w:w="0" w:type="dxa"/>
            <w:right w:w="108" w:type="dxa"/>
          </w:tblCellMar>
        </w:tblPrEx>
        <w:trPr>
          <w:trHeight w:val="2294"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4CF6A">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7</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5FA3C6">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对小水电站安全生产的监督检查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C69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对小水电站安全生产的监督检查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39EFCE">
            <w:pPr>
              <w:keepNext w:val="0"/>
              <w:keepLines w:val="0"/>
              <w:widowControl/>
              <w:suppressLineNumbers w:val="0"/>
              <w:ind w:left="400" w:hanging="400" w:hangingChars="200"/>
              <w:jc w:val="both"/>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0FE6F9">
            <w:pPr>
              <w:keepNext w:val="0"/>
              <w:keepLines w:val="0"/>
              <w:widowControl/>
              <w:suppressLineNumbers w:val="0"/>
              <w:ind w:left="200" w:hanging="200" w:hangingChars="10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E4CCF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《中华人民共和国安全生产法》第十条第二款、第六十五条。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CBE1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5F447F">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小水电生产经营单位安全生产主体责任履责情况；安全生产法律、法规和国家标准或者行业标准执行情况。</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25A7D">
            <w:pPr>
              <w:widowControl/>
              <w:jc w:val="center"/>
              <w:rPr>
                <w:rFonts w:hint="eastAsia" w:ascii="仿宋" w:hAnsi="仿宋" w:eastAsia="仿宋" w:cs="仿宋"/>
                <w:color w:val="000000"/>
                <w:kern w:val="0"/>
                <w:sz w:val="20"/>
                <w:szCs w:val="20"/>
              </w:rPr>
            </w:pPr>
          </w:p>
        </w:tc>
      </w:tr>
      <w:tr w14:paraId="68DF912D">
        <w:tblPrEx>
          <w:tblCellMar>
            <w:top w:w="0" w:type="dxa"/>
            <w:left w:w="108" w:type="dxa"/>
            <w:bottom w:w="0" w:type="dxa"/>
            <w:right w:w="108" w:type="dxa"/>
          </w:tblCellMar>
        </w:tblPrEx>
        <w:trPr>
          <w:trHeight w:val="272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352C28">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8</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9ECFE3">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对河道采砂的监督检查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7D7123">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对河道采砂的监督检查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C70F20">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1A3662">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C2C4C1">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《河北省河道采砂管理规定》第三条、第二十八条；《河北省河湖保护和治理条例》第三十三条、第三十四条；《水利部关于河道采砂管理工作的指导意见关于河道采砂管理工作的指导意见》。</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8653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3328E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采砂现场是否落实砂石采运管理单等现场监管制度；有无不按批准的采砂作业方式和范围采砂行为；采砂单位是否按照河道治理与采砂管控年度实施方案要求治理河道，是否在汛前将采砂机械设备撤出河道管理范围；堆砂场设置是否符合要求，是否存在河道采砂弃碴乱堆放情况。</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A12B92">
            <w:pPr>
              <w:widowControl/>
              <w:jc w:val="center"/>
              <w:rPr>
                <w:rFonts w:hint="eastAsia" w:ascii="仿宋" w:hAnsi="仿宋" w:eastAsia="仿宋" w:cs="仿宋"/>
                <w:color w:val="000000"/>
                <w:kern w:val="0"/>
                <w:sz w:val="20"/>
                <w:szCs w:val="20"/>
              </w:rPr>
            </w:pPr>
          </w:p>
        </w:tc>
      </w:tr>
      <w:tr w14:paraId="1352044C">
        <w:tblPrEx>
          <w:tblCellMar>
            <w:top w:w="0" w:type="dxa"/>
            <w:left w:w="108" w:type="dxa"/>
            <w:bottom w:w="0" w:type="dxa"/>
            <w:right w:w="108" w:type="dxa"/>
          </w:tblCellMar>
        </w:tblPrEx>
        <w:trPr>
          <w:trHeight w:val="3370"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3F9B0E">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9</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A25F5D">
            <w:pPr>
              <w:keepNext w:val="0"/>
              <w:keepLines w:val="0"/>
              <w:widowControl/>
              <w:suppressLineNumbers w:val="0"/>
              <w:jc w:val="center"/>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对水工程建设规划同意书审核后续监督检查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1A11AF">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对水工程建设规划同意书审核后续监督检查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231618">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88D00D">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BF39ED">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《水工程建设规划同意书制度管理办法（试行）》第十四条；《中华人民共和国防洪法》第十七条、第五十三条。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FE373A">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DA0845">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未经水行政主管部门批准的水工程项目，开工建设前是否按要求编制水工程建设规划同意书；水工程的施工建设是否符合规划同意书批复的内容和要求；是否有其他违反规划同意书批复内容的行为。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24BE">
            <w:pPr>
              <w:widowControl/>
              <w:jc w:val="center"/>
              <w:rPr>
                <w:rFonts w:hint="eastAsia" w:ascii="仿宋" w:hAnsi="仿宋" w:eastAsia="仿宋" w:cs="仿宋"/>
                <w:color w:val="000000"/>
                <w:kern w:val="0"/>
                <w:sz w:val="20"/>
                <w:szCs w:val="20"/>
              </w:rPr>
            </w:pPr>
          </w:p>
        </w:tc>
      </w:tr>
      <w:tr w14:paraId="327CBA4B">
        <w:tblPrEx>
          <w:tblCellMar>
            <w:top w:w="0" w:type="dxa"/>
            <w:left w:w="108" w:type="dxa"/>
            <w:bottom w:w="0" w:type="dxa"/>
            <w:right w:w="108" w:type="dxa"/>
          </w:tblCellMar>
        </w:tblPrEx>
        <w:trPr>
          <w:trHeight w:val="2350"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29390B">
            <w:pPr>
              <w:widowControl/>
              <w:jc w:val="center"/>
              <w:rPr>
                <w:rFonts w:hint="eastAsia" w:ascii="仿宋" w:hAnsi="仿宋" w:eastAsia="仿宋" w:cs="仿宋"/>
                <w:color w:val="000000"/>
                <w:kern w:val="0"/>
                <w:sz w:val="20"/>
                <w:szCs w:val="20"/>
                <w:lang w:val="en-US" w:eastAsia="zh-CN"/>
              </w:rPr>
            </w:pPr>
          </w:p>
          <w:p w14:paraId="676D9C06">
            <w:pPr>
              <w:bidi w:val="0"/>
              <w:rPr>
                <w:rFonts w:hint="eastAsia" w:ascii="仿宋" w:hAnsi="仿宋" w:eastAsia="仿宋" w:cs="仿宋"/>
                <w:kern w:val="2"/>
                <w:sz w:val="20"/>
                <w:szCs w:val="20"/>
                <w:lang w:val="en-US" w:eastAsia="zh-CN" w:bidi="ar-SA"/>
              </w:rPr>
            </w:pPr>
          </w:p>
          <w:p w14:paraId="387E0BE1">
            <w:pPr>
              <w:bidi w:val="0"/>
              <w:jc w:val="center"/>
              <w:rPr>
                <w:rFonts w:hint="eastAsia" w:ascii="仿宋" w:hAnsi="仿宋" w:eastAsia="仿宋" w:cs="仿宋"/>
                <w:sz w:val="20"/>
                <w:szCs w:val="20"/>
                <w:lang w:val="en-US" w:eastAsia="zh-CN"/>
              </w:rPr>
            </w:pPr>
            <w:r>
              <w:rPr>
                <w:rFonts w:hint="eastAsia" w:ascii="仿宋" w:hAnsi="仿宋" w:eastAsia="仿宋" w:cs="仿宋"/>
                <w:color w:val="000000" w:themeColor="text1"/>
                <w:sz w:val="20"/>
                <w:szCs w:val="20"/>
                <w:lang w:val="en-US" w:eastAsia="zh-CN"/>
              </w:rPr>
              <w:t>10</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EC59C">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对水利项目投资计划及统计管理的监督检查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71DA6">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水利统计管理监督检查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7C7B8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0"/>
                <w:sz w:val="20"/>
                <w:szCs w:val="20"/>
                <w:u w:val="none"/>
                <w:lang w:val="en-US" w:eastAsia="zh-CN" w:bidi="ar"/>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81704">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FEBDF8">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《水利部关于印发&lt;水利统计管理办法&gt;的通知》第六条。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36A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719428">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水利统计数据质量真实、准确、完整情况；配合同级政府统计机构查处重大水利统计违法行为。</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5C9269">
            <w:pPr>
              <w:widowControl/>
              <w:jc w:val="center"/>
              <w:rPr>
                <w:rFonts w:hint="eastAsia" w:ascii="仿宋" w:hAnsi="仿宋" w:eastAsia="仿宋" w:cs="仿宋"/>
                <w:color w:val="000000"/>
                <w:kern w:val="0"/>
                <w:sz w:val="20"/>
                <w:szCs w:val="20"/>
              </w:rPr>
            </w:pPr>
          </w:p>
        </w:tc>
      </w:tr>
      <w:tr w14:paraId="4681F392">
        <w:tblPrEx>
          <w:tblCellMar>
            <w:top w:w="0" w:type="dxa"/>
            <w:left w:w="108" w:type="dxa"/>
            <w:bottom w:w="0" w:type="dxa"/>
            <w:right w:w="108" w:type="dxa"/>
          </w:tblCellMar>
        </w:tblPrEx>
        <w:trPr>
          <w:trHeight w:val="1895"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98F26A">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11</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F660D7">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坝顶兼做公路检查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4B3FD0">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坝顶兼做公路检查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9F60EA">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71CCCC">
            <w:pPr>
              <w:keepNext w:val="0"/>
              <w:keepLines w:val="0"/>
              <w:widowControl/>
              <w:suppressLineNumbers w:val="0"/>
              <w:jc w:val="left"/>
              <w:textAlignment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1E7D9">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《水库大坝安全管理条例》第三条、第十六条。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EA6DFE">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BE5C3F">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检查坝顶兼做公路行政审批手续、安全管理制度和应急预案、安全警示标志等；检查坝顶兼做公路水利工程的安全监测和巡视检查。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5CFFC3">
            <w:pPr>
              <w:widowControl/>
              <w:jc w:val="center"/>
              <w:rPr>
                <w:rFonts w:hint="eastAsia" w:ascii="仿宋" w:hAnsi="仿宋" w:eastAsia="仿宋" w:cs="仿宋"/>
                <w:color w:val="000000"/>
                <w:kern w:val="0"/>
                <w:sz w:val="20"/>
                <w:szCs w:val="20"/>
              </w:rPr>
            </w:pPr>
          </w:p>
        </w:tc>
      </w:tr>
      <w:tr w14:paraId="3F44EA23">
        <w:tblPrEx>
          <w:tblCellMar>
            <w:top w:w="0" w:type="dxa"/>
            <w:left w:w="108" w:type="dxa"/>
            <w:bottom w:w="0" w:type="dxa"/>
            <w:right w:w="108" w:type="dxa"/>
          </w:tblCellMar>
        </w:tblPrEx>
        <w:trPr>
          <w:trHeight w:val="1707"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D7A166">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kern w:val="0"/>
                <w:sz w:val="20"/>
                <w:szCs w:val="20"/>
                <w:lang w:val="en-US" w:eastAsia="zh-CN"/>
              </w:rPr>
              <w:t>12</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B2B69F">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利用堤顶、戗台兼做公路检查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33AD2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利用堤顶、戗台兼做公路检查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799D2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FF75D7">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91DB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《中华人民共和国河道管理条例》第十五条。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D2845D">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EB0164">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检查利用堤顶、戗台兼做公路行政审批手续、安全管理制度和应急预案、安全警示标志等；检查利用堤顶、戗台兼做公路水利工程的巡视检查。</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7552A7">
            <w:pPr>
              <w:widowControl/>
              <w:jc w:val="center"/>
              <w:rPr>
                <w:rFonts w:hint="eastAsia" w:ascii="仿宋" w:hAnsi="仿宋" w:eastAsia="仿宋" w:cs="仿宋"/>
                <w:color w:val="000000"/>
                <w:kern w:val="0"/>
                <w:sz w:val="20"/>
                <w:szCs w:val="20"/>
              </w:rPr>
            </w:pPr>
          </w:p>
        </w:tc>
      </w:tr>
      <w:tr w14:paraId="6A3D6EC6">
        <w:tblPrEx>
          <w:tblCellMar>
            <w:top w:w="0" w:type="dxa"/>
            <w:left w:w="108" w:type="dxa"/>
            <w:bottom w:w="0" w:type="dxa"/>
            <w:right w:w="108" w:type="dxa"/>
          </w:tblCellMar>
        </w:tblPrEx>
        <w:trPr>
          <w:trHeight w:val="2596"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0CC97">
            <w:pPr>
              <w:widowControl/>
              <w:jc w:val="center"/>
              <w:rPr>
                <w:rFonts w:hint="eastAsia" w:ascii="仿宋" w:hAnsi="仿宋" w:eastAsia="仿宋" w:cs="仿宋"/>
                <w:color w:val="000000"/>
                <w:kern w:val="0"/>
                <w:sz w:val="20"/>
                <w:szCs w:val="20"/>
                <w:lang w:val="en-US" w:eastAsia="zh-CN"/>
              </w:rPr>
            </w:pPr>
            <w:r>
              <w:rPr>
                <w:rFonts w:hint="eastAsia" w:ascii="仿宋" w:hAnsi="仿宋" w:eastAsia="仿宋" w:cs="仿宋"/>
                <w:color w:val="000000" w:themeColor="text1"/>
                <w:kern w:val="0"/>
                <w:sz w:val="20"/>
                <w:szCs w:val="20"/>
                <w:lang w:val="en-US" w:eastAsia="zh-CN"/>
              </w:rPr>
              <w:t>13</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7A1D07">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对水旱灾害防御工作的监督检查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0084BE">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水旱灾害防御工作监督检查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3FDCDE">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重点检查事项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A6757">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04EDC">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《中华人民共和国防洪法》第八条第三款；《中华人民共和国防汛条例》第十五条；《中华人民共和国抗旱条例》第八条第二款、第三十条；《国家防汛抗旱督察办法（试行）》第五条。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1F0339">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现场检查、书面检查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E5A2E2">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防汛抗旱责任制落实情况；防汛抗旱预案修编情况；水利工程安全度汛准备工作情况；防汛抢险和抗旱服务队伍及物资储备情况；防汛抗旱检查及整改落实情况；城市防洪排涝准备工作情况；其他依法应当监督的内容。</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DD3C13">
            <w:pPr>
              <w:widowControl/>
              <w:jc w:val="center"/>
              <w:rPr>
                <w:rFonts w:hint="eastAsia" w:ascii="仿宋" w:hAnsi="仿宋" w:eastAsia="仿宋" w:cs="仿宋"/>
                <w:color w:val="000000"/>
                <w:kern w:val="0"/>
                <w:sz w:val="20"/>
                <w:szCs w:val="20"/>
              </w:rPr>
            </w:pPr>
          </w:p>
        </w:tc>
      </w:tr>
      <w:tr w14:paraId="044A6454">
        <w:tblPrEx>
          <w:tblCellMar>
            <w:top w:w="0" w:type="dxa"/>
            <w:left w:w="108" w:type="dxa"/>
            <w:bottom w:w="0" w:type="dxa"/>
            <w:right w:w="108" w:type="dxa"/>
          </w:tblCellMar>
        </w:tblPrEx>
        <w:trPr>
          <w:trHeight w:val="2735"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044B2B">
            <w:pPr>
              <w:widowControl/>
              <w:jc w:val="center"/>
              <w:rPr>
                <w:rFonts w:hint="eastAsia" w:ascii="仿宋" w:hAnsi="仿宋" w:eastAsia="仿宋" w:cs="仿宋"/>
                <w:color w:val="000000" w:themeColor="text1"/>
                <w:kern w:val="0"/>
                <w:sz w:val="20"/>
                <w:szCs w:val="20"/>
                <w:lang w:val="en-US" w:eastAsia="zh-CN"/>
              </w:rPr>
            </w:pPr>
            <w:r>
              <w:rPr>
                <w:rFonts w:hint="eastAsia" w:ascii="仿宋" w:hAnsi="仿宋" w:eastAsia="仿宋" w:cs="仿宋"/>
                <w:color w:val="000000" w:themeColor="text1"/>
                <w:kern w:val="0"/>
                <w:sz w:val="20"/>
                <w:szCs w:val="20"/>
                <w:lang w:val="en-US" w:eastAsia="zh-CN"/>
              </w:rPr>
              <w:t>14</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1C0891">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对大中型水利水电工程移民安置实施情况监督检查</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3BBCD">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对大中型水利水电工程移民安置实施情况监督检查</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9890E9">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02CDD3">
            <w:pPr>
              <w:keepNext w:val="0"/>
              <w:keepLines w:val="0"/>
              <w:widowControl/>
              <w:suppressLineNumbers w:val="0"/>
              <w:jc w:val="center"/>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8E62D6">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《大中型水利水电工程建设征地补偿和移民安置条例》第四十七条、第四十九条。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73315">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E5B02B">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对征地补偿和移民安置资金拨付、使用和管理情况进行监督检查，查看是否按照移民安置规划组织实施。</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3A0F4A">
            <w:pPr>
              <w:widowControl/>
              <w:jc w:val="center"/>
              <w:rPr>
                <w:rFonts w:hint="eastAsia" w:ascii="仿宋" w:hAnsi="仿宋" w:eastAsia="仿宋" w:cs="仿宋"/>
                <w:color w:val="000000"/>
                <w:kern w:val="0"/>
                <w:sz w:val="20"/>
                <w:szCs w:val="20"/>
              </w:rPr>
            </w:pPr>
          </w:p>
        </w:tc>
      </w:tr>
      <w:tr w14:paraId="4088C97E">
        <w:tblPrEx>
          <w:tblCellMar>
            <w:top w:w="0" w:type="dxa"/>
            <w:left w:w="108" w:type="dxa"/>
            <w:bottom w:w="0" w:type="dxa"/>
            <w:right w:w="108" w:type="dxa"/>
          </w:tblCellMar>
        </w:tblPrEx>
        <w:trPr>
          <w:trHeight w:val="2366"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81B173">
            <w:pPr>
              <w:widowControl/>
              <w:jc w:val="center"/>
              <w:rPr>
                <w:rFonts w:hint="eastAsia" w:ascii="仿宋" w:hAnsi="仿宋" w:eastAsia="仿宋" w:cs="仿宋"/>
                <w:color w:val="000000" w:themeColor="text1"/>
                <w:kern w:val="0"/>
                <w:sz w:val="20"/>
                <w:szCs w:val="20"/>
                <w:lang w:val="en-US" w:eastAsia="zh-CN"/>
              </w:rPr>
            </w:pPr>
            <w:r>
              <w:rPr>
                <w:rFonts w:hint="eastAsia" w:ascii="仿宋" w:hAnsi="仿宋" w:eastAsia="仿宋" w:cs="仿宋"/>
                <w:color w:val="000000" w:themeColor="text1"/>
                <w:kern w:val="0"/>
                <w:sz w:val="20"/>
                <w:szCs w:val="20"/>
                <w:lang w:val="en-US" w:eastAsia="zh-CN"/>
              </w:rPr>
              <w:t>15</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8BC05E">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对省级水利风景区设立的后续监管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AF7E6">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对省级水利风景区设立的后续监管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7EB64">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291FD6">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D5FDB">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《水利部关于印发〈水利风景区管理办法〉的通知》；《河北省推动水利风景区高质量发展的指导意见》。</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3E9D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10A92">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对省级水利风景区的基本条件、水城及其岸线保护、管理与服务进行复核。</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71BDA">
            <w:pPr>
              <w:widowControl/>
              <w:jc w:val="center"/>
              <w:rPr>
                <w:rFonts w:hint="eastAsia" w:ascii="仿宋" w:hAnsi="仿宋" w:eastAsia="仿宋" w:cs="仿宋"/>
                <w:color w:val="000000"/>
                <w:kern w:val="0"/>
                <w:sz w:val="20"/>
                <w:szCs w:val="20"/>
              </w:rPr>
            </w:pPr>
          </w:p>
        </w:tc>
      </w:tr>
      <w:tr w14:paraId="4A207CEE">
        <w:tblPrEx>
          <w:tblCellMar>
            <w:top w:w="0" w:type="dxa"/>
            <w:left w:w="108" w:type="dxa"/>
            <w:bottom w:w="0" w:type="dxa"/>
            <w:right w:w="108" w:type="dxa"/>
          </w:tblCellMar>
        </w:tblPrEx>
        <w:trPr>
          <w:trHeight w:val="3374" w:hRule="atLeast"/>
        </w:trPr>
        <w:tc>
          <w:tcPr>
            <w:tcW w:w="6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7DFEF">
            <w:pPr>
              <w:widowControl/>
              <w:jc w:val="center"/>
              <w:rPr>
                <w:rFonts w:hint="eastAsia" w:ascii="仿宋" w:hAnsi="仿宋" w:eastAsia="仿宋" w:cs="仿宋"/>
                <w:color w:val="000000" w:themeColor="text1"/>
                <w:kern w:val="0"/>
                <w:sz w:val="20"/>
                <w:szCs w:val="20"/>
                <w:lang w:val="en-US" w:eastAsia="zh-CN"/>
              </w:rPr>
            </w:pPr>
            <w:r>
              <w:rPr>
                <w:rFonts w:hint="eastAsia" w:ascii="仿宋" w:hAnsi="仿宋" w:eastAsia="仿宋" w:cs="仿宋"/>
                <w:color w:val="000000" w:themeColor="text1"/>
                <w:kern w:val="0"/>
                <w:sz w:val="20"/>
                <w:szCs w:val="20"/>
                <w:lang w:val="en-US" w:eastAsia="zh-CN"/>
              </w:rPr>
              <w:t>16</w:t>
            </w:r>
          </w:p>
        </w:tc>
        <w:tc>
          <w:tcPr>
            <w:tcW w:w="11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201CD">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对围垦河道审批的后续监管</w:t>
            </w:r>
          </w:p>
        </w:tc>
        <w:tc>
          <w:tcPr>
            <w:tcW w:w="11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A42D7">
            <w:pPr>
              <w:widowControl/>
              <w:jc w:val="center"/>
              <w:rPr>
                <w:rFonts w:hint="eastAsia" w:ascii="仿宋" w:hAnsi="仿宋" w:eastAsia="仿宋" w:cs="仿宋"/>
                <w:color w:val="000000"/>
                <w:kern w:val="0"/>
                <w:sz w:val="20"/>
                <w:szCs w:val="20"/>
              </w:rPr>
            </w:pPr>
            <w:r>
              <w:rPr>
                <w:rFonts w:hint="eastAsia" w:ascii="仿宋" w:hAnsi="仿宋" w:eastAsia="仿宋" w:cs="仿宋"/>
                <w:color w:val="000000"/>
                <w:kern w:val="0"/>
                <w:sz w:val="20"/>
                <w:szCs w:val="20"/>
              </w:rPr>
              <w:t>对围垦河道审批的后续监管</w:t>
            </w:r>
          </w:p>
        </w:tc>
        <w:tc>
          <w:tcPr>
            <w:tcW w:w="87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62D0B">
            <w:pPr>
              <w:keepNext w:val="0"/>
              <w:keepLines w:val="0"/>
              <w:widowControl/>
              <w:suppressLineNumbers w:val="0"/>
              <w:jc w:val="center"/>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一般检查事项</w:t>
            </w:r>
          </w:p>
        </w:tc>
        <w:tc>
          <w:tcPr>
            <w:tcW w:w="85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45390">
            <w:pPr>
              <w:keepNext w:val="0"/>
              <w:keepLines w:val="0"/>
              <w:widowControl/>
              <w:suppressLineNumbers w:val="0"/>
              <w:jc w:val="left"/>
              <w:textAlignment w:val="center"/>
              <w:rPr>
                <w:rFonts w:hint="eastAsia" w:ascii="仿宋" w:hAnsi="仿宋" w:eastAsia="仿宋" w:cs="仿宋"/>
                <w:color w:val="000000"/>
                <w:kern w:val="0"/>
                <w:sz w:val="20"/>
                <w:szCs w:val="20"/>
                <w:lang w:eastAsia="zh-CN"/>
              </w:rPr>
            </w:pPr>
            <w:r>
              <w:rPr>
                <w:rFonts w:hint="eastAsia" w:ascii="仿宋" w:hAnsi="仿宋" w:eastAsia="仿宋" w:cs="仿宋"/>
                <w:color w:val="000000"/>
                <w:kern w:val="0"/>
                <w:sz w:val="20"/>
                <w:szCs w:val="20"/>
                <w:lang w:eastAsia="zh-CN"/>
              </w:rPr>
              <w:t>涞源县水利局</w:t>
            </w:r>
          </w:p>
        </w:tc>
        <w:tc>
          <w:tcPr>
            <w:tcW w:w="31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F72A2">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《中华人民共和国水法》第四十条、第五十九条、第六十六条；《中华人民共和国防洪法》第二十三条、第五十六条；《中华人民共和国河道管理条例》第二十七条、第四十四条。</w:t>
            </w:r>
          </w:p>
        </w:tc>
        <w:tc>
          <w:tcPr>
            <w:tcW w:w="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7C913">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现场检查</w:t>
            </w:r>
          </w:p>
        </w:tc>
        <w:tc>
          <w:tcPr>
            <w:tcW w:w="45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47113">
            <w:pPr>
              <w:keepNext w:val="0"/>
              <w:keepLines w:val="0"/>
              <w:widowControl/>
              <w:suppressLineNumbers w:val="0"/>
              <w:jc w:val="left"/>
              <w:textAlignment w:val="center"/>
              <w:rPr>
                <w:rFonts w:hint="eastAsia" w:ascii="仿宋" w:hAnsi="仿宋" w:eastAsia="仿宋" w:cs="仿宋"/>
                <w:i w:val="0"/>
                <w:iCs w:val="0"/>
                <w:color w:val="000000"/>
                <w:kern w:val="2"/>
                <w:sz w:val="20"/>
                <w:szCs w:val="20"/>
                <w:u w:val="none"/>
                <w:lang w:val="en-US" w:eastAsia="zh-CN" w:bidi="ar-SA"/>
              </w:rPr>
            </w:pPr>
            <w:r>
              <w:rPr>
                <w:rFonts w:hint="eastAsia" w:ascii="仿宋" w:hAnsi="仿宋" w:eastAsia="仿宋" w:cs="仿宋"/>
                <w:i w:val="0"/>
                <w:iCs w:val="0"/>
                <w:color w:val="000000"/>
                <w:kern w:val="2"/>
                <w:sz w:val="20"/>
                <w:szCs w:val="20"/>
                <w:u w:val="none"/>
                <w:lang w:val="en-US" w:eastAsia="zh-CN" w:bidi="ar-SA"/>
              </w:rPr>
              <w:t>围垦河道方案是否与批复文件一致。</w:t>
            </w:r>
          </w:p>
        </w:tc>
        <w:tc>
          <w:tcPr>
            <w:tcW w:w="5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E57B46">
            <w:pPr>
              <w:widowControl/>
              <w:jc w:val="center"/>
              <w:rPr>
                <w:rFonts w:hint="eastAsia" w:ascii="仿宋" w:hAnsi="仿宋" w:eastAsia="仿宋" w:cs="仿宋"/>
                <w:color w:val="000000"/>
                <w:kern w:val="0"/>
                <w:sz w:val="20"/>
                <w:szCs w:val="20"/>
              </w:rPr>
            </w:pPr>
          </w:p>
        </w:tc>
      </w:tr>
    </w:tbl>
    <w:p w14:paraId="231BB439">
      <w:pPr>
        <w:pStyle w:val="6"/>
        <w:widowControl/>
        <w:spacing w:line="600" w:lineRule="exact"/>
        <w:jc w:val="left"/>
        <w:rPr>
          <w:rFonts w:hint="eastAsia" w:ascii="仿宋" w:hAnsi="仿宋" w:eastAsia="仿宋" w:cs="仿宋"/>
          <w:bCs/>
          <w:color w:val="000000"/>
          <w:sz w:val="20"/>
          <w:szCs w:val="20"/>
        </w:rPr>
      </w:pPr>
    </w:p>
    <w:sectPr>
      <w:pgSz w:w="16838" w:h="11906" w:orient="landscape"/>
      <w:pgMar w:top="1531" w:right="1531" w:bottom="1531"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2010601030101010101"/>
    <w:charset w:val="86"/>
    <w:family w:val="auto"/>
    <w:pitch w:val="default"/>
    <w:sig w:usb0="00000000" w:usb1="00000000" w:usb2="00000000" w:usb3="00000000" w:csb0="00040000"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82565891"/>
    </w:sdtPr>
    <w:sdtContent>
      <w:p w14:paraId="722A964F">
        <w:pPr>
          <w:pStyle w:val="4"/>
          <w:jc w:val="center"/>
        </w:pPr>
        <w:r>
          <w:fldChar w:fldCharType="begin"/>
        </w:r>
        <w:r>
          <w:instrText xml:space="preserve"> PAGE   \* MERGEFORMAT </w:instrText>
        </w:r>
        <w:r>
          <w:fldChar w:fldCharType="separate"/>
        </w:r>
        <w:r>
          <w:rPr>
            <w:lang w:val="zh-CN"/>
          </w:rPr>
          <w:t>2</w:t>
        </w:r>
        <w:r>
          <w:rPr>
            <w:lang w:val="zh-CN"/>
          </w:rPr>
          <w:fldChar w:fldCharType="end"/>
        </w:r>
      </w:p>
    </w:sdtContent>
  </w:sdt>
  <w:p w14:paraId="0049762B">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zU1OWNjMDczYmVkMmZhNTkwNTBjNzA1YzA2OTRmN2IifQ=="/>
  </w:docVars>
  <w:rsids>
    <w:rsidRoot w:val="00172A27"/>
    <w:rsid w:val="000D416C"/>
    <w:rsid w:val="001430E8"/>
    <w:rsid w:val="001E34F7"/>
    <w:rsid w:val="002061F3"/>
    <w:rsid w:val="00356461"/>
    <w:rsid w:val="00476122"/>
    <w:rsid w:val="004D294E"/>
    <w:rsid w:val="005B4F22"/>
    <w:rsid w:val="00622798"/>
    <w:rsid w:val="006A264A"/>
    <w:rsid w:val="0082107B"/>
    <w:rsid w:val="00910893"/>
    <w:rsid w:val="00995AFF"/>
    <w:rsid w:val="00A42EFA"/>
    <w:rsid w:val="00A56055"/>
    <w:rsid w:val="00A7036D"/>
    <w:rsid w:val="00AD4CB4"/>
    <w:rsid w:val="00AE60B8"/>
    <w:rsid w:val="00AE697E"/>
    <w:rsid w:val="00BE333A"/>
    <w:rsid w:val="00C82AC1"/>
    <w:rsid w:val="00C96B0D"/>
    <w:rsid w:val="00CC2C92"/>
    <w:rsid w:val="00D327AB"/>
    <w:rsid w:val="00D70084"/>
    <w:rsid w:val="00D867F7"/>
    <w:rsid w:val="00DA4DAC"/>
    <w:rsid w:val="00DB27C5"/>
    <w:rsid w:val="00DB4D8D"/>
    <w:rsid w:val="00DF309C"/>
    <w:rsid w:val="00DF6792"/>
    <w:rsid w:val="00EA55C9"/>
    <w:rsid w:val="00ED2D94"/>
    <w:rsid w:val="00F00E3A"/>
    <w:rsid w:val="00F05DC1"/>
    <w:rsid w:val="00F14A62"/>
    <w:rsid w:val="00F30651"/>
    <w:rsid w:val="00F64F0C"/>
    <w:rsid w:val="00FC51A0"/>
    <w:rsid w:val="00FC6137"/>
    <w:rsid w:val="04EE6171"/>
    <w:rsid w:val="06C2113B"/>
    <w:rsid w:val="074E0CA0"/>
    <w:rsid w:val="09175C96"/>
    <w:rsid w:val="0983714B"/>
    <w:rsid w:val="0B7F172C"/>
    <w:rsid w:val="0C7E602C"/>
    <w:rsid w:val="0CA0004D"/>
    <w:rsid w:val="0E356B7C"/>
    <w:rsid w:val="0E7B29B7"/>
    <w:rsid w:val="115D0906"/>
    <w:rsid w:val="127E6D86"/>
    <w:rsid w:val="137E6302"/>
    <w:rsid w:val="13C62793"/>
    <w:rsid w:val="14F11A91"/>
    <w:rsid w:val="15FB249C"/>
    <w:rsid w:val="17E15861"/>
    <w:rsid w:val="186A0851"/>
    <w:rsid w:val="18F97167"/>
    <w:rsid w:val="191F46F3"/>
    <w:rsid w:val="195444EE"/>
    <w:rsid w:val="1CCE090A"/>
    <w:rsid w:val="1E4363CF"/>
    <w:rsid w:val="205935E1"/>
    <w:rsid w:val="223E208E"/>
    <w:rsid w:val="23902475"/>
    <w:rsid w:val="251C76EF"/>
    <w:rsid w:val="26B3041E"/>
    <w:rsid w:val="2CBC3918"/>
    <w:rsid w:val="2FE51D9B"/>
    <w:rsid w:val="306672D0"/>
    <w:rsid w:val="31871872"/>
    <w:rsid w:val="32130D04"/>
    <w:rsid w:val="32AE0B6A"/>
    <w:rsid w:val="3321133C"/>
    <w:rsid w:val="34584AD9"/>
    <w:rsid w:val="37781747"/>
    <w:rsid w:val="37FC4126"/>
    <w:rsid w:val="3BC405B5"/>
    <w:rsid w:val="3C185014"/>
    <w:rsid w:val="3E8804C1"/>
    <w:rsid w:val="3FFC5D91"/>
    <w:rsid w:val="40612FFF"/>
    <w:rsid w:val="40BC36E5"/>
    <w:rsid w:val="40DE261A"/>
    <w:rsid w:val="421B164C"/>
    <w:rsid w:val="43282273"/>
    <w:rsid w:val="43B661F0"/>
    <w:rsid w:val="459B4CA3"/>
    <w:rsid w:val="467C678C"/>
    <w:rsid w:val="4B202E3C"/>
    <w:rsid w:val="4C1E07C0"/>
    <w:rsid w:val="4E5C4F7C"/>
    <w:rsid w:val="4FDB3A07"/>
    <w:rsid w:val="532A5B93"/>
    <w:rsid w:val="558D41B7"/>
    <w:rsid w:val="563A4E7A"/>
    <w:rsid w:val="586E6E66"/>
    <w:rsid w:val="587F4A06"/>
    <w:rsid w:val="58C609FC"/>
    <w:rsid w:val="5AFF16B3"/>
    <w:rsid w:val="5C07081F"/>
    <w:rsid w:val="5C8A31FF"/>
    <w:rsid w:val="611A05CE"/>
    <w:rsid w:val="61D03DA9"/>
    <w:rsid w:val="61F874E5"/>
    <w:rsid w:val="62B2525D"/>
    <w:rsid w:val="640B731B"/>
    <w:rsid w:val="68166F41"/>
    <w:rsid w:val="6848574E"/>
    <w:rsid w:val="68DA5ED1"/>
    <w:rsid w:val="6AED41DD"/>
    <w:rsid w:val="6DAC33F1"/>
    <w:rsid w:val="6DE5298B"/>
    <w:rsid w:val="6F7A4BEA"/>
    <w:rsid w:val="707A3481"/>
    <w:rsid w:val="716B764B"/>
    <w:rsid w:val="718F568E"/>
    <w:rsid w:val="72B15531"/>
    <w:rsid w:val="746F4517"/>
    <w:rsid w:val="76740D50"/>
    <w:rsid w:val="76852410"/>
    <w:rsid w:val="79510F4E"/>
    <w:rsid w:val="7B804580"/>
    <w:rsid w:val="7CC16371"/>
    <w:rsid w:val="7CDE5CC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Body Text"/>
    <w:basedOn w:val="1"/>
    <w:next w:val="1"/>
    <w:link w:val="13"/>
    <w:autoRedefine/>
    <w:qFormat/>
    <w:uiPriority w:val="0"/>
    <w:pPr>
      <w:spacing w:after="120"/>
    </w:pPr>
    <w:rPr>
      <w:rFonts w:ascii="Calibri" w:hAnsi="Calibri" w:eastAsia="宋体" w:cs="Times New Roman"/>
      <w:sz w:val="28"/>
      <w:szCs w:val="28"/>
    </w:rPr>
  </w:style>
  <w:style w:type="paragraph" w:styleId="3">
    <w:name w:val="Date"/>
    <w:basedOn w:val="1"/>
    <w:next w:val="1"/>
    <w:link w:val="12"/>
    <w:autoRedefine/>
    <w:qFormat/>
    <w:uiPriority w:val="0"/>
    <w:pPr>
      <w:ind w:left="100" w:leftChars="2500"/>
    </w:pPr>
  </w:style>
  <w:style w:type="paragraph" w:styleId="4">
    <w:name w:val="footer"/>
    <w:basedOn w:val="1"/>
    <w:link w:val="11"/>
    <w:autoRedefine/>
    <w:qFormat/>
    <w:uiPriority w:val="99"/>
    <w:pPr>
      <w:tabs>
        <w:tab w:val="center" w:pos="4153"/>
        <w:tab w:val="right" w:pos="8306"/>
      </w:tabs>
      <w:snapToGrid w:val="0"/>
      <w:jc w:val="left"/>
    </w:pPr>
    <w:rPr>
      <w:sz w:val="18"/>
      <w:szCs w:val="18"/>
    </w:rPr>
  </w:style>
  <w:style w:type="paragraph" w:styleId="5">
    <w:name w:val="header"/>
    <w:basedOn w:val="1"/>
    <w:link w:val="10"/>
    <w:autoRedefine/>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qFormat/>
    <w:uiPriority w:val="99"/>
    <w:rPr>
      <w:sz w:val="24"/>
    </w:rPr>
  </w:style>
  <w:style w:type="character" w:styleId="9">
    <w:name w:val="Strong"/>
    <w:basedOn w:val="8"/>
    <w:autoRedefine/>
    <w:qFormat/>
    <w:uiPriority w:val="22"/>
    <w:rPr>
      <w:b/>
      <w:bCs/>
    </w:rPr>
  </w:style>
  <w:style w:type="character" w:customStyle="1" w:styleId="10">
    <w:name w:val="页眉 Char"/>
    <w:basedOn w:val="8"/>
    <w:link w:val="5"/>
    <w:autoRedefine/>
    <w:qFormat/>
    <w:uiPriority w:val="0"/>
    <w:rPr>
      <w:rFonts w:asciiTheme="minorHAnsi" w:hAnsiTheme="minorHAnsi" w:eastAsiaTheme="minorEastAsia" w:cstheme="minorBidi"/>
      <w:kern w:val="2"/>
      <w:sz w:val="18"/>
      <w:szCs w:val="18"/>
    </w:rPr>
  </w:style>
  <w:style w:type="character" w:customStyle="1" w:styleId="11">
    <w:name w:val="页脚 Char"/>
    <w:basedOn w:val="8"/>
    <w:link w:val="4"/>
    <w:autoRedefine/>
    <w:qFormat/>
    <w:uiPriority w:val="99"/>
    <w:rPr>
      <w:rFonts w:asciiTheme="minorHAnsi" w:hAnsiTheme="minorHAnsi" w:eastAsiaTheme="minorEastAsia" w:cstheme="minorBidi"/>
      <w:kern w:val="2"/>
      <w:sz w:val="18"/>
      <w:szCs w:val="18"/>
    </w:rPr>
  </w:style>
  <w:style w:type="character" w:customStyle="1" w:styleId="12">
    <w:name w:val="日期 Char"/>
    <w:basedOn w:val="8"/>
    <w:link w:val="3"/>
    <w:autoRedefine/>
    <w:qFormat/>
    <w:uiPriority w:val="0"/>
    <w:rPr>
      <w:rFonts w:asciiTheme="minorHAnsi" w:hAnsiTheme="minorHAnsi" w:eastAsiaTheme="minorEastAsia" w:cstheme="minorBidi"/>
      <w:kern w:val="2"/>
      <w:sz w:val="21"/>
      <w:szCs w:val="24"/>
    </w:rPr>
  </w:style>
  <w:style w:type="character" w:customStyle="1" w:styleId="13">
    <w:name w:val="正文文本 Char"/>
    <w:basedOn w:val="8"/>
    <w:link w:val="2"/>
    <w:autoRedefine/>
    <w:qFormat/>
    <w:uiPriority w:val="0"/>
    <w:rPr>
      <w:rFonts w:ascii="Calibri" w:hAnsi="Calibri"/>
      <w:kern w:val="2"/>
      <w:sz w:val="28"/>
      <w:szCs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9"/>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Pages>
  <Words>2918</Words>
  <Characters>2945</Characters>
  <Lines>6</Lines>
  <Paragraphs>1</Paragraphs>
  <TotalTime>34</TotalTime>
  <ScaleCrop>false</ScaleCrop>
  <LinksUpToDate>false</LinksUpToDate>
  <CharactersWithSpaces>3001</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2020-04-09T03:36:00Z</dcterms:created>
  <dc:creator>Administrator</dc:creator>
  <cp:lastModifiedBy>wei</cp:lastModifiedBy>
  <cp:lastPrinted>2020-04-23T09:04:00Z</cp:lastPrinted>
  <dcterms:modified xsi:type="dcterms:W3CDTF">2026-03-31T01:53:49Z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387E74DE6387496B87A9BF399268B270</vt:lpwstr>
  </property>
  <property fmtid="{D5CDD505-2E9C-101B-9397-08002B2CF9AE}" pid="4" name="KSOTemplateDocerSaveRecord">
    <vt:lpwstr>eyJoZGlkIjoiNzU1OWNjMDczYmVkMmZhNTkwNTBjNzA1YzA2OTRmN2IiLCJ1c2VySWQiOiI4MjQ2Mjg1MTgifQ==</vt:lpwstr>
  </property>
</Properties>
</file>