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750" w:lineRule="atLeast"/>
        <w:ind w:left="0" w:righ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</w:rPr>
      </w:pPr>
      <w:bookmarkStart w:id="0" w:name="_GoBack"/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  <w:bdr w:val="none" w:color="auto" w:sz="0" w:space="0"/>
          <w:shd w:val="clear" w:fill="FFFFFF"/>
          <w:lang w:eastAsia="zh-CN"/>
        </w:rPr>
        <w:t>涞源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  <w:bdr w:val="none" w:color="auto" w:sz="0" w:space="0"/>
          <w:shd w:val="clear" w:fill="FFFFFF"/>
        </w:rPr>
        <w:t>县教育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  <w:bdr w:val="none" w:color="auto" w:sz="0" w:space="0"/>
          <w:shd w:val="clear" w:fill="FFFFFF"/>
          <w:lang w:eastAsia="zh-CN"/>
        </w:rPr>
        <w:t>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  <w:bdr w:val="none" w:color="auto" w:sz="0" w:space="0"/>
          <w:shd w:val="clear" w:fill="FFFFFF"/>
        </w:rPr>
        <w:t>体育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  <w:bdr w:val="none" w:color="auto" w:sz="0" w:space="0"/>
          <w:shd w:val="clear" w:fill="FFFFFF"/>
          <w:lang w:eastAsia="zh-CN"/>
        </w:rPr>
        <w:t>局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7"/>
          <w:szCs w:val="37"/>
          <w:bdr w:val="none" w:color="auto" w:sz="0" w:space="0"/>
          <w:shd w:val="clear" w:fill="FFFFFF"/>
        </w:rPr>
        <w:t>轻微违法行为免罚清单</w:t>
      </w:r>
    </w:p>
    <w:bookmarkEnd w:id="0"/>
    <w:tbl>
      <w:tblPr>
        <w:tblW w:w="1363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0"/>
        <w:gridCol w:w="1695"/>
        <w:gridCol w:w="7995"/>
        <w:gridCol w:w="31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  <w:jc w:val="center"/>
        </w:trPr>
        <w:tc>
          <w:tcPr>
            <w:tcW w:w="13635" w:type="dxa"/>
            <w:gridSpan w:val="4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lang w:eastAsia="zh-CN"/>
              </w:rPr>
              <w:t>涞源</w:t>
            </w:r>
            <w:r>
              <w:rPr>
                <w:rFonts w:hint="eastAsia" w:ascii="微软雅黑" w:hAnsi="微软雅黑" w:eastAsia="微软雅黑" w:cs="微软雅黑"/>
                <w:color w:val="333333"/>
              </w:rPr>
              <w:t>县教育</w:t>
            </w:r>
            <w:r>
              <w:rPr>
                <w:rFonts w:hint="eastAsia" w:ascii="微软雅黑" w:hAnsi="微软雅黑" w:eastAsia="微软雅黑" w:cs="微软雅黑"/>
                <w:color w:val="333333"/>
                <w:lang w:eastAsia="zh-CN"/>
              </w:rPr>
              <w:t>和</w:t>
            </w:r>
            <w:r>
              <w:rPr>
                <w:rFonts w:hint="eastAsia" w:ascii="微软雅黑" w:hAnsi="微软雅黑" w:eastAsia="微软雅黑" w:cs="微软雅黑"/>
                <w:color w:val="333333"/>
              </w:rPr>
              <w:t>体育</w:t>
            </w:r>
            <w:r>
              <w:rPr>
                <w:rFonts w:hint="eastAsia" w:ascii="微软雅黑" w:hAnsi="微软雅黑" w:eastAsia="微软雅黑" w:cs="微软雅黑"/>
                <w:color w:val="333333"/>
                <w:lang w:eastAsia="zh-CN"/>
              </w:rPr>
              <w:t>局</w:t>
            </w:r>
            <w:r>
              <w:rPr>
                <w:rFonts w:hint="eastAsia" w:ascii="微软雅黑" w:hAnsi="微软雅黑" w:eastAsia="微软雅黑" w:cs="微软雅黑"/>
                <w:color w:val="333333"/>
              </w:rPr>
              <w:t>轻微违法行为免罚清单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  <w:jc w:val="center"/>
        </w:trPr>
        <w:tc>
          <w:tcPr>
            <w:tcW w:w="13635" w:type="dxa"/>
            <w:gridSpan w:val="4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jc w:val="center"/>
        </w:trPr>
        <w:tc>
          <w:tcPr>
            <w:tcW w:w="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序号</w:t>
            </w:r>
          </w:p>
        </w:tc>
        <w:tc>
          <w:tcPr>
            <w:tcW w:w="16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违法行为</w:t>
            </w:r>
          </w:p>
        </w:tc>
        <w:tc>
          <w:tcPr>
            <w:tcW w:w="79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处罚依据</w:t>
            </w:r>
          </w:p>
        </w:tc>
        <w:tc>
          <w:tcPr>
            <w:tcW w:w="31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免罚情形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8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对不按规定开设或者随意停止体育课的处罚</w:t>
            </w:r>
          </w:p>
        </w:tc>
        <w:tc>
          <w:tcPr>
            <w:tcW w:w="79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1.《学校体育工作条例》（国家教育委员会令第8号、国家体委第11号令联合发布，国务院令第676号修正）第27条  对违反本条例，有下列行为之一的单位或者个人，由当地教育行政部门责令其限期改正，并视情节轻重对直接责任人员给予批评教育或者行政处分：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（一）不按规定开设或者随意停止体育课的；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（二）未保证学生每天一小时体育活动时间（含体育课）的；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（三）在体育竞赛中违反纪律、弄虚作假的；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（四）不按国家规定解决体育教师工作服装、粮食定量的。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2.《中华人民共和国行政处罚法》第33条 违法行为轻微并及时改正，没有造成危害后果的，不予行政处罚。初次违法且危害后果轻微并及时改正的，可以不予行政处罚。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当事人有证据足以证明没有主观过错的，不予行政处罚。法律、行政法规另有规定的，从其规定。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对当事人的违法行为依法不予行政处罚的，行政机关应当对当事人进行教育。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1.违法行为轻微并及时改正，没有造成危害后果的；     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2.初次违法且危害后果轻微并在行政机关责令改正的期限内改正的； 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3.当事人有证据足以证明没有主观过错的。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9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对未保证学生每天一小时体育活动时间（含体育课）的处罚</w:t>
            </w:r>
          </w:p>
        </w:tc>
        <w:tc>
          <w:tcPr>
            <w:tcW w:w="79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1.《学校体育工作条例》（国家教育委员会令第8号、国家体委第11号令联合发布，国务院令第676号修正）第27条  对违反本条例，有下列行为之一的单位或者个人，由当地教育行政部门责令其限期改正，并视情节轻重对直接责任人员给予批评教育或者行政处分：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（一）不按规定开设或者随意停止体育课的；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（二）未保证学生每天一小时体育活动时间（含体育课）的；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（三）在体育竞赛中违反纪律、弄虚作假的；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（四）不按国家规定解决体育教师工作服装、粮食定量的。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2.《中华人民共和国行政处罚法》第33条 违法行为轻微并及时改正，没有造成危害后果的，不予行政处罚。初次违法且危害后果轻微并及时改正的，可以不予行政处罚。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当事人有证据足以证明没有主观过错的，不予行政处罚。法律、行政法规另有规定的，从其规定。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对当事人的违法行为依法不予行政处罚的，行政机关应当对当事人进行教育。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1.违法行为轻微并及时改正，没有造成危害后果的；     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2.初次违法且危害后果轻微并在行政机关责令改正的期限内改正的； 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3.当事人有证据足以证明没有主观过错的。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6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5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对学校拒绝接收具有接受普通教育能力的残疾适龄儿童、少年随班</w:t>
            </w:r>
          </w:p>
        </w:tc>
        <w:tc>
          <w:tcPr>
            <w:tcW w:w="79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1.《中华人民共和国义务教育法》第57条  学校有下列情形之一的，由县级人民政府教育行政部门责令限期改正；情节严重的，对直接负责的主管人员和其他直接责任人员依法给予处分：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（一）拒绝接收具有接受普通教育能力的残疾适龄儿童、少年随班就读的；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（二）分设重点班和非重点班的；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（三）违反本法规定开除学生的；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（四）选用未经审定的教科书的。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2.《中华人民共和国行政处罚法》第33条 违法行为轻微并及时改正，没有造成危害后果的，不予行政处罚。初次违法且危害后果轻微并及时改正的，可以不予行政处罚。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当事人有证据足以证明没有主观过错的，不予行政处罚。法律、行政法规另有规定的，从其规定。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对当事人的违法行为依法不予行政处罚的，行政机关应当对当事人进行教育。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1.违法行为轻微并及时改正，没有造成危害后果的；     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2.初次违法且危害后果轻微并在行政机关责令改正的期限内改正的； 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3.当事人有证据足以证明没有主观过错的。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60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对学校分设重点班和非重点班的处罚</w:t>
            </w:r>
          </w:p>
        </w:tc>
        <w:tc>
          <w:tcPr>
            <w:tcW w:w="79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1.《中华人民共和国义务教育法》第57条  学校有下列情形之一的，由县级人民政府教育行政部门责令限期改正；情节严重的，对直接负责的主管人员和其他直接责任人员依法给予处分：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（一）拒绝接收具有接受普通教育能力的残疾适龄儿童、少年随班就读的；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（二）分设重点班和非重点班的；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（三）违反本法规定开除学生的；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（四）选用未经审定的教科书的。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2.《中华人民共和国行政处罚法》第33条 违法行为轻微并及时改正，没有造成危害后果的，不予行政处罚。初次违法且危害后果轻微并及时改正的，可以不予行政处罚。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当事人有证据足以证明没有主观过错的，不予行政处罚。法律、行政法规另有规定的，从其规定。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对当事人的违法行为依法不予行政处罚的，行政机关应当对当事人进行教育。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1.违法行为轻微并及时改正，没有造成危害后果的；     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2.初次违法且危害后果轻微并在行政机关责令改正的期限内改正的； 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3.当事人有证据足以证明没有主观过错的。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35" w:hRule="atLeast"/>
          <w:jc w:val="center"/>
        </w:trPr>
        <w:tc>
          <w:tcPr>
            <w:tcW w:w="0" w:type="auto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7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对学校违反义务教育法规定开除学生的处罚</w:t>
            </w:r>
          </w:p>
        </w:tc>
        <w:tc>
          <w:tcPr>
            <w:tcW w:w="79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1.《中华人民共和国义务教育法》第57条  学校有下列情形之一的，由县级人民政府教育行政部门责令限期改正；情节严重的，对直接负责的主管人员和其他直接责任人员依法给予处分：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（一）拒绝接收具有接受普通教育能力的残疾适龄儿童、少年随班就读的；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（二）分设重点班和非重点班的；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（三）违反本法规定开除学生的；</w:t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　　（四）选用未经审定的教科书的。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2.《中华人民共和国行政处罚法》第33条 违法行为轻微并及时改正，没有造成危害后果的，不予行政处罚。初次违法且危害后果轻微并及时改正的，可以不予行政处罚。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当事人有证据足以证明没有主观过错的，不予行政处罚。法律、行政法规另有规定的，从其规定。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对当事人的违法行为依法不予行政处罚的，行政机关应当对当事人进行教育。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31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1.违法行为轻微并及时改正，没有造成危害后果的；     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2.初次违法且危害后果轻微并在行政机关责令改正的期限内改正的；                           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3.当事人有证据足以证明没有主观过错的。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xNTY5ZjBmN2Y3YzY3NWFlZmQ2OTEwZTI5NmMyMDYifQ=="/>
  </w:docVars>
  <w:rsids>
    <w:rsidRoot w:val="00000000"/>
    <w:rsid w:val="13BB3241"/>
    <w:rsid w:val="17CE0602"/>
    <w:rsid w:val="240B2444"/>
    <w:rsid w:val="24E0567E"/>
    <w:rsid w:val="30263DF1"/>
    <w:rsid w:val="3A58481E"/>
    <w:rsid w:val="5D5F6439"/>
    <w:rsid w:val="5F524315"/>
    <w:rsid w:val="71E847F7"/>
    <w:rsid w:val="73F86545"/>
    <w:rsid w:val="73F952CF"/>
    <w:rsid w:val="7ABC1B33"/>
    <w:rsid w:val="7DBE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894</Words>
  <Characters>906</Characters>
  <Lines>0</Lines>
  <Paragraphs>0</Paragraphs>
  <TotalTime>3</TotalTime>
  <ScaleCrop>false</ScaleCrop>
  <LinksUpToDate>false</LinksUpToDate>
  <CharactersWithSpaces>906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2023-04-18T03:11:00Z</dcterms:created>
  <dc:creator>Administrator</dc:creator>
  <cp:lastModifiedBy>Administrator</cp:lastModifiedBy>
  <dcterms:modified xsi:type="dcterms:W3CDTF">2023-04-20T07:25:03Z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4B530CEEA78547FF9D6D5E0632D584F2_13</vt:lpwstr>
  </property>
</Properties>
</file>