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3D967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30"/>
          <w:szCs w:val="30"/>
          <w:bdr w:val="none" w:color="auto" w:sz="0" w:space="0"/>
          <w:shd w:val="clear" w:fill="FFFFFF"/>
          <w:lang w:val="en-US" w:eastAsia="zh-CN"/>
        </w:rPr>
        <w:t>泉坊</w:t>
      </w:r>
      <w:bookmarkStart w:id="0" w:name="_GoBack"/>
      <w:bookmarkEnd w:id="0"/>
      <w:r>
        <w:rPr>
          <w:rFonts w:hint="eastAsia" w:ascii="微软雅黑" w:hAnsi="微软雅黑" w:eastAsia="微软雅黑" w:cs="微软雅黑"/>
          <w:i w:val="0"/>
          <w:iCs w:val="0"/>
          <w:caps w:val="0"/>
          <w:color w:val="333333"/>
          <w:spacing w:val="0"/>
          <w:sz w:val="30"/>
          <w:szCs w:val="30"/>
          <w:bdr w:val="none" w:color="auto" w:sz="0" w:space="0"/>
          <w:shd w:val="clear" w:fill="FFFFFF"/>
        </w:rPr>
        <w:t>镇随机抽查事项清单</w:t>
      </w:r>
    </w:p>
    <w:tbl>
      <w:tblPr>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600"/>
        <w:gridCol w:w="2488"/>
        <w:gridCol w:w="1285"/>
        <w:gridCol w:w="705"/>
        <w:gridCol w:w="1021"/>
        <w:gridCol w:w="2423"/>
      </w:tblGrid>
      <w:tr w14:paraId="359FF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tblHeader/>
          <w:jc w:val="center"/>
        </w:trPr>
        <w:tc>
          <w:tcPr>
            <w:tcW w:w="0" w:type="auto"/>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2A2524CF">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b/>
                <w:i w:val="0"/>
                <w:iCs w:val="0"/>
                <w:caps w:val="0"/>
                <w:color w:val="333333"/>
                <w:spacing w:val="0"/>
                <w:sz w:val="15"/>
                <w:szCs w:val="15"/>
              </w:rPr>
            </w:pPr>
            <w:r>
              <w:rPr>
                <w:rFonts w:hint="eastAsia" w:ascii="微软雅黑" w:hAnsi="微软雅黑" w:eastAsia="微软雅黑" w:cs="微软雅黑"/>
                <w:b/>
                <w:i w:val="0"/>
                <w:iCs w:val="0"/>
                <w:caps w:val="0"/>
                <w:color w:val="333333"/>
                <w:spacing w:val="0"/>
                <w:kern w:val="0"/>
                <w:sz w:val="15"/>
                <w:szCs w:val="15"/>
                <w:bdr w:val="none" w:color="auto" w:sz="0" w:space="0"/>
                <w:lang w:val="en-US" w:eastAsia="zh-CN" w:bidi="ar"/>
              </w:rPr>
              <w:t>序号</w:t>
            </w:r>
          </w:p>
        </w:tc>
        <w:tc>
          <w:tcPr>
            <w:tcW w:w="2488"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77B09FB8">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b/>
                <w:i w:val="0"/>
                <w:iCs w:val="0"/>
                <w:caps w:val="0"/>
                <w:color w:val="333333"/>
                <w:spacing w:val="0"/>
                <w:sz w:val="15"/>
                <w:szCs w:val="15"/>
              </w:rPr>
            </w:pPr>
            <w:r>
              <w:rPr>
                <w:rFonts w:hint="eastAsia" w:ascii="微软雅黑" w:hAnsi="微软雅黑" w:eastAsia="微软雅黑" w:cs="微软雅黑"/>
                <w:b/>
                <w:i w:val="0"/>
                <w:iCs w:val="0"/>
                <w:caps w:val="0"/>
                <w:color w:val="333333"/>
                <w:spacing w:val="0"/>
                <w:kern w:val="0"/>
                <w:sz w:val="15"/>
                <w:szCs w:val="15"/>
                <w:bdr w:val="none" w:color="auto" w:sz="0" w:space="0"/>
                <w:lang w:val="en-US" w:eastAsia="zh-CN" w:bidi="ar"/>
              </w:rPr>
              <w:t>抽查项目</w:t>
            </w:r>
          </w:p>
        </w:tc>
        <w:tc>
          <w:tcPr>
            <w:tcW w:w="1285"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499A6B0E">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b/>
                <w:i w:val="0"/>
                <w:iCs w:val="0"/>
                <w:caps w:val="0"/>
                <w:color w:val="333333"/>
                <w:spacing w:val="0"/>
                <w:sz w:val="15"/>
                <w:szCs w:val="15"/>
              </w:rPr>
            </w:pPr>
            <w:r>
              <w:rPr>
                <w:rFonts w:hint="eastAsia" w:ascii="微软雅黑" w:hAnsi="微软雅黑" w:eastAsia="微软雅黑" w:cs="微软雅黑"/>
                <w:b/>
                <w:i w:val="0"/>
                <w:iCs w:val="0"/>
                <w:caps w:val="0"/>
                <w:color w:val="333333"/>
                <w:spacing w:val="0"/>
                <w:kern w:val="0"/>
                <w:sz w:val="15"/>
                <w:szCs w:val="15"/>
                <w:bdr w:val="none" w:color="auto" w:sz="0" w:space="0"/>
                <w:lang w:val="en-US" w:eastAsia="zh-CN" w:bidi="ar"/>
              </w:rPr>
              <w:t>事项类别</w:t>
            </w:r>
          </w:p>
        </w:tc>
        <w:tc>
          <w:tcPr>
            <w:tcW w:w="705"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61945821">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b/>
                <w:i w:val="0"/>
                <w:iCs w:val="0"/>
                <w:caps w:val="0"/>
                <w:color w:val="333333"/>
                <w:spacing w:val="0"/>
                <w:sz w:val="15"/>
                <w:szCs w:val="15"/>
              </w:rPr>
            </w:pPr>
            <w:r>
              <w:rPr>
                <w:rFonts w:hint="eastAsia" w:ascii="微软雅黑" w:hAnsi="微软雅黑" w:eastAsia="微软雅黑" w:cs="微软雅黑"/>
                <w:b/>
                <w:i w:val="0"/>
                <w:iCs w:val="0"/>
                <w:caps w:val="0"/>
                <w:color w:val="333333"/>
                <w:spacing w:val="0"/>
                <w:kern w:val="0"/>
                <w:sz w:val="15"/>
                <w:szCs w:val="15"/>
                <w:bdr w:val="none" w:color="auto" w:sz="0" w:space="0"/>
                <w:lang w:val="en-US" w:eastAsia="zh-CN" w:bidi="ar"/>
              </w:rPr>
              <w:t>检查方式</w:t>
            </w:r>
          </w:p>
        </w:tc>
        <w:tc>
          <w:tcPr>
            <w:tcW w:w="1021"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68E5FBFE">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b/>
                <w:i w:val="0"/>
                <w:iCs w:val="0"/>
                <w:caps w:val="0"/>
                <w:color w:val="333333"/>
                <w:spacing w:val="0"/>
                <w:sz w:val="15"/>
                <w:szCs w:val="15"/>
              </w:rPr>
            </w:pPr>
            <w:r>
              <w:rPr>
                <w:rFonts w:hint="eastAsia" w:ascii="微软雅黑" w:hAnsi="微软雅黑" w:eastAsia="微软雅黑" w:cs="微软雅黑"/>
                <w:b/>
                <w:i w:val="0"/>
                <w:iCs w:val="0"/>
                <w:caps w:val="0"/>
                <w:color w:val="333333"/>
                <w:spacing w:val="0"/>
                <w:kern w:val="0"/>
                <w:sz w:val="15"/>
                <w:szCs w:val="15"/>
                <w:bdr w:val="none" w:color="auto" w:sz="0" w:space="0"/>
                <w:lang w:val="en-US" w:eastAsia="zh-CN" w:bidi="ar"/>
              </w:rPr>
              <w:t>检查主体</w:t>
            </w:r>
          </w:p>
        </w:tc>
        <w:tc>
          <w:tcPr>
            <w:tcW w:w="2422"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29621211">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b/>
                <w:i w:val="0"/>
                <w:iCs w:val="0"/>
                <w:caps w:val="0"/>
                <w:color w:val="333333"/>
                <w:spacing w:val="0"/>
                <w:sz w:val="15"/>
                <w:szCs w:val="15"/>
              </w:rPr>
            </w:pPr>
            <w:r>
              <w:rPr>
                <w:rFonts w:hint="eastAsia" w:ascii="微软雅黑" w:hAnsi="微软雅黑" w:eastAsia="微软雅黑" w:cs="微软雅黑"/>
                <w:b/>
                <w:i w:val="0"/>
                <w:iCs w:val="0"/>
                <w:caps w:val="0"/>
                <w:color w:val="333333"/>
                <w:spacing w:val="0"/>
                <w:kern w:val="0"/>
                <w:sz w:val="15"/>
                <w:szCs w:val="15"/>
                <w:bdr w:val="none" w:color="auto" w:sz="0" w:space="0"/>
                <w:lang w:val="en-US" w:eastAsia="zh-CN" w:bidi="ar"/>
              </w:rPr>
              <w:t>检查依据</w:t>
            </w:r>
          </w:p>
        </w:tc>
      </w:tr>
      <w:tr w14:paraId="543FA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0" w:type="auto"/>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3881BF52">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1</w:t>
            </w:r>
          </w:p>
        </w:tc>
        <w:tc>
          <w:tcPr>
            <w:tcW w:w="2488"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7A62423A">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是否有违反施工现场作业规范行为的行为</w:t>
            </w:r>
          </w:p>
        </w:tc>
        <w:tc>
          <w:tcPr>
            <w:tcW w:w="1285"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18262F03">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一般检查事项</w:t>
            </w:r>
          </w:p>
        </w:tc>
        <w:tc>
          <w:tcPr>
            <w:tcW w:w="705"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6B6D0242">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随机抽查</w:t>
            </w:r>
          </w:p>
        </w:tc>
        <w:tc>
          <w:tcPr>
            <w:tcW w:w="1021"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12C8B7A6">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涞源镇</w:t>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br w:type="textWrapping"/>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综合行政执法队</w:t>
            </w:r>
          </w:p>
        </w:tc>
        <w:tc>
          <w:tcPr>
            <w:tcW w:w="2422"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6D7C6244">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中华人民共和国大气污染防治法》（2018年10月26日修正）第一百一十五条、《河北省城市市容和环境卫生条例》（2017年9月28日修正）第二十七条、《河北省人民代表大会常务委员会关于加强扬尘污染防治的决定》（2018年）第二十七条、《河北省扬尘污染防治办法》（省政府令〔2020〕第1号）第四十条</w:t>
            </w:r>
          </w:p>
        </w:tc>
      </w:tr>
      <w:tr w14:paraId="2FC57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0" w:type="auto"/>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6F6A58B2">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2</w:t>
            </w:r>
          </w:p>
        </w:tc>
        <w:tc>
          <w:tcPr>
            <w:tcW w:w="2488"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11773BCD">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是否有未按规定设置机构或者配备人员、主要负责人和安全管理人员未经考试合格、未按规定培训教育、未按规定制定预案或演练、特种作业人员未经培训并取得资格上岗作业的行为</w:t>
            </w:r>
          </w:p>
        </w:tc>
        <w:tc>
          <w:tcPr>
            <w:tcW w:w="1285"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223658CC">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一般检查事项</w:t>
            </w:r>
          </w:p>
        </w:tc>
        <w:tc>
          <w:tcPr>
            <w:tcW w:w="705"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00461E99">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随机抽查</w:t>
            </w:r>
          </w:p>
        </w:tc>
        <w:tc>
          <w:tcPr>
            <w:tcW w:w="1021"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0482A093">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涞源镇</w:t>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br w:type="textWrapping"/>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综合行政执法队</w:t>
            </w:r>
          </w:p>
        </w:tc>
        <w:tc>
          <w:tcPr>
            <w:tcW w:w="2422"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22DC13D3">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《中华人民共和国安全生产法》（2014年修改）第九十四条</w:t>
            </w:r>
          </w:p>
        </w:tc>
      </w:tr>
      <w:tr w14:paraId="1372D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0" w:type="auto"/>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31DB42E6">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3</w:t>
            </w:r>
          </w:p>
        </w:tc>
        <w:tc>
          <w:tcPr>
            <w:tcW w:w="2488"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26BF5D54">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是否有违规发包、出租的行为</w:t>
            </w:r>
          </w:p>
        </w:tc>
        <w:tc>
          <w:tcPr>
            <w:tcW w:w="1285"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3AE40C27">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一般检查事项</w:t>
            </w:r>
          </w:p>
        </w:tc>
        <w:tc>
          <w:tcPr>
            <w:tcW w:w="705"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31592AEC">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随机抽查</w:t>
            </w:r>
          </w:p>
        </w:tc>
        <w:tc>
          <w:tcPr>
            <w:tcW w:w="1021"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211B5704">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涞源镇</w:t>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br w:type="textWrapping"/>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综合行政执法队</w:t>
            </w:r>
          </w:p>
        </w:tc>
        <w:tc>
          <w:tcPr>
            <w:tcW w:w="2422"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64C624DF">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《中华人民共和国安全生产法》（2014年修改）第一百条</w:t>
            </w:r>
          </w:p>
        </w:tc>
      </w:tr>
      <w:tr w14:paraId="1E2E6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0" w:type="auto"/>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711451AC">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4</w:t>
            </w:r>
          </w:p>
        </w:tc>
        <w:tc>
          <w:tcPr>
            <w:tcW w:w="2488"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7743217C">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是否有未签订安全生产管理协议或者未指定专职安全生产管理人员进行安全检查与协调的行为</w:t>
            </w:r>
          </w:p>
        </w:tc>
        <w:tc>
          <w:tcPr>
            <w:tcW w:w="1285"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0603DFB7">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一般检查事项</w:t>
            </w:r>
          </w:p>
        </w:tc>
        <w:tc>
          <w:tcPr>
            <w:tcW w:w="705"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0DC356E0">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随机抽查</w:t>
            </w:r>
          </w:p>
        </w:tc>
        <w:tc>
          <w:tcPr>
            <w:tcW w:w="1021"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6F23BE58">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涞源镇</w:t>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br w:type="textWrapping"/>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综合行政执法队</w:t>
            </w:r>
          </w:p>
        </w:tc>
        <w:tc>
          <w:tcPr>
            <w:tcW w:w="2422"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17C3AC21">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《中华人民共和国安全生产法》（2014年修改）第一百零一条</w:t>
            </w:r>
          </w:p>
        </w:tc>
      </w:tr>
      <w:tr w14:paraId="0C6A1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0" w:type="auto"/>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098E57A2">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5</w:t>
            </w:r>
          </w:p>
        </w:tc>
        <w:tc>
          <w:tcPr>
            <w:tcW w:w="2488"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45FD67D2">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是否有“二合一”或距离不符合安全要求、生产经营场所和员工宿舍出口不符合要求的行为</w:t>
            </w:r>
          </w:p>
        </w:tc>
        <w:tc>
          <w:tcPr>
            <w:tcW w:w="1285"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6C0C05AD">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一般检查事项</w:t>
            </w:r>
          </w:p>
        </w:tc>
        <w:tc>
          <w:tcPr>
            <w:tcW w:w="705"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1C1F4FBA">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随机抽查</w:t>
            </w:r>
          </w:p>
        </w:tc>
        <w:tc>
          <w:tcPr>
            <w:tcW w:w="1021"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55726D25">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涞源镇</w:t>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br w:type="textWrapping"/>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综合行政执法队</w:t>
            </w:r>
          </w:p>
        </w:tc>
        <w:tc>
          <w:tcPr>
            <w:tcW w:w="2422"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55B67312">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《中华人民共和国安全生产法》（2014年修改）第一百零二条</w:t>
            </w:r>
          </w:p>
        </w:tc>
      </w:tr>
      <w:tr w14:paraId="74B6A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0" w:type="auto"/>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35FC67B6">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6</w:t>
            </w:r>
          </w:p>
        </w:tc>
        <w:tc>
          <w:tcPr>
            <w:tcW w:w="2488"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1F55977E">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是否有订立免除或减轻责任协议的行为</w:t>
            </w:r>
          </w:p>
        </w:tc>
        <w:tc>
          <w:tcPr>
            <w:tcW w:w="1285"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16603944">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一般检查事项</w:t>
            </w:r>
          </w:p>
        </w:tc>
        <w:tc>
          <w:tcPr>
            <w:tcW w:w="705"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217567E2">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随机抽查</w:t>
            </w:r>
          </w:p>
        </w:tc>
        <w:tc>
          <w:tcPr>
            <w:tcW w:w="1021"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09845247">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涞源镇</w:t>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br w:type="textWrapping"/>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综合行政执法队</w:t>
            </w:r>
          </w:p>
        </w:tc>
        <w:tc>
          <w:tcPr>
            <w:tcW w:w="2422"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72C3D7D5">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《中华人民共和国安全生产法》（2014年修改）第一百零三条</w:t>
            </w:r>
          </w:p>
        </w:tc>
      </w:tr>
      <w:tr w14:paraId="3EB1F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0" w:type="auto"/>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213AF516">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7</w:t>
            </w:r>
          </w:p>
        </w:tc>
        <w:tc>
          <w:tcPr>
            <w:tcW w:w="2488"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3341BB70">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是否有生产经营单位未按照规定进行安全检查、风险因素辨识管控、事故隐患排查的，或者是否有发现的事故隐患和问题未制定整改方案计划的；或者未采取措施消除事故隐患的；微小企业未查找或者未消除作业岗位危险因素的行为</w:t>
            </w:r>
          </w:p>
        </w:tc>
        <w:tc>
          <w:tcPr>
            <w:tcW w:w="1285"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1B4335D8">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一般检查事项</w:t>
            </w:r>
          </w:p>
        </w:tc>
        <w:tc>
          <w:tcPr>
            <w:tcW w:w="705"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65090F17">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随机抽查</w:t>
            </w:r>
          </w:p>
        </w:tc>
        <w:tc>
          <w:tcPr>
            <w:tcW w:w="1021"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75181084">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涞源镇</w:t>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br w:type="textWrapping"/>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综合行政执法队</w:t>
            </w:r>
          </w:p>
        </w:tc>
        <w:tc>
          <w:tcPr>
            <w:tcW w:w="2422"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1FB0597D">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《河北省安全生产条例》（2017年1月修订）第七十三条、《河北省安全生产风险管控与隐患治理规定》（省政府令〔2018〕第2号）第二十四条、第二十五条、第二十六条、第二十七条</w:t>
            </w:r>
          </w:p>
        </w:tc>
      </w:tr>
      <w:tr w14:paraId="5E449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0" w:type="auto"/>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0D7E14F4">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8</w:t>
            </w:r>
          </w:p>
        </w:tc>
        <w:tc>
          <w:tcPr>
            <w:tcW w:w="2488"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017B4673">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是否有未按照要求生产、经营清真食品的行为</w:t>
            </w:r>
          </w:p>
        </w:tc>
        <w:tc>
          <w:tcPr>
            <w:tcW w:w="1285"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221229AF">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一般检查事项</w:t>
            </w:r>
          </w:p>
        </w:tc>
        <w:tc>
          <w:tcPr>
            <w:tcW w:w="705"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6F1A779E">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随机抽查</w:t>
            </w:r>
          </w:p>
        </w:tc>
        <w:tc>
          <w:tcPr>
            <w:tcW w:w="1021"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65C11BF2">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涞源镇</w:t>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br w:type="textWrapping"/>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综合行政执法队</w:t>
            </w:r>
          </w:p>
        </w:tc>
        <w:tc>
          <w:tcPr>
            <w:tcW w:w="2422"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47E32497">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《河北省清真食品管理条例》（1999年）第十七条第（一）（二）（三）（四）（六）（七）（八）项</w:t>
            </w:r>
          </w:p>
        </w:tc>
      </w:tr>
      <w:tr w14:paraId="2D7AD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0" w:hRule="atLeast"/>
          <w:jc w:val="center"/>
        </w:trPr>
        <w:tc>
          <w:tcPr>
            <w:tcW w:w="600"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129F5EC5">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9</w:t>
            </w:r>
          </w:p>
        </w:tc>
        <w:tc>
          <w:tcPr>
            <w:tcW w:w="2488"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1C067898">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对未取得建设工程规划</w:t>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br w:type="textWrapping"/>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许可证进行建设的处罚</w:t>
            </w:r>
          </w:p>
        </w:tc>
        <w:tc>
          <w:tcPr>
            <w:tcW w:w="1285"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2A03590F">
            <w:pPr>
              <w:keepNext w:val="0"/>
              <w:keepLines w:val="0"/>
              <w:widowControl/>
              <w:suppressLineNumbers w:val="0"/>
              <w:snapToGrid w:val="0"/>
              <w:spacing w:before="0" w:beforeAutospacing="0" w:after="0" w:afterAutospacing="0" w:line="240" w:lineRule="auto"/>
              <w:ind w:left="0" w:leftChars="0" w:right="0" w:rightChars="0" w:firstLine="0" w:firstLineChars="0"/>
              <w:jc w:val="left"/>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一般检查事项</w:t>
            </w:r>
          </w:p>
        </w:tc>
        <w:tc>
          <w:tcPr>
            <w:tcW w:w="705"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4825D23A">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随机抽查</w:t>
            </w:r>
          </w:p>
        </w:tc>
        <w:tc>
          <w:tcPr>
            <w:tcW w:w="1021"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147FBE33">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涞源镇</w:t>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br w:type="textWrapping"/>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综合行政执法队</w:t>
            </w:r>
          </w:p>
        </w:tc>
        <w:tc>
          <w:tcPr>
            <w:tcW w:w="2422" w:type="dxa"/>
            <w:tcBorders>
              <w:top w:val="single" w:color="333333" w:sz="6" w:space="0"/>
              <w:left w:val="single" w:color="333333" w:sz="6" w:space="0"/>
              <w:bottom w:val="single" w:color="333333" w:sz="6" w:space="0"/>
              <w:right w:val="single" w:color="333333" w:sz="6" w:space="0"/>
            </w:tcBorders>
            <w:shd w:val="clear" w:color="auto" w:fill="FFFFFF"/>
            <w:tcMar>
              <w:left w:w="150" w:type="dxa"/>
              <w:right w:w="150" w:type="dxa"/>
            </w:tcMar>
            <w:vAlign w:val="center"/>
          </w:tcPr>
          <w:p w14:paraId="0F9C244A">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微软雅黑" w:hAnsi="微软雅黑" w:eastAsia="微软雅黑" w:cs="微软雅黑"/>
                <w:i w:val="0"/>
                <w:iCs w:val="0"/>
                <w:caps w:val="0"/>
                <w:color w:val="333333"/>
                <w:spacing w:val="0"/>
                <w:sz w:val="15"/>
                <w:szCs w:val="15"/>
              </w:rPr>
            </w:pP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《中华人民共和国城乡规划法》</w:t>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br w:type="textWrapping"/>
            </w:r>
            <w:r>
              <w:rPr>
                <w:rFonts w:hint="eastAsia" w:ascii="微软雅黑" w:hAnsi="微软雅黑" w:eastAsia="微软雅黑" w:cs="微软雅黑"/>
                <w:i w:val="0"/>
                <w:iCs w:val="0"/>
                <w:caps w:val="0"/>
                <w:color w:val="333333"/>
                <w:spacing w:val="0"/>
                <w:kern w:val="0"/>
                <w:sz w:val="15"/>
                <w:szCs w:val="15"/>
                <w:bdr w:val="none" w:color="auto" w:sz="0" w:space="0"/>
                <w:lang w:val="en-US" w:eastAsia="zh-CN" w:bidi="ar"/>
              </w:rPr>
              <w:t>（2019年4月23日第二次修正）第六十四条</w:t>
            </w:r>
          </w:p>
        </w:tc>
      </w:tr>
    </w:tbl>
    <w:p w14:paraId="2241290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5277C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2026-04-08T05:33:22Z</dcterms:created>
  <dc:creator>Administrator</dc:creator>
  <cp:lastModifiedBy>早起第一帅</cp:lastModifiedBy>
  <dcterms:modified xsi:type="dcterms:W3CDTF">2026-04-08T05:34:08Z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eyJoZGlkIjoiMGVhYjdlZTQ5OTUxOTAwYmI1M2QyZWJjZTU0MWJkNTMiLCJ1c2VySWQiOiIzMDQxMjM0MzkifQ==</vt:lpwstr>
  </property>
  <property fmtid="{D5CDD505-2E9C-101B-9397-08002B2CF9AE}" pid="4" name="ICV">
    <vt:lpwstr>B3AC66E01E244F68A043C5FB28D2E8F3_12</vt:lpwstr>
  </property>
</Properties>
</file>