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90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Theme="majorEastAsia" w:hAnsiTheme="majorEastAsia" w:eastAsiaTheme="majorEastAsia" w:cstheme="majorEastAsia"/>
          <w:b/>
          <w:bCs/>
          <w:i w:val="0"/>
          <w:iCs w:val="0"/>
          <w:caps w:val="0"/>
          <w:color w:val="333333"/>
          <w:spacing w:val="0"/>
          <w:sz w:val="21"/>
          <w:szCs w:val="21"/>
          <w:u w:val="none"/>
        </w:rPr>
      </w:pPr>
      <w:r>
        <w:rPr>
          <w:rFonts w:hint="eastAsia" w:asciiTheme="majorEastAsia" w:hAnsiTheme="majorEastAsia" w:eastAsiaTheme="majorEastAsia" w:cstheme="majorEastAsia"/>
          <w:b/>
          <w:bCs/>
          <w:i w:val="0"/>
          <w:iCs w:val="0"/>
          <w:caps w:val="0"/>
          <w:color w:val="333333"/>
          <w:spacing w:val="0"/>
          <w:sz w:val="36"/>
          <w:szCs w:val="36"/>
          <w:u w:val="none"/>
          <w:shd w:val="clear" w:fill="FFFFFF"/>
          <w:lang w:eastAsia="zh-CN"/>
        </w:rPr>
        <w:t>涞源县</w:t>
      </w:r>
      <w:r>
        <w:rPr>
          <w:rFonts w:hint="eastAsia" w:asciiTheme="majorEastAsia" w:hAnsiTheme="majorEastAsia" w:eastAsiaTheme="majorEastAsia" w:cstheme="majorEastAsia"/>
          <w:b/>
          <w:bCs/>
          <w:i w:val="0"/>
          <w:iCs w:val="0"/>
          <w:caps w:val="0"/>
          <w:color w:val="333333"/>
          <w:spacing w:val="0"/>
          <w:sz w:val="36"/>
          <w:szCs w:val="36"/>
          <w:u w:val="none"/>
          <w:shd w:val="clear" w:fill="FFFFFF"/>
        </w:rPr>
        <w:t>发展改革和科学技术局</w:t>
      </w:r>
    </w:p>
    <w:p w14:paraId="35E4D22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Theme="majorEastAsia" w:hAnsiTheme="majorEastAsia" w:eastAsiaTheme="majorEastAsia" w:cstheme="majorEastAsia"/>
          <w:b/>
          <w:bCs/>
          <w:i w:val="0"/>
          <w:iCs w:val="0"/>
          <w:caps w:val="0"/>
          <w:color w:val="333333"/>
          <w:spacing w:val="0"/>
          <w:sz w:val="21"/>
          <w:szCs w:val="21"/>
          <w:u w:val="none"/>
        </w:rPr>
      </w:pPr>
      <w:r>
        <w:rPr>
          <w:rFonts w:hint="eastAsia" w:asciiTheme="majorEastAsia" w:hAnsiTheme="majorEastAsia" w:eastAsiaTheme="majorEastAsia" w:cstheme="majorEastAsia"/>
          <w:b/>
          <w:bCs/>
          <w:i w:val="0"/>
          <w:iCs w:val="0"/>
          <w:caps w:val="0"/>
          <w:color w:val="333333"/>
          <w:spacing w:val="0"/>
          <w:sz w:val="36"/>
          <w:szCs w:val="36"/>
          <w:u w:val="none"/>
          <w:shd w:val="clear" w:fill="FFFFFF"/>
        </w:rPr>
        <w:t>关于遴选</w:t>
      </w:r>
      <w:r>
        <w:rPr>
          <w:rFonts w:hint="eastAsia" w:asciiTheme="majorEastAsia" w:hAnsiTheme="majorEastAsia" w:eastAsiaTheme="majorEastAsia" w:cstheme="majorEastAsia"/>
          <w:b/>
          <w:bCs/>
          <w:i w:val="0"/>
          <w:iCs w:val="0"/>
          <w:caps w:val="0"/>
          <w:color w:val="333333"/>
          <w:spacing w:val="0"/>
          <w:sz w:val="36"/>
          <w:szCs w:val="36"/>
          <w:u w:val="none"/>
          <w:shd w:val="clear" w:fill="FFFFFF"/>
          <w:lang w:eastAsia="zh-CN"/>
        </w:rPr>
        <w:t>涞源县</w:t>
      </w:r>
      <w:r>
        <w:rPr>
          <w:rFonts w:hint="eastAsia" w:asciiTheme="majorEastAsia" w:hAnsiTheme="majorEastAsia" w:eastAsiaTheme="majorEastAsia" w:cstheme="majorEastAsia"/>
          <w:b/>
          <w:bCs/>
          <w:i w:val="0"/>
          <w:iCs w:val="0"/>
          <w:caps w:val="0"/>
          <w:color w:val="333333"/>
          <w:spacing w:val="0"/>
          <w:sz w:val="36"/>
          <w:szCs w:val="36"/>
          <w:u w:val="none"/>
          <w:shd w:val="clear" w:fill="FFFFFF"/>
        </w:rPr>
        <w:t>2024年第</w:t>
      </w:r>
      <w:r>
        <w:rPr>
          <w:rFonts w:hint="eastAsia" w:asciiTheme="majorEastAsia" w:hAnsiTheme="majorEastAsia" w:eastAsiaTheme="majorEastAsia" w:cstheme="majorEastAsia"/>
          <w:b/>
          <w:bCs/>
          <w:i w:val="0"/>
          <w:iCs w:val="0"/>
          <w:caps w:val="0"/>
          <w:color w:val="333333"/>
          <w:spacing w:val="0"/>
          <w:sz w:val="36"/>
          <w:szCs w:val="36"/>
          <w:u w:val="none"/>
          <w:shd w:val="clear" w:fill="FFFFFF"/>
          <w:lang w:eastAsia="zh-CN"/>
        </w:rPr>
        <w:t>三</w:t>
      </w:r>
      <w:r>
        <w:rPr>
          <w:rFonts w:hint="eastAsia" w:asciiTheme="majorEastAsia" w:hAnsiTheme="majorEastAsia" w:eastAsiaTheme="majorEastAsia" w:cstheme="majorEastAsia"/>
          <w:b/>
          <w:bCs/>
          <w:i w:val="0"/>
          <w:iCs w:val="0"/>
          <w:caps w:val="0"/>
          <w:color w:val="333333"/>
          <w:spacing w:val="0"/>
          <w:sz w:val="36"/>
          <w:szCs w:val="36"/>
          <w:u w:val="none"/>
          <w:shd w:val="clear" w:fill="FFFFFF"/>
        </w:rPr>
        <w:t>批家电、家装、电动自行车以旧换新活动承办企业的</w:t>
      </w:r>
    </w:p>
    <w:p w14:paraId="74A05C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Theme="majorEastAsia" w:hAnsiTheme="majorEastAsia" w:eastAsiaTheme="majorEastAsia" w:cstheme="majorEastAsia"/>
          <w:b/>
          <w:bCs/>
          <w:i w:val="0"/>
          <w:iCs w:val="0"/>
          <w:caps w:val="0"/>
          <w:color w:val="333333"/>
          <w:spacing w:val="0"/>
          <w:sz w:val="21"/>
          <w:szCs w:val="21"/>
          <w:u w:val="none"/>
        </w:rPr>
      </w:pPr>
      <w:r>
        <w:rPr>
          <w:rFonts w:hint="eastAsia" w:asciiTheme="majorEastAsia" w:hAnsiTheme="majorEastAsia" w:eastAsiaTheme="majorEastAsia" w:cstheme="majorEastAsia"/>
          <w:b/>
          <w:bCs/>
          <w:i w:val="0"/>
          <w:iCs w:val="0"/>
          <w:caps w:val="0"/>
          <w:color w:val="333333"/>
          <w:spacing w:val="0"/>
          <w:sz w:val="36"/>
          <w:szCs w:val="36"/>
          <w:u w:val="none"/>
          <w:shd w:val="clear" w:fill="FFFFFF"/>
        </w:rPr>
        <w:t>公  示</w:t>
      </w:r>
    </w:p>
    <w:p w14:paraId="455E0A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D3D3D"/>
          <w:spacing w:val="0"/>
          <w:sz w:val="32"/>
          <w:szCs w:val="32"/>
          <w:u w:val="none"/>
          <w:shd w:val="clear" w:fill="FFFFFF"/>
        </w:rPr>
      </w:pPr>
    </w:p>
    <w:p w14:paraId="290895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为贯彻落实党中央、国务院和省、市关于消费品以旧换新工作系列部署，按照国家发改委、财政部《关于加力支持大规模设备更新和消费品以旧换新的若干措施》和8月以来商务部等多部门关于家电、电动自行车等商品以旧换新工作的最新政策安排，结合省</w:t>
      </w:r>
      <w:r>
        <w:rPr>
          <w:rFonts w:hint="eastAsia" w:ascii="仿宋" w:hAnsi="仿宋" w:eastAsia="仿宋" w:cs="仿宋"/>
          <w:i w:val="0"/>
          <w:iCs w:val="0"/>
          <w:caps w:val="0"/>
          <w:color w:val="3D3D3D"/>
          <w:spacing w:val="0"/>
          <w:sz w:val="32"/>
          <w:szCs w:val="32"/>
          <w:u w:val="none"/>
          <w:shd w:val="clear" w:fill="FFFFFF"/>
          <w:lang w:eastAsia="zh-CN"/>
        </w:rPr>
        <w:t>、市</w:t>
      </w:r>
      <w:r>
        <w:rPr>
          <w:rFonts w:hint="eastAsia" w:ascii="仿宋" w:hAnsi="仿宋" w:eastAsia="仿宋" w:cs="仿宋"/>
          <w:i w:val="0"/>
          <w:iCs w:val="0"/>
          <w:caps w:val="0"/>
          <w:color w:val="3D3D3D"/>
          <w:spacing w:val="0"/>
          <w:sz w:val="32"/>
          <w:szCs w:val="32"/>
          <w:u w:val="none"/>
          <w:shd w:val="clear" w:fill="FFFFFF"/>
        </w:rPr>
        <w:t>最新工作要求，拟面向全县开展家电、家装和电动自行车以旧换新活动承办单位遴选工作，具体事项明确如下：</w:t>
      </w:r>
    </w:p>
    <w:p w14:paraId="05B887F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shd w:val="clear" w:fill="FFFFFF"/>
        </w:rPr>
        <w:t>一、活动情况</w:t>
      </w:r>
    </w:p>
    <w:p w14:paraId="7059721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33333"/>
          <w:spacing w:val="0"/>
          <w:sz w:val="32"/>
          <w:szCs w:val="32"/>
          <w:u w:val="none"/>
        </w:rPr>
      </w:pPr>
      <w:r>
        <w:rPr>
          <w:rFonts w:hint="eastAsia" w:ascii="楷体" w:hAnsi="楷体" w:eastAsia="楷体" w:cs="楷体"/>
          <w:b/>
          <w:bCs/>
          <w:i w:val="0"/>
          <w:iCs w:val="0"/>
          <w:caps w:val="0"/>
          <w:color w:val="3D3D3D"/>
          <w:spacing w:val="0"/>
          <w:sz w:val="32"/>
          <w:szCs w:val="32"/>
          <w:u w:val="none"/>
          <w:shd w:val="clear" w:fill="FFFFFF"/>
        </w:rPr>
        <w:t>（一）活动时间</w:t>
      </w:r>
    </w:p>
    <w:p w14:paraId="03576C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活动已全面启动，实行资金总量控制，使用完毕即止，最晚年底前结束。</w:t>
      </w:r>
    </w:p>
    <w:p w14:paraId="73A415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D3D3D"/>
          <w:spacing w:val="0"/>
          <w:sz w:val="32"/>
          <w:szCs w:val="32"/>
          <w:u w:val="none"/>
          <w:shd w:val="clear" w:fill="FFFFFF"/>
        </w:rPr>
      </w:pPr>
      <w:r>
        <w:rPr>
          <w:rFonts w:hint="eastAsia" w:ascii="楷体" w:hAnsi="楷体" w:eastAsia="楷体" w:cs="楷体"/>
          <w:b/>
          <w:bCs/>
          <w:i w:val="0"/>
          <w:iCs w:val="0"/>
          <w:caps w:val="0"/>
          <w:color w:val="3D3D3D"/>
          <w:spacing w:val="0"/>
          <w:sz w:val="32"/>
          <w:szCs w:val="32"/>
          <w:u w:val="none"/>
          <w:shd w:val="clear" w:fill="FFFFFF"/>
        </w:rPr>
        <w:t>（二）遴选对象</w:t>
      </w:r>
    </w:p>
    <w:p w14:paraId="079120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在我县县域范围内依法纳税，经营良好，财务制度健全，近三年内信用评级良好，在工商、税务等方面无重大违法违规记录，从事相关行业经销的重点法人企业或个体工商户。</w:t>
      </w:r>
    </w:p>
    <w:p w14:paraId="2B9BF0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D3D3D"/>
          <w:spacing w:val="0"/>
          <w:sz w:val="32"/>
          <w:szCs w:val="32"/>
          <w:u w:val="none"/>
          <w:shd w:val="clear" w:fill="FFFFFF"/>
        </w:rPr>
      </w:pPr>
      <w:r>
        <w:rPr>
          <w:rFonts w:hint="eastAsia" w:ascii="楷体" w:hAnsi="楷体" w:eastAsia="楷体" w:cs="楷体"/>
          <w:b/>
          <w:bCs/>
          <w:i w:val="0"/>
          <w:iCs w:val="0"/>
          <w:caps w:val="0"/>
          <w:color w:val="3D3D3D"/>
          <w:spacing w:val="0"/>
          <w:sz w:val="32"/>
          <w:szCs w:val="32"/>
          <w:u w:val="none"/>
          <w:shd w:val="clear" w:fill="FFFFFF"/>
        </w:rPr>
        <w:t>（三）遴选方式</w:t>
      </w:r>
    </w:p>
    <w:p w14:paraId="05AA5CE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采取公开征集方式。通过拟参与单位自主报名，</w:t>
      </w:r>
      <w:r>
        <w:rPr>
          <w:rFonts w:hint="eastAsia" w:ascii="仿宋" w:hAnsi="仿宋" w:eastAsia="仿宋" w:cs="仿宋"/>
          <w:i w:val="0"/>
          <w:iCs w:val="0"/>
          <w:caps w:val="0"/>
          <w:color w:val="3D3D3D"/>
          <w:spacing w:val="0"/>
          <w:sz w:val="32"/>
          <w:szCs w:val="32"/>
          <w:u w:val="none"/>
          <w:shd w:val="clear" w:fill="FFFFFF"/>
          <w:lang w:eastAsia="zh-CN"/>
        </w:rPr>
        <w:t>各乡镇人民政府推荐，</w:t>
      </w:r>
      <w:r>
        <w:rPr>
          <w:rFonts w:hint="eastAsia" w:ascii="仿宋" w:hAnsi="仿宋" w:eastAsia="仿宋" w:cs="仿宋"/>
          <w:i w:val="0"/>
          <w:iCs w:val="0"/>
          <w:caps w:val="0"/>
          <w:color w:val="3D3D3D"/>
          <w:spacing w:val="0"/>
          <w:sz w:val="32"/>
          <w:szCs w:val="32"/>
          <w:u w:val="none"/>
          <w:shd w:val="clear" w:fill="FFFFFF"/>
        </w:rPr>
        <w:t>县发改和科技局审核，市商务局</w:t>
      </w:r>
      <w:r>
        <w:rPr>
          <w:rFonts w:hint="eastAsia" w:ascii="仿宋" w:hAnsi="仿宋" w:eastAsia="仿宋" w:cs="仿宋"/>
          <w:i w:val="0"/>
          <w:iCs w:val="0"/>
          <w:caps w:val="0"/>
          <w:color w:val="3D3D3D"/>
          <w:spacing w:val="0"/>
          <w:sz w:val="32"/>
          <w:szCs w:val="32"/>
          <w:u w:val="none"/>
          <w:shd w:val="clear" w:fill="FFFFFF"/>
          <w:lang w:eastAsia="zh-CN"/>
        </w:rPr>
        <w:t>组织</w:t>
      </w:r>
      <w:r>
        <w:rPr>
          <w:rFonts w:hint="eastAsia" w:ascii="仿宋" w:hAnsi="仿宋" w:eastAsia="仿宋" w:cs="仿宋"/>
          <w:i w:val="0"/>
          <w:iCs w:val="0"/>
          <w:caps w:val="0"/>
          <w:color w:val="3D3D3D"/>
          <w:spacing w:val="0"/>
          <w:sz w:val="32"/>
          <w:szCs w:val="32"/>
          <w:u w:val="none"/>
          <w:shd w:val="clear" w:fill="FFFFFF"/>
        </w:rPr>
        <w:t>专家集中评审</w:t>
      </w:r>
      <w:r>
        <w:rPr>
          <w:rFonts w:hint="eastAsia" w:ascii="仿宋" w:hAnsi="仿宋" w:eastAsia="仿宋" w:cs="仿宋"/>
          <w:i w:val="0"/>
          <w:iCs w:val="0"/>
          <w:caps w:val="0"/>
          <w:color w:val="3D3D3D"/>
          <w:spacing w:val="0"/>
          <w:sz w:val="32"/>
          <w:szCs w:val="32"/>
          <w:u w:val="none"/>
          <w:shd w:val="clear" w:fill="FFFFFF"/>
          <w:lang w:eastAsia="zh-CN"/>
        </w:rPr>
        <w:t>，</w:t>
      </w:r>
      <w:r>
        <w:rPr>
          <w:rFonts w:hint="eastAsia" w:ascii="仿宋" w:hAnsi="仿宋" w:eastAsia="仿宋" w:cs="仿宋"/>
          <w:i w:val="0"/>
          <w:iCs w:val="0"/>
          <w:caps w:val="0"/>
          <w:color w:val="3D3D3D"/>
          <w:spacing w:val="0"/>
          <w:sz w:val="32"/>
          <w:szCs w:val="32"/>
          <w:u w:val="none"/>
          <w:shd w:val="clear" w:fill="FFFFFF"/>
        </w:rPr>
        <w:t>研究确定并公示的方式遴选承办单位。</w:t>
      </w:r>
    </w:p>
    <w:p w14:paraId="5FCD38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D3D3D"/>
          <w:spacing w:val="0"/>
          <w:sz w:val="32"/>
          <w:szCs w:val="32"/>
          <w:u w:val="none"/>
          <w:shd w:val="clear" w:fill="FFFFFF"/>
        </w:rPr>
      </w:pPr>
      <w:r>
        <w:rPr>
          <w:rFonts w:hint="eastAsia" w:ascii="楷体" w:hAnsi="楷体" w:eastAsia="楷体" w:cs="楷体"/>
          <w:b/>
          <w:bCs/>
          <w:i w:val="0"/>
          <w:iCs w:val="0"/>
          <w:caps w:val="0"/>
          <w:color w:val="3D3D3D"/>
          <w:spacing w:val="0"/>
          <w:sz w:val="32"/>
          <w:szCs w:val="32"/>
          <w:u w:val="none"/>
          <w:shd w:val="clear" w:fill="FFFFFF"/>
        </w:rPr>
        <w:t>（四）补贴范围及标准</w:t>
      </w:r>
    </w:p>
    <w:p w14:paraId="3517813F">
      <w:pPr>
        <w:pStyle w:val="6"/>
        <w:shd w:val="clear" w:color="auto" w:fill="FFFFFF"/>
        <w:spacing w:before="0" w:beforeAutospacing="0" w:after="0" w:afterAutospacing="0" w:line="560" w:lineRule="exact"/>
        <w:ind w:firstLine="643" w:firstLineChars="200"/>
        <w:jc w:val="both"/>
        <w:rPr>
          <w:rFonts w:ascii="仿宋_GB2312" w:eastAsia="仿宋_GB2312"/>
          <w:color w:val="3D3D3D"/>
          <w:sz w:val="32"/>
          <w:szCs w:val="32"/>
        </w:rPr>
      </w:pPr>
      <w:r>
        <w:rPr>
          <w:rFonts w:hint="eastAsia" w:ascii="仿宋" w:hAnsi="仿宋" w:eastAsia="仿宋" w:cs="仿宋"/>
          <w:b/>
          <w:bCs/>
          <w:i w:val="0"/>
          <w:iCs w:val="0"/>
          <w:caps w:val="0"/>
          <w:color w:val="3D3D3D"/>
          <w:spacing w:val="0"/>
          <w:sz w:val="32"/>
          <w:szCs w:val="32"/>
          <w:u w:val="none"/>
          <w:shd w:val="clear" w:fill="FFFFFF"/>
        </w:rPr>
        <w:t>1.家电类：</w:t>
      </w:r>
      <w:r>
        <w:rPr>
          <w:rFonts w:hint="eastAsia" w:ascii="仿宋_GB2312" w:eastAsia="仿宋_GB2312"/>
          <w:color w:val="3D3D3D"/>
          <w:sz w:val="32"/>
          <w:szCs w:val="32"/>
        </w:rPr>
        <w:t>对个人消费者购买1级能效或水效标准冰箱（含冰柜、冷柜、冰吧）、洗衣机（含洗烘一体机、烘干机）、电视（含投影仪）、空调（含家用中央空调、风管机、地源热泵、空气源热泵）、电脑（含笔记本、台式机）、热水器（含电热水器、燃气热水器、壁挂炉、电暖气</w:t>
      </w:r>
      <w:r>
        <w:rPr>
          <w:rFonts w:hint="eastAsia" w:ascii="仿宋_GB2312" w:eastAsia="仿宋_GB2312"/>
          <w:color w:val="3D3D3D"/>
          <w:sz w:val="32"/>
          <w:szCs w:val="32"/>
          <w:lang w:eastAsia="zh-CN"/>
        </w:rPr>
        <w:t>、空气能热泵</w:t>
      </w:r>
      <w:r>
        <w:rPr>
          <w:rFonts w:hint="eastAsia" w:ascii="仿宋_GB2312" w:eastAsia="仿宋_GB2312"/>
          <w:color w:val="3D3D3D"/>
          <w:sz w:val="32"/>
          <w:szCs w:val="32"/>
        </w:rPr>
        <w:t>）、家用灶具（含集成灶、电磁炉）、吸油烟机等8类家电产品（以下简称“8类家电”），按照剔除所有折扣优惠后成交价格的20%予以补贴，每人每类可补贴1件，每件补贴不超过2000元；购买2级能效或水效标准“8类电家”的，按照剔除所有折扣优惠后成交价格的15%予以补贴；购买3级及以下能效或水效标准“8类电家”的，按照剔除所有折扣优惠后成交价格的13%予以补贴，每人每类可补贴1件，每件补贴不超过2000元。</w:t>
      </w:r>
    </w:p>
    <w:p w14:paraId="2954685F">
      <w:pPr>
        <w:pStyle w:val="6"/>
        <w:shd w:val="clear" w:color="auto" w:fill="FFFFFF"/>
        <w:spacing w:before="0" w:beforeAutospacing="0" w:after="0" w:afterAutospacing="0" w:line="560" w:lineRule="exact"/>
        <w:ind w:firstLine="640" w:firstLineChars="200"/>
        <w:jc w:val="both"/>
        <w:rPr>
          <w:rFonts w:hint="eastAsia" w:ascii="仿宋_GB2312" w:eastAsia="仿宋_GB2312"/>
          <w:color w:val="3D3D3D"/>
          <w:sz w:val="32"/>
          <w:szCs w:val="32"/>
        </w:rPr>
      </w:pPr>
      <w:r>
        <w:rPr>
          <w:rFonts w:hint="eastAsia" w:ascii="仿宋_GB2312" w:eastAsia="仿宋_GB2312"/>
          <w:color w:val="3D3D3D"/>
          <w:sz w:val="32"/>
          <w:szCs w:val="32"/>
        </w:rPr>
        <w:t>对个人消费者购买净水器、按摩椅（含按摩器）、电烤箱（含微波炉、空气炸锅）、破壁机（含榨汁机、</w:t>
      </w:r>
      <w:r>
        <w:rPr>
          <w:rFonts w:hint="eastAsia" w:ascii="仿宋_GB2312" w:eastAsia="仿宋_GB2312"/>
          <w:color w:val="3D3D3D"/>
          <w:sz w:val="32"/>
          <w:szCs w:val="32"/>
          <w:lang w:eastAsia="zh-CN"/>
        </w:rPr>
        <w:t>破壁机、</w:t>
      </w:r>
      <w:r>
        <w:rPr>
          <w:rFonts w:hint="eastAsia" w:ascii="仿宋_GB2312" w:eastAsia="仿宋_GB2312"/>
          <w:color w:val="3D3D3D"/>
          <w:sz w:val="32"/>
          <w:szCs w:val="32"/>
        </w:rPr>
        <w:t>豆浆机、绞肉机）、</w:t>
      </w:r>
      <w:r>
        <w:rPr>
          <w:rFonts w:hint="eastAsia" w:ascii="仿宋" w:hAnsi="仿宋" w:eastAsia="仿宋" w:cs="仿宋"/>
          <w:color w:val="464646"/>
          <w:w w:val="99"/>
          <w:sz w:val="32"/>
          <w:szCs w:val="32"/>
        </w:rPr>
        <w:t>清洁器（含洗碗机、洗地机、扫地机器人、吸尘</w:t>
      </w:r>
      <w:r>
        <w:rPr>
          <w:rFonts w:hint="eastAsia" w:ascii="仿宋" w:hAnsi="仿宋" w:eastAsia="仿宋" w:cs="仿宋"/>
          <w:color w:val="464646"/>
          <w:spacing w:val="1"/>
          <w:w w:val="97"/>
          <w:sz w:val="32"/>
          <w:szCs w:val="32"/>
        </w:rPr>
        <w:t>器）、电饭赁（含电压力锅）、电吹风、学习机（含游戏机）等</w:t>
      </w:r>
      <w:r>
        <w:rPr>
          <w:rFonts w:hint="eastAsia" w:ascii="仿宋" w:hAnsi="仿宋" w:eastAsia="仿宋" w:cs="仿宋"/>
          <w:color w:val="464646"/>
          <w:w w:val="97"/>
          <w:sz w:val="32"/>
          <w:szCs w:val="32"/>
        </w:rPr>
        <w:t>8小类家电，按照销售价格（产品剔除所有折扣优惠后的成交价格）</w:t>
      </w:r>
      <w:r>
        <w:rPr>
          <w:rFonts w:hint="eastAsia" w:ascii="仿宋" w:hAnsi="仿宋" w:eastAsia="仿宋" w:cs="仿宋"/>
          <w:color w:val="464646"/>
          <w:w w:val="106"/>
          <w:sz w:val="32"/>
          <w:szCs w:val="32"/>
        </w:rPr>
        <w:t>的13％予以补贴，每人每类可补贴</w:t>
      </w:r>
      <w:r>
        <w:rPr>
          <w:rFonts w:hint="eastAsia" w:ascii="仿宋" w:hAnsi="仿宋" w:eastAsia="仿宋" w:cs="仿宋"/>
          <w:color w:val="464646"/>
          <w:spacing w:val="-1"/>
          <w:w w:val="106"/>
          <w:sz w:val="32"/>
          <w:szCs w:val="32"/>
        </w:rPr>
        <w:t>l</w:t>
      </w:r>
      <w:r>
        <w:rPr>
          <w:rFonts w:hint="eastAsia" w:ascii="仿宋" w:hAnsi="仿宋" w:eastAsia="仿宋" w:cs="仿宋"/>
          <w:color w:val="464646"/>
          <w:w w:val="106"/>
          <w:sz w:val="32"/>
          <w:szCs w:val="32"/>
        </w:rPr>
        <w:t>件，每件补贴不超过2000</w:t>
      </w:r>
      <w:r>
        <w:rPr>
          <w:rFonts w:hint="eastAsia" w:ascii="仿宋" w:hAnsi="仿宋" w:eastAsia="仿宋" w:cs="仿宋"/>
          <w:color w:val="464646"/>
          <w:w w:val="88"/>
          <w:sz w:val="32"/>
          <w:szCs w:val="32"/>
        </w:rPr>
        <w:t>元。</w:t>
      </w:r>
    </w:p>
    <w:p w14:paraId="0AE40B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b/>
          <w:bCs/>
          <w:i w:val="0"/>
          <w:iCs w:val="0"/>
          <w:caps w:val="0"/>
          <w:color w:val="3D3D3D"/>
          <w:spacing w:val="0"/>
          <w:sz w:val="32"/>
          <w:szCs w:val="32"/>
          <w:u w:val="none"/>
          <w:shd w:val="clear" w:fill="FFFFFF"/>
        </w:rPr>
        <w:t>2.家装类：</w:t>
      </w:r>
      <w:r>
        <w:rPr>
          <w:rFonts w:hint="eastAsia" w:ascii="仿宋" w:hAnsi="仿宋" w:eastAsia="仿宋" w:cs="仿宋"/>
          <w:color w:val="484848"/>
          <w:w w:val="99"/>
          <w:sz w:val="32"/>
          <w:szCs w:val="32"/>
        </w:rPr>
        <w:t>对自住房装修改造（含局改、适老化改造）进行补贴。对购买符合要求装修产品和材料的，包括：成品家具、定制化家具、卫浴洁具、门窗、智能锁、适老化（无障碍）环境改善产品、热</w:t>
      </w:r>
      <w:r>
        <w:rPr>
          <w:rFonts w:hint="eastAsia" w:ascii="仿宋" w:hAnsi="仿宋" w:eastAsia="仿宋" w:cs="仿宋"/>
          <w:color w:val="484848"/>
          <w:w w:val="97"/>
          <w:sz w:val="32"/>
          <w:szCs w:val="32"/>
        </w:rPr>
        <w:t>交换产品等七类产品，销售价格（剔除所有折扣优惠后成交价格</w:t>
      </w:r>
      <w:r>
        <w:rPr>
          <w:rFonts w:hint="eastAsia" w:ascii="仿宋" w:hAnsi="仿宋" w:eastAsia="仿宋" w:cs="仿宋"/>
          <w:color w:val="484848"/>
          <w:spacing w:val="-18"/>
          <w:w w:val="97"/>
          <w:sz w:val="32"/>
          <w:szCs w:val="32"/>
        </w:rPr>
        <w:t>）</w:t>
      </w:r>
      <w:r>
        <w:rPr>
          <w:rFonts w:hint="eastAsia" w:ascii="仿宋" w:hAnsi="仿宋" w:eastAsia="仿宋" w:cs="仿宋"/>
          <w:color w:val="484848"/>
          <w:w w:val="101"/>
          <w:sz w:val="32"/>
          <w:szCs w:val="32"/>
        </w:rPr>
        <w:t>的15％比例予以补贴，每位消费者每类产品可补贴1次，每类补</w:t>
      </w:r>
      <w:r>
        <w:rPr>
          <w:rFonts w:hint="eastAsia" w:ascii="仿宋" w:hAnsi="仿宋" w:eastAsia="仿宋" w:cs="仿宋"/>
          <w:color w:val="484848"/>
          <w:spacing w:val="2"/>
          <w:w w:val="113"/>
          <w:sz w:val="32"/>
          <w:szCs w:val="32"/>
        </w:rPr>
        <w:t>贴不超过</w:t>
      </w:r>
      <w:r>
        <w:rPr>
          <w:rFonts w:hint="eastAsia" w:ascii="仿宋" w:hAnsi="仿宋" w:eastAsia="仿宋" w:cs="仿宋"/>
          <w:color w:val="484848"/>
          <w:spacing w:val="1"/>
          <w:w w:val="113"/>
          <w:sz w:val="32"/>
          <w:szCs w:val="32"/>
        </w:rPr>
        <w:t>2000元。</w:t>
      </w:r>
    </w:p>
    <w:p w14:paraId="6D217F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color w:val="444444"/>
          <w:spacing w:val="1"/>
          <w:w w:val="103"/>
          <w:sz w:val="32"/>
          <w:szCs w:val="32"/>
        </w:rPr>
      </w:pPr>
      <w:r>
        <w:rPr>
          <w:rFonts w:hint="eastAsia" w:ascii="仿宋" w:hAnsi="仿宋" w:eastAsia="仿宋" w:cs="仿宋"/>
          <w:b/>
          <w:bCs/>
          <w:i w:val="0"/>
          <w:iCs w:val="0"/>
          <w:caps w:val="0"/>
          <w:color w:val="3D3D3D"/>
          <w:spacing w:val="0"/>
          <w:sz w:val="32"/>
          <w:szCs w:val="32"/>
          <w:u w:val="none"/>
          <w:shd w:val="clear" w:fill="FFFFFF"/>
        </w:rPr>
        <w:t>3.电动自行车类：</w:t>
      </w:r>
      <w:r>
        <w:rPr>
          <w:rFonts w:hint="eastAsia" w:ascii="仿宋" w:hAnsi="仿宋" w:eastAsia="仿宋" w:cs="仿宋"/>
          <w:color w:val="444444"/>
          <w:spacing w:val="-1"/>
          <w:w w:val="103"/>
          <w:sz w:val="32"/>
          <w:szCs w:val="32"/>
        </w:rPr>
        <w:t>对将个人名下老旧电动自行车交回并换购电动自行车新车</w:t>
      </w:r>
      <w:r>
        <w:rPr>
          <w:rFonts w:hint="eastAsia" w:ascii="仿宋" w:hAnsi="仿宋" w:eastAsia="仿宋" w:cs="仿宋"/>
          <w:color w:val="444444"/>
          <w:w w:val="99"/>
          <w:sz w:val="32"/>
          <w:szCs w:val="32"/>
        </w:rPr>
        <w:t>的消费者予以补贴。其中，对交回老旧电动自行车，并购买新国标铅酸电池电动自行车新车的，按照产品销售价格（剔除所有折</w:t>
      </w:r>
      <w:r>
        <w:rPr>
          <w:rFonts w:hint="eastAsia" w:ascii="仿宋" w:hAnsi="仿宋" w:eastAsia="仿宋" w:cs="仿宋"/>
          <w:color w:val="444444"/>
          <w:w w:val="101"/>
          <w:sz w:val="32"/>
          <w:szCs w:val="32"/>
        </w:rPr>
        <w:t>扣优惠后成交价格）的20％补贴，每辆补贴不超过500元；对交</w:t>
      </w:r>
      <w:r>
        <w:rPr>
          <w:rFonts w:hint="eastAsia" w:ascii="仿宋" w:hAnsi="仿宋" w:eastAsia="仿宋" w:cs="仿宋"/>
          <w:color w:val="444444"/>
          <w:w w:val="99"/>
          <w:sz w:val="32"/>
          <w:szCs w:val="32"/>
        </w:rPr>
        <w:t>回老旧电动自行车，并购买俚离子电池电动自行车新车的，按照</w:t>
      </w:r>
      <w:r>
        <w:rPr>
          <w:rFonts w:hint="eastAsia" w:ascii="仿宋" w:hAnsi="仿宋" w:eastAsia="仿宋" w:cs="仿宋"/>
          <w:color w:val="444444"/>
          <w:spacing w:val="2"/>
          <w:w w:val="103"/>
          <w:sz w:val="32"/>
          <w:szCs w:val="32"/>
        </w:rPr>
        <w:t>产品销售价格的</w:t>
      </w:r>
      <w:r>
        <w:rPr>
          <w:rFonts w:hint="eastAsia" w:ascii="仿宋" w:hAnsi="仿宋" w:eastAsia="仿宋" w:cs="仿宋"/>
          <w:color w:val="444444"/>
          <w:spacing w:val="1"/>
          <w:w w:val="103"/>
          <w:sz w:val="32"/>
          <w:szCs w:val="32"/>
        </w:rPr>
        <w:t>10</w:t>
      </w:r>
      <w:r>
        <w:rPr>
          <w:rFonts w:hint="eastAsia" w:ascii="仿宋" w:hAnsi="仿宋" w:eastAsia="仿宋" w:cs="仿宋"/>
          <w:color w:val="444444"/>
          <w:spacing w:val="2"/>
          <w:w w:val="103"/>
          <w:sz w:val="32"/>
          <w:szCs w:val="32"/>
        </w:rPr>
        <w:t>％补贴，每辆补贴不超过</w:t>
      </w:r>
      <w:r>
        <w:rPr>
          <w:rFonts w:hint="eastAsia" w:ascii="仿宋" w:hAnsi="仿宋" w:eastAsia="仿宋" w:cs="仿宋"/>
          <w:color w:val="444444"/>
          <w:spacing w:val="1"/>
          <w:w w:val="103"/>
          <w:sz w:val="32"/>
          <w:szCs w:val="32"/>
        </w:rPr>
        <w:t>300元。</w:t>
      </w:r>
    </w:p>
    <w:p w14:paraId="4A0079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color w:val="444444"/>
          <w:w w:val="92"/>
          <w:sz w:val="32"/>
          <w:szCs w:val="32"/>
        </w:rPr>
      </w:pPr>
      <w:r>
        <w:rPr>
          <w:rFonts w:hint="eastAsia" w:ascii="仿宋" w:hAnsi="仿宋" w:eastAsia="仿宋" w:cs="仿宋"/>
          <w:color w:val="444444"/>
          <w:w w:val="99"/>
          <w:sz w:val="32"/>
          <w:szCs w:val="32"/>
        </w:rPr>
        <w:t>换购俚离子电池电动自行车新车的，其电池应符合《电动自</w:t>
      </w:r>
      <w:r>
        <w:rPr>
          <w:rFonts w:hint="eastAsia" w:ascii="仿宋" w:hAnsi="仿宋" w:eastAsia="仿宋" w:cs="仿宋"/>
          <w:color w:val="444444"/>
          <w:spacing w:val="1"/>
          <w:w w:val="105"/>
          <w:sz w:val="32"/>
          <w:szCs w:val="32"/>
        </w:rPr>
        <w:t>行车用俚离子蓄电池安全技术规范》</w:t>
      </w:r>
      <w:r>
        <w:rPr>
          <w:rFonts w:hint="eastAsia" w:ascii="仿宋" w:hAnsi="仿宋" w:eastAsia="仿宋" w:cs="仿宋"/>
          <w:color w:val="444444"/>
          <w:w w:val="105"/>
          <w:sz w:val="32"/>
          <w:szCs w:val="32"/>
        </w:rPr>
        <w:t>(0B43854)标准要求。鼓</w:t>
      </w:r>
      <w:r>
        <w:rPr>
          <w:rFonts w:hint="eastAsia" w:ascii="仿宋" w:hAnsi="仿宋" w:eastAsia="仿宋" w:cs="仿宋"/>
          <w:color w:val="444444"/>
          <w:w w:val="99"/>
          <w:sz w:val="32"/>
          <w:szCs w:val="32"/>
        </w:rPr>
        <w:t>励购买符合《电动自行车行业规范条件》企业生产的合格电动自</w:t>
      </w:r>
      <w:r>
        <w:rPr>
          <w:rFonts w:hint="eastAsia" w:ascii="仿宋" w:hAnsi="仿宋" w:eastAsia="仿宋" w:cs="仿宋"/>
          <w:color w:val="444444"/>
          <w:w w:val="92"/>
          <w:sz w:val="32"/>
          <w:szCs w:val="32"/>
        </w:rPr>
        <w:t>行车新车。</w:t>
      </w:r>
    </w:p>
    <w:p w14:paraId="2E8A6C7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33333"/>
          <w:spacing w:val="0"/>
          <w:sz w:val="32"/>
          <w:szCs w:val="32"/>
          <w:u w:val="none"/>
        </w:rPr>
      </w:pPr>
      <w:r>
        <w:rPr>
          <w:rFonts w:hint="eastAsia" w:ascii="楷体" w:hAnsi="楷体" w:eastAsia="楷体" w:cs="楷体"/>
          <w:b/>
          <w:bCs/>
          <w:i w:val="0"/>
          <w:iCs w:val="0"/>
          <w:caps w:val="0"/>
          <w:color w:val="3D3D3D"/>
          <w:spacing w:val="0"/>
          <w:sz w:val="32"/>
          <w:szCs w:val="32"/>
          <w:u w:val="none"/>
          <w:shd w:val="clear" w:fill="FFFFFF"/>
        </w:rPr>
        <w:t>（五）补贴方式</w:t>
      </w:r>
    </w:p>
    <w:p w14:paraId="61D7FEA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对符合条件的个人消费者购买活动范围内商品时，按照实际销售价格在支付环节享受补贴。补贴资金暂由承办单位垫付。承办单位按要求完成相关票证上传且经审核无误后，平台定期将补贴款发放给垫付单位。</w:t>
      </w:r>
    </w:p>
    <w:p w14:paraId="3FB908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shd w:val="clear" w:fill="FFFFFF"/>
        </w:rPr>
        <w:t>二、申报条件</w:t>
      </w:r>
    </w:p>
    <w:p w14:paraId="1E64428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（一）从事家电、家装、电动自行车商品销售业务，</w:t>
      </w:r>
      <w:r>
        <w:rPr>
          <w:rFonts w:hint="eastAsia" w:ascii="仿宋" w:hAnsi="仿宋" w:eastAsia="仿宋" w:cs="仿宋"/>
          <w:i w:val="0"/>
          <w:iCs w:val="0"/>
          <w:caps w:val="0"/>
          <w:color w:val="333333"/>
          <w:spacing w:val="0"/>
          <w:sz w:val="32"/>
          <w:szCs w:val="32"/>
          <w:u w:val="none"/>
          <w:shd w:val="clear" w:fill="FFFFFF"/>
        </w:rPr>
        <w:t>具有一定规模、能够</w:t>
      </w:r>
      <w:r>
        <w:rPr>
          <w:rFonts w:hint="eastAsia" w:ascii="仿宋" w:hAnsi="仿宋" w:eastAsia="仿宋" w:cs="仿宋"/>
          <w:i w:val="0"/>
          <w:iCs w:val="0"/>
          <w:caps w:val="0"/>
          <w:color w:val="3D3D3D"/>
          <w:spacing w:val="0"/>
          <w:sz w:val="32"/>
          <w:szCs w:val="32"/>
          <w:u w:val="none"/>
          <w:shd w:val="clear" w:fill="FFFFFF"/>
        </w:rPr>
        <w:t>依法纳税，经营良好，财务制度健全，具备较好</w:t>
      </w:r>
      <w:r>
        <w:rPr>
          <w:rFonts w:hint="eastAsia" w:ascii="仿宋" w:hAnsi="仿宋" w:eastAsia="仿宋" w:cs="仿宋"/>
          <w:i w:val="0"/>
          <w:iCs w:val="0"/>
          <w:caps w:val="0"/>
          <w:color w:val="333333"/>
          <w:spacing w:val="0"/>
          <w:sz w:val="32"/>
          <w:szCs w:val="32"/>
          <w:u w:val="none"/>
          <w:shd w:val="clear" w:fill="FFFFFF"/>
        </w:rPr>
        <w:t>成长性</w:t>
      </w:r>
      <w:r>
        <w:rPr>
          <w:rFonts w:hint="eastAsia" w:ascii="仿宋" w:hAnsi="仿宋" w:eastAsia="仿宋" w:cs="仿宋"/>
          <w:i w:val="0"/>
          <w:iCs w:val="0"/>
          <w:caps w:val="0"/>
          <w:color w:val="3D3D3D"/>
          <w:spacing w:val="0"/>
          <w:sz w:val="32"/>
          <w:szCs w:val="32"/>
          <w:u w:val="none"/>
          <w:shd w:val="clear" w:fill="FFFFFF"/>
        </w:rPr>
        <w:t>的线下实体或电商企业。</w:t>
      </w:r>
    </w:p>
    <w:p w14:paraId="021518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二）具备补贴发放和核销能力，能对消费者进行实名认证，能够与消费品以旧换新补贴活动平台实现对接。提前在县（市、区）商务主管部门和河北省消费品以旧换新活动承办平台（家电类承办平台为银联商务股份有限公司河北分公司、家装和电动自行车类承办平台为中国农业银行股份有限公司河北省分行）完成参与补贴活动的商品品类和价格“双备案”。</w:t>
      </w:r>
    </w:p>
    <w:p w14:paraId="3E1D628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三）具备对符合活动条件的销售订单进行不少于10个工作日的补贴资金垫付能力。对退货的补贴商品，能在3个工作日内将所退商品的补贴款退回补贴活动平台资金管理账户。自愿接受政府相关部门及委派的第三方机构对本次活动进行监督、审计，并同意以审计结果作为补贴申请的最终依据。在政府补贴之外还自主配套补贴，政企补贴能相互叠加使用。</w:t>
      </w:r>
    </w:p>
    <w:p w14:paraId="3E341A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（四）家电和电动自行车经销单位能够自身或通过与在商务部业务系统统一平台已备案的回收企业开展合作，具备家电和电动自行车旧货回收和新品安装能力，能够做到账物一致、账目清晰。</w:t>
      </w:r>
    </w:p>
    <w:p w14:paraId="0E11557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五）具备完善的后台订单管理系统，能够开具合规发票，开设有对公账户。活动台账清晰完善，包括但不限于销售发票、消费者购买清单（含消费者姓名、身份证号、联系电话、购买产品名称及编码、销售额及补贴额等），并于活动结束后及时报送至辖区商务部门备案。</w:t>
      </w:r>
    </w:p>
    <w:p w14:paraId="0A4026A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六）电动自行车经销单位与生产企业有稳定的产销合作关系，有严格的商品进货质量保障体系。在卖场区域安装摄像头，设电子秤及符合防火、防爆等安全生产要求的锂离子蓄电池、铅酸蓄电池临时存放点，并配备消防器材。具备上牌资格。</w:t>
      </w:r>
    </w:p>
    <w:p w14:paraId="6550CC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七）承办单位组建有专门服务团队，开展政策宣传，受理群众咨询和投诉，组织旧货回收和新品销售等具体工作。除在经销区域内开展经授权的政策宣传外，每月要通过多种形式，组织以旧换新商品展示展销大集，推动新品进公园、进广场、进社区、进农村，吸引更多消费者承办活动。</w:t>
      </w:r>
    </w:p>
    <w:p w14:paraId="57797C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（八）具备防范骗补、套补等行为能力。近三年内无重大违法违规和失信记录。未发生较大及以上安全生产事故。</w:t>
      </w:r>
    </w:p>
    <w:p w14:paraId="6F8074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shd w:val="clear" w:fill="FFFFFF"/>
        </w:rPr>
        <w:t>三、申报材料</w:t>
      </w:r>
    </w:p>
    <w:p w14:paraId="3A3E32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区分家电、家装和电动自行车三类分别组织申报，允许一个单位报多类（如有的卖场同时经营家装、家电，可以分别申报）。申报单位每类材料一式两份，按顺序装订成册，分别加盖单位公章，整体材料加盖骑缝章。全套盖章纸质申报材料还须扫描PDF电子版一并提交。申报材料不予退回。</w:t>
      </w:r>
    </w:p>
    <w:p w14:paraId="1C7BF31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1.消费品以旧换新补贴活动承办单位报名表（附件1）。</w:t>
      </w:r>
    </w:p>
    <w:p w14:paraId="21F6AD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2.活动承办单位门店申报表（附件2）</w:t>
      </w:r>
    </w:p>
    <w:p w14:paraId="14D58CA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3.参加活动商品品类及价格备案表（附件3）</w:t>
      </w:r>
    </w:p>
    <w:p w14:paraId="4BB920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4.单位情况介绍（包括主营商品的品牌品类、直营或连锁门店分布、自主配套的补贴让利安排、组建专业团队负责以旧换新工作等情况），营业执照复印件，法人或负责人身份证（正反面）复印件，银行开户许可证复印件，2023年度完税证明和财务审计报告或财务报表。以上材料需完整齐全，均加盖单位公章。</w:t>
      </w:r>
    </w:p>
    <w:p w14:paraId="2C9400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5.“信用中国”等官方网站(www.creditchina.gov.cn)下载的信用记录或中国政府采购网(www.ccgp.gov.cn)下载的“政府采购严重违法失信行为信息记录”结果截图。</w:t>
      </w:r>
    </w:p>
    <w:p w14:paraId="589058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6.活动方案</w:t>
      </w:r>
      <w:r>
        <w:rPr>
          <w:rFonts w:hint="eastAsia" w:ascii="仿宋" w:hAnsi="仿宋" w:eastAsia="仿宋" w:cs="仿宋"/>
          <w:i w:val="0"/>
          <w:iCs w:val="0"/>
          <w:caps w:val="0"/>
          <w:color w:val="333333"/>
          <w:spacing w:val="0"/>
          <w:sz w:val="32"/>
          <w:szCs w:val="32"/>
          <w:u w:val="none"/>
          <w:shd w:val="clear" w:fill="FFFFFF"/>
        </w:rPr>
        <w:t>（必须含进乡镇、街道，进乡村、社区并开展宣传活动内容）</w:t>
      </w:r>
      <w:r>
        <w:rPr>
          <w:rFonts w:hint="eastAsia" w:ascii="仿宋" w:hAnsi="仿宋" w:eastAsia="仿宋" w:cs="仿宋"/>
          <w:i w:val="0"/>
          <w:iCs w:val="0"/>
          <w:caps w:val="0"/>
          <w:color w:val="3D3D3D"/>
          <w:spacing w:val="0"/>
          <w:sz w:val="32"/>
          <w:szCs w:val="32"/>
          <w:u w:val="none"/>
          <w:shd w:val="clear" w:fill="FFFFFF"/>
        </w:rPr>
        <w:t>，包括自身促销举措、以旧换新措施、风险管控措施、包括对骗补、套补等行为的管控措施等。</w:t>
      </w:r>
    </w:p>
    <w:p w14:paraId="6A60B6C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rPr>
        <w:t>7.家电和电动自行车经销单位还需提供危废物</w:t>
      </w:r>
      <w:r>
        <w:rPr>
          <w:rFonts w:hint="eastAsia" w:ascii="仿宋" w:hAnsi="仿宋" w:eastAsia="仿宋" w:cs="仿宋"/>
          <w:i w:val="0"/>
          <w:iCs w:val="0"/>
          <w:caps w:val="0"/>
          <w:color w:val="333333"/>
          <w:spacing w:val="0"/>
          <w:sz w:val="32"/>
          <w:szCs w:val="32"/>
          <w:u w:val="none"/>
          <w:shd w:val="clear" w:fill="FFFFFF"/>
        </w:rPr>
        <w:t>回收资质证书或与有相关资质的回收企业签订有效的长期合作协议（协议需加盖合作双方公章并提供合作单位回收资质）。</w:t>
      </w:r>
    </w:p>
    <w:p w14:paraId="4DBA7D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shd w:val="clear" w:fill="FFFFFF"/>
        </w:rPr>
        <w:t>四、申报流程</w:t>
      </w:r>
    </w:p>
    <w:p w14:paraId="3520E3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33333"/>
          <w:spacing w:val="0"/>
          <w:sz w:val="32"/>
          <w:szCs w:val="32"/>
          <w:u w:val="none"/>
          <w:shd w:val="clear" w:fill="FFFFFF"/>
        </w:rPr>
        <w:t>1.</w:t>
      </w:r>
      <w:r>
        <w:rPr>
          <w:rFonts w:hint="eastAsia" w:ascii="仿宋" w:hAnsi="仿宋" w:eastAsia="仿宋" w:cs="仿宋"/>
          <w:i w:val="0"/>
          <w:iCs w:val="0"/>
          <w:caps w:val="0"/>
          <w:color w:val="3D3D3D"/>
          <w:spacing w:val="0"/>
          <w:sz w:val="32"/>
          <w:szCs w:val="32"/>
          <w:u w:val="none"/>
          <w:shd w:val="clear" w:fill="FFFFFF"/>
        </w:rPr>
        <w:t>申报单位应于2024年10月</w:t>
      </w:r>
      <w:r>
        <w:rPr>
          <w:rFonts w:hint="eastAsia" w:ascii="仿宋" w:hAnsi="仿宋" w:eastAsia="仿宋" w:cs="仿宋"/>
          <w:i w:val="0"/>
          <w:iCs w:val="0"/>
          <w:caps w:val="0"/>
          <w:color w:val="3D3D3D"/>
          <w:spacing w:val="0"/>
          <w:sz w:val="32"/>
          <w:szCs w:val="32"/>
          <w:u w:val="none"/>
          <w:shd w:val="clear" w:fill="FFFFFF"/>
          <w:lang w:val="en-US" w:eastAsia="zh-CN"/>
        </w:rPr>
        <w:t>11</w:t>
      </w:r>
      <w:r>
        <w:rPr>
          <w:rFonts w:hint="eastAsia" w:ascii="仿宋" w:hAnsi="仿宋" w:eastAsia="仿宋" w:cs="仿宋"/>
          <w:i w:val="0"/>
          <w:iCs w:val="0"/>
          <w:caps w:val="0"/>
          <w:color w:val="3D3D3D"/>
          <w:spacing w:val="0"/>
          <w:sz w:val="32"/>
          <w:szCs w:val="32"/>
          <w:u w:val="none"/>
          <w:shd w:val="clear" w:fill="FFFFFF"/>
        </w:rPr>
        <w:t>日</w:t>
      </w:r>
      <w:r>
        <w:rPr>
          <w:rFonts w:hint="eastAsia" w:ascii="仿宋" w:hAnsi="仿宋" w:eastAsia="仿宋" w:cs="仿宋"/>
          <w:i w:val="0"/>
          <w:iCs w:val="0"/>
          <w:caps w:val="0"/>
          <w:color w:val="3D3D3D"/>
          <w:spacing w:val="0"/>
          <w:sz w:val="32"/>
          <w:szCs w:val="32"/>
          <w:u w:val="none"/>
          <w:shd w:val="clear" w:fill="FFFFFF"/>
          <w:lang w:val="en-US" w:eastAsia="zh-CN"/>
        </w:rPr>
        <w:t>18</w:t>
      </w:r>
      <w:r>
        <w:rPr>
          <w:rFonts w:hint="eastAsia" w:ascii="仿宋" w:hAnsi="仿宋" w:eastAsia="仿宋" w:cs="仿宋"/>
          <w:i w:val="0"/>
          <w:iCs w:val="0"/>
          <w:caps w:val="0"/>
          <w:color w:val="3D3D3D"/>
          <w:spacing w:val="0"/>
          <w:sz w:val="32"/>
          <w:szCs w:val="32"/>
          <w:u w:val="none"/>
          <w:shd w:val="clear" w:fill="FFFFFF"/>
        </w:rPr>
        <w:t>:00前按要求向注册地县发改和科技局提交申报材料。逾期不予受理。</w:t>
      </w:r>
    </w:p>
    <w:p w14:paraId="5DE220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shd w:val="clear" w:fill="FFFFFF"/>
          <w:lang w:val="en-US" w:eastAsia="zh-CN"/>
        </w:rPr>
        <w:t>2</w:t>
      </w:r>
      <w:r>
        <w:rPr>
          <w:rFonts w:hint="eastAsia" w:ascii="仿宋" w:hAnsi="仿宋" w:eastAsia="仿宋" w:cs="仿宋"/>
          <w:i w:val="0"/>
          <w:iCs w:val="0"/>
          <w:caps w:val="0"/>
          <w:color w:val="3D3D3D"/>
          <w:spacing w:val="0"/>
          <w:sz w:val="32"/>
          <w:szCs w:val="32"/>
          <w:u w:val="none"/>
          <w:shd w:val="clear" w:fill="FFFFFF"/>
        </w:rPr>
        <w:t>.县发改和科技局联合相关部门对申报材料进行审核，研究确定本辖区承办活动单位，出具审核意见并盖章</w:t>
      </w:r>
      <w:r>
        <w:rPr>
          <w:rFonts w:hint="eastAsia" w:ascii="仿宋" w:hAnsi="仿宋" w:eastAsia="仿宋" w:cs="仿宋"/>
          <w:i w:val="0"/>
          <w:iCs w:val="0"/>
          <w:caps w:val="0"/>
          <w:color w:val="333333"/>
          <w:spacing w:val="0"/>
          <w:sz w:val="32"/>
          <w:szCs w:val="32"/>
          <w:u w:val="none"/>
          <w:shd w:val="clear" w:fill="FFFFFF"/>
        </w:rPr>
        <w:t>（附件1相应栏目填写是否同意并加盖部门公章）</w:t>
      </w:r>
      <w:r>
        <w:rPr>
          <w:rFonts w:hint="eastAsia" w:ascii="仿宋" w:hAnsi="仿宋" w:eastAsia="仿宋" w:cs="仿宋"/>
          <w:i w:val="0"/>
          <w:iCs w:val="0"/>
          <w:caps w:val="0"/>
          <w:color w:val="333333"/>
          <w:spacing w:val="0"/>
          <w:sz w:val="32"/>
          <w:szCs w:val="32"/>
          <w:u w:val="none"/>
          <w:shd w:val="clear" w:fill="FFFFFF"/>
          <w:lang w:eastAsia="zh-CN"/>
        </w:rPr>
        <w:t>，</w:t>
      </w:r>
      <w:r>
        <w:rPr>
          <w:rFonts w:hint="eastAsia" w:ascii="仿宋" w:hAnsi="仿宋" w:eastAsia="仿宋" w:cs="仿宋"/>
          <w:i w:val="0"/>
          <w:iCs w:val="0"/>
          <w:caps w:val="0"/>
          <w:color w:val="3D3D3D"/>
          <w:spacing w:val="0"/>
          <w:sz w:val="32"/>
          <w:szCs w:val="32"/>
          <w:u w:val="none"/>
          <w:shd w:val="clear" w:fill="FFFFFF"/>
        </w:rPr>
        <w:t>逾期不予受理。</w:t>
      </w:r>
    </w:p>
    <w:p w14:paraId="52B592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D3D3D"/>
          <w:spacing w:val="0"/>
          <w:sz w:val="32"/>
          <w:szCs w:val="32"/>
          <w:u w:val="none"/>
          <w:shd w:val="clear" w:fill="FFFFFF"/>
          <w:lang w:val="en-US" w:eastAsia="zh-CN"/>
        </w:rPr>
        <w:t>3</w:t>
      </w:r>
      <w:r>
        <w:rPr>
          <w:rFonts w:hint="eastAsia" w:ascii="仿宋" w:hAnsi="仿宋" w:eastAsia="仿宋" w:cs="仿宋"/>
          <w:i w:val="0"/>
          <w:iCs w:val="0"/>
          <w:caps w:val="0"/>
          <w:color w:val="3D3D3D"/>
          <w:spacing w:val="0"/>
          <w:sz w:val="32"/>
          <w:szCs w:val="32"/>
          <w:u w:val="none"/>
          <w:shd w:val="clear" w:fill="FFFFFF"/>
        </w:rPr>
        <w:t>.市商务局</w:t>
      </w:r>
      <w:r>
        <w:rPr>
          <w:rFonts w:hint="eastAsia" w:ascii="仿宋" w:hAnsi="仿宋" w:eastAsia="仿宋" w:cs="仿宋"/>
          <w:i w:val="0"/>
          <w:iCs w:val="0"/>
          <w:caps w:val="0"/>
          <w:color w:val="3D3D3D"/>
          <w:spacing w:val="0"/>
          <w:sz w:val="32"/>
          <w:szCs w:val="32"/>
          <w:u w:val="none"/>
          <w:shd w:val="clear" w:fill="FFFFFF"/>
          <w:lang w:eastAsia="zh-CN"/>
        </w:rPr>
        <w:t>组织专家评审，</w:t>
      </w:r>
      <w:r>
        <w:rPr>
          <w:rFonts w:hint="eastAsia" w:ascii="仿宋" w:hAnsi="仿宋" w:eastAsia="仿宋" w:cs="仿宋"/>
          <w:i w:val="0"/>
          <w:iCs w:val="0"/>
          <w:caps w:val="0"/>
          <w:color w:val="3D3D3D"/>
          <w:spacing w:val="0"/>
          <w:sz w:val="32"/>
          <w:szCs w:val="32"/>
          <w:u w:val="none"/>
          <w:shd w:val="clear" w:fill="FFFFFF"/>
        </w:rPr>
        <w:t>对符合条件单位按程序研究后，</w:t>
      </w:r>
      <w:r>
        <w:rPr>
          <w:rFonts w:hint="eastAsia" w:ascii="仿宋" w:hAnsi="仿宋" w:eastAsia="仿宋" w:cs="仿宋"/>
          <w:i w:val="0"/>
          <w:iCs w:val="0"/>
          <w:caps w:val="0"/>
          <w:color w:val="333333"/>
          <w:spacing w:val="0"/>
          <w:sz w:val="32"/>
          <w:szCs w:val="32"/>
          <w:u w:val="none"/>
          <w:shd w:val="clear" w:fill="FFFFFF"/>
        </w:rPr>
        <w:t>通过保定市人民政府信息公开平台向社会公示</w:t>
      </w:r>
      <w:r>
        <w:rPr>
          <w:rFonts w:hint="eastAsia" w:ascii="仿宋" w:hAnsi="仿宋" w:eastAsia="仿宋" w:cs="仿宋"/>
          <w:i w:val="0"/>
          <w:iCs w:val="0"/>
          <w:caps w:val="0"/>
          <w:color w:val="333333"/>
          <w:spacing w:val="0"/>
          <w:sz w:val="32"/>
          <w:szCs w:val="32"/>
          <w:u w:val="none"/>
          <w:shd w:val="clear" w:fill="FFFFFF"/>
          <w:lang w:eastAsia="zh-CN"/>
        </w:rPr>
        <w:t>，</w:t>
      </w:r>
      <w:r>
        <w:rPr>
          <w:rFonts w:hint="eastAsia" w:ascii="仿宋" w:hAnsi="仿宋" w:eastAsia="仿宋" w:cs="仿宋"/>
          <w:i w:val="0"/>
          <w:iCs w:val="0"/>
          <w:caps w:val="0"/>
          <w:color w:val="333333"/>
          <w:spacing w:val="0"/>
          <w:sz w:val="32"/>
          <w:szCs w:val="32"/>
          <w:u w:val="none"/>
          <w:shd w:val="clear" w:fill="FFFFFF"/>
        </w:rPr>
        <w:t>公示无异议后确定承办单位，按要求开展活动。</w:t>
      </w:r>
    </w:p>
    <w:p w14:paraId="349AABD2">
      <w:pPr>
        <w:pStyle w:val="6"/>
        <w:shd w:val="clear" w:color="auto" w:fill="FFFFFF"/>
        <w:spacing w:before="0" w:beforeAutospacing="0" w:after="0" w:afterAutospacing="0" w:line="560" w:lineRule="exact"/>
        <w:ind w:firstLine="640" w:firstLineChars="200"/>
        <w:jc w:val="both"/>
        <w:rPr>
          <w:rFonts w:ascii="黑体" w:hAnsi="黑体" w:eastAsia="黑体"/>
          <w:color w:val="3D3D3D"/>
          <w:sz w:val="32"/>
          <w:szCs w:val="32"/>
        </w:rPr>
      </w:pPr>
      <w:r>
        <w:rPr>
          <w:rFonts w:hint="eastAsia" w:ascii="黑体" w:hAnsi="黑体" w:eastAsia="黑体"/>
          <w:color w:val="3D3D3D"/>
          <w:sz w:val="32"/>
          <w:szCs w:val="32"/>
        </w:rPr>
        <w:t>五、有关要求</w:t>
      </w:r>
    </w:p>
    <w:p w14:paraId="40D1F408">
      <w:pPr>
        <w:pStyle w:val="6"/>
        <w:shd w:val="clear" w:color="auto" w:fill="FFFFFF"/>
        <w:spacing w:before="0" w:beforeAutospacing="0" w:after="0" w:afterAutospacing="0" w:line="560" w:lineRule="exact"/>
        <w:ind w:firstLine="640" w:firstLineChars="200"/>
        <w:jc w:val="both"/>
        <w:rPr>
          <w:rFonts w:ascii="仿宋_GB2312" w:eastAsia="仿宋_GB2312"/>
          <w:color w:val="3D3D3D"/>
          <w:sz w:val="32"/>
          <w:szCs w:val="32"/>
        </w:rPr>
      </w:pPr>
      <w:r>
        <w:rPr>
          <w:rFonts w:hint="eastAsia" w:ascii="楷体_GB2312" w:eastAsia="楷体_GB2312"/>
          <w:color w:val="3D3D3D"/>
          <w:sz w:val="32"/>
          <w:szCs w:val="32"/>
        </w:rPr>
        <w:t>（一）加强组织领导。</w:t>
      </w:r>
      <w:r>
        <w:rPr>
          <w:rFonts w:hint="eastAsia" w:ascii="仿宋_GB2312" w:eastAsia="仿宋_GB2312"/>
          <w:color w:val="3D3D3D"/>
          <w:sz w:val="32"/>
          <w:szCs w:val="32"/>
        </w:rPr>
        <w:t>商务主管部门要建立由发改、工信、住建、市场监管、公安、消防等部门组成的工作专班，加强对辖区以旧换新活动的协调、组织和监管。要加强工作指导，明确专人负责，制定专项方案和配套措施，确保以旧换新活动科学有序推进。要指导承办活动单位健全制度，诚信经营，积极配合审核、审计、信息统计各项工作，主动完善有关台账票据，达标单位要及时纳统。</w:t>
      </w:r>
    </w:p>
    <w:p w14:paraId="638D6B27">
      <w:pPr>
        <w:pStyle w:val="6"/>
        <w:shd w:val="clear" w:color="auto" w:fill="FFFFFF"/>
        <w:spacing w:before="0" w:beforeAutospacing="0" w:after="0" w:afterAutospacing="0" w:line="560" w:lineRule="exact"/>
        <w:ind w:firstLine="640" w:firstLineChars="200"/>
        <w:jc w:val="both"/>
        <w:rPr>
          <w:rFonts w:ascii="仿宋_GB2312" w:eastAsia="仿宋_GB2312"/>
          <w:color w:val="3D3D3D"/>
          <w:sz w:val="32"/>
          <w:szCs w:val="32"/>
        </w:rPr>
      </w:pPr>
      <w:r>
        <w:rPr>
          <w:rFonts w:hint="eastAsia" w:ascii="楷体_GB2312" w:eastAsia="楷体_GB2312"/>
          <w:color w:val="3D3D3D"/>
          <w:sz w:val="32"/>
          <w:szCs w:val="32"/>
        </w:rPr>
        <w:t>（二）抓实工作准备。</w:t>
      </w:r>
      <w:r>
        <w:rPr>
          <w:rFonts w:hint="eastAsia" w:ascii="仿宋_GB2312" w:eastAsia="仿宋_GB2312"/>
          <w:color w:val="3D3D3D"/>
          <w:sz w:val="32"/>
          <w:szCs w:val="32"/>
        </w:rPr>
        <w:t>要协调有关部门加强监管，指导活动承办单位提前完成承办活动商品品类和价格的报备，要主动与省定消费品以旧换新补贴活动平台进行对接，指导承办单位按要求布设或升级改造相关收单机具。活动承办单位要认真建立销售台账（包含销售商品品类、品牌、规格型号、销售价格、支付路径、支付金额、补贴金额等信息），开具合规销售发票（发票要明确商品的品牌、品类、规格型号、享受的政府补贴金额等，同时要留存发票备查），主动接受监督核查。要落实保密责任，对活动承办过程中获取的政府和消费者信息依法承担责任。</w:t>
      </w:r>
    </w:p>
    <w:p w14:paraId="355673E3">
      <w:pPr>
        <w:pStyle w:val="6"/>
        <w:shd w:val="clear" w:color="auto" w:fill="FFFFFF"/>
        <w:spacing w:before="0" w:beforeAutospacing="0" w:after="0" w:afterAutospacing="0" w:line="560" w:lineRule="exact"/>
        <w:ind w:firstLine="640" w:firstLineChars="200"/>
        <w:jc w:val="both"/>
        <w:rPr>
          <w:rFonts w:ascii="仿宋_GB2312" w:eastAsia="仿宋_GB2312"/>
          <w:color w:val="3D3D3D"/>
          <w:sz w:val="32"/>
          <w:szCs w:val="32"/>
        </w:rPr>
      </w:pPr>
      <w:r>
        <w:rPr>
          <w:rFonts w:hint="eastAsia" w:ascii="楷体_GB2312" w:eastAsia="楷体_GB2312"/>
          <w:color w:val="3D3D3D"/>
          <w:sz w:val="32"/>
          <w:szCs w:val="32"/>
        </w:rPr>
        <w:t>（三）强化政策宣传。</w:t>
      </w:r>
      <w:r>
        <w:rPr>
          <w:rFonts w:hint="eastAsia" w:ascii="仿宋_GB2312" w:eastAsia="仿宋_GB2312"/>
          <w:color w:val="3D3D3D"/>
          <w:sz w:val="32"/>
          <w:szCs w:val="32"/>
        </w:rPr>
        <w:t>商务主管部门要主动开展政策宣传，利用传统和新媒体多渠道发布国家政策。要指导活动承办单位认真落实活动方案，在线下卖场或线上店铺设置“保定市以旧换新补贴商品”、“享受政府补贴”等宣传字样，要定期开展活动商品展示展销活动，组织多品类商品展销大集和以旧换新商品下乡活动，推动国补优惠及时惠及广大消费者。</w:t>
      </w:r>
    </w:p>
    <w:p w14:paraId="1DA8BD0B">
      <w:pPr>
        <w:pStyle w:val="6"/>
        <w:shd w:val="clear" w:color="auto" w:fill="FFFFFF"/>
        <w:spacing w:before="0" w:beforeAutospacing="0" w:after="0" w:afterAutospacing="0" w:line="560" w:lineRule="exact"/>
        <w:ind w:firstLine="640" w:firstLineChars="200"/>
        <w:rPr>
          <w:rFonts w:ascii="仿宋_GB2312" w:eastAsia="仿宋_GB2312"/>
          <w:color w:val="3D3D3D"/>
          <w:sz w:val="32"/>
          <w:szCs w:val="32"/>
        </w:rPr>
      </w:pPr>
      <w:r>
        <w:rPr>
          <w:rFonts w:hint="eastAsia" w:ascii="楷体_GB2312" w:eastAsia="楷体_GB2312"/>
          <w:color w:val="3D3D3D"/>
          <w:sz w:val="32"/>
          <w:szCs w:val="32"/>
        </w:rPr>
        <w:t>（四）确保补贴安全。</w:t>
      </w:r>
      <w:r>
        <w:rPr>
          <w:rFonts w:hint="eastAsia" w:ascii="仿宋_GB2312" w:eastAsia="仿宋_GB2312"/>
          <w:color w:val="3D3D3D"/>
          <w:sz w:val="32"/>
          <w:szCs w:val="32"/>
        </w:rPr>
        <w:t>要主动识别和防范骗补、套补风险隐患和行为，发生过骗补、套补等问题的门店不可申请参加活动。要强化商品品类和价格报备，对因报备不准确造成的补贴资金损失，由当事单位承担，造成消费者损失的，追究当事单位责任。商务局协调</w:t>
      </w:r>
      <w:r>
        <w:rPr>
          <w:rFonts w:hint="eastAsia" w:ascii="仿宋_GB2312" w:eastAsia="仿宋_GB2312"/>
          <w:color w:val="3D3D3D"/>
          <w:sz w:val="32"/>
          <w:szCs w:val="32"/>
          <w:lang w:eastAsia="zh-CN"/>
        </w:rPr>
        <w:t>县</w:t>
      </w:r>
      <w:r>
        <w:rPr>
          <w:rFonts w:hint="eastAsia" w:ascii="仿宋_GB2312" w:eastAsia="仿宋_GB2312"/>
          <w:color w:val="3D3D3D"/>
          <w:sz w:val="32"/>
          <w:szCs w:val="32"/>
        </w:rPr>
        <w:t>直有关部门对活动实施动态管理，对活动过程中违规、违法或不按要求开展活动单位，活动期间交易额较少甚至为“0”的单位，商务部将协商承办单位退出活动，终止相关单位活动承办资格，涉及违规违法的，责令赔偿相关损失，必要时追究其法律责任。</w:t>
      </w:r>
    </w:p>
    <w:p w14:paraId="33925F4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本公示最终解释权在县发改和科技局。内容如与上级政策要求不符，以上级政策为准。</w:t>
      </w:r>
    </w:p>
    <w:p w14:paraId="4FDD48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附件：</w:t>
      </w:r>
    </w:p>
    <w:p w14:paraId="317794F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1.</w:t>
      </w:r>
      <w:r>
        <w:rPr>
          <w:rFonts w:hint="eastAsia" w:ascii="仿宋" w:hAnsi="仿宋" w:eastAsia="仿宋" w:cs="仿宋"/>
          <w:i w:val="0"/>
          <w:iCs w:val="0"/>
          <w:caps w:val="0"/>
          <w:color w:val="333333"/>
          <w:spacing w:val="0"/>
          <w:sz w:val="32"/>
          <w:szCs w:val="32"/>
          <w:u w:val="none"/>
          <w:shd w:val="clear" w:fill="FFFFFF"/>
        </w:rPr>
        <w:fldChar w:fldCharType="begin"/>
      </w:r>
      <w:r>
        <w:rPr>
          <w:rFonts w:hint="eastAsia" w:ascii="仿宋" w:hAnsi="仿宋" w:eastAsia="仿宋" w:cs="仿宋"/>
          <w:i w:val="0"/>
          <w:iCs w:val="0"/>
          <w:caps w:val="0"/>
          <w:color w:val="333333"/>
          <w:spacing w:val="0"/>
          <w:sz w:val="32"/>
          <w:szCs w:val="32"/>
          <w:u w:val="none"/>
          <w:shd w:val="clear" w:fill="FFFFFF"/>
        </w:rPr>
        <w:instrText xml:space="preserve"> HYPERLINK "https://jiyunlaishui.hebyun.com.cn/upload/file/2024/10/01/1727753972557028150.doc" \o "附件1：2024年XX市消费品以旧换新补贴活动承办单位报名表.doc" \t "https://jiyunlaishui.hebyun.com.cn/pages/2024/10/01/_self" </w:instrText>
      </w:r>
      <w:r>
        <w:rPr>
          <w:rFonts w:hint="eastAsia" w:ascii="仿宋" w:hAnsi="仿宋" w:eastAsia="仿宋" w:cs="仿宋"/>
          <w:i w:val="0"/>
          <w:iCs w:val="0"/>
          <w:caps w:val="0"/>
          <w:color w:val="333333"/>
          <w:spacing w:val="0"/>
          <w:sz w:val="32"/>
          <w:szCs w:val="32"/>
          <w:u w:val="none"/>
          <w:shd w:val="clear" w:fill="FFFFFF"/>
        </w:rPr>
        <w:fldChar w:fldCharType="separate"/>
      </w:r>
      <w:r>
        <w:rPr>
          <w:rFonts w:hint="eastAsia" w:ascii="仿宋" w:hAnsi="仿宋" w:eastAsia="仿宋" w:cs="仿宋"/>
          <w:i w:val="0"/>
          <w:iCs w:val="0"/>
          <w:caps w:val="0"/>
          <w:color w:val="333333"/>
          <w:spacing w:val="0"/>
          <w:sz w:val="32"/>
          <w:szCs w:val="32"/>
          <w:u w:val="none"/>
          <w:shd w:val="clear" w:fill="FFFFFF"/>
        </w:rPr>
        <w:t>附件1：2024年XX市消费品以旧换新补贴活动承办单位报名表.doc</w:t>
      </w:r>
      <w:r>
        <w:rPr>
          <w:rFonts w:hint="eastAsia" w:ascii="仿宋" w:hAnsi="仿宋" w:eastAsia="仿宋" w:cs="仿宋"/>
          <w:i w:val="0"/>
          <w:iCs w:val="0"/>
          <w:caps w:val="0"/>
          <w:color w:val="333333"/>
          <w:spacing w:val="0"/>
          <w:sz w:val="32"/>
          <w:szCs w:val="32"/>
          <w:u w:val="none"/>
          <w:shd w:val="clear" w:fill="FFFFFF"/>
        </w:rPr>
        <w:fldChar w:fldCharType="end"/>
      </w:r>
    </w:p>
    <w:p w14:paraId="0B9F68C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2.</w:t>
      </w:r>
      <w:r>
        <w:rPr>
          <w:rFonts w:hint="eastAsia" w:ascii="仿宋" w:hAnsi="仿宋" w:eastAsia="仿宋" w:cs="仿宋"/>
          <w:i w:val="0"/>
          <w:iCs w:val="0"/>
          <w:caps w:val="0"/>
          <w:color w:val="333333"/>
          <w:spacing w:val="0"/>
          <w:sz w:val="32"/>
          <w:szCs w:val="32"/>
          <w:u w:val="none"/>
          <w:shd w:val="clear" w:fill="FFFFFF"/>
        </w:rPr>
        <w:fldChar w:fldCharType="begin"/>
      </w:r>
      <w:r>
        <w:rPr>
          <w:rFonts w:hint="eastAsia" w:ascii="仿宋" w:hAnsi="仿宋" w:eastAsia="仿宋" w:cs="仿宋"/>
          <w:i w:val="0"/>
          <w:iCs w:val="0"/>
          <w:caps w:val="0"/>
          <w:color w:val="333333"/>
          <w:spacing w:val="0"/>
          <w:sz w:val="32"/>
          <w:szCs w:val="32"/>
          <w:u w:val="none"/>
          <w:shd w:val="clear" w:fill="FFFFFF"/>
        </w:rPr>
        <w:instrText xml:space="preserve"> HYPERLINK "https://jiyunlaishui.hebyun.com.cn/upload/file/2024/10/01/1727753985771019694.doc" \o "附件2：活动承办单位门店申报表.doc" \t "https://jiyunlaishui.hebyun.com.cn/pages/2024/10/01/_self" </w:instrText>
      </w:r>
      <w:r>
        <w:rPr>
          <w:rFonts w:hint="eastAsia" w:ascii="仿宋" w:hAnsi="仿宋" w:eastAsia="仿宋" w:cs="仿宋"/>
          <w:i w:val="0"/>
          <w:iCs w:val="0"/>
          <w:caps w:val="0"/>
          <w:color w:val="333333"/>
          <w:spacing w:val="0"/>
          <w:sz w:val="32"/>
          <w:szCs w:val="32"/>
          <w:u w:val="none"/>
          <w:shd w:val="clear" w:fill="FFFFFF"/>
        </w:rPr>
        <w:fldChar w:fldCharType="separate"/>
      </w:r>
      <w:r>
        <w:rPr>
          <w:rFonts w:hint="eastAsia" w:ascii="仿宋" w:hAnsi="仿宋" w:eastAsia="仿宋" w:cs="仿宋"/>
          <w:i w:val="0"/>
          <w:iCs w:val="0"/>
          <w:caps w:val="0"/>
          <w:color w:val="333333"/>
          <w:spacing w:val="0"/>
          <w:sz w:val="32"/>
          <w:szCs w:val="32"/>
          <w:u w:val="none"/>
          <w:shd w:val="clear" w:fill="FFFFFF"/>
        </w:rPr>
        <w:t>附件2：活动承办单位门店申报表.doc</w:t>
      </w:r>
      <w:r>
        <w:rPr>
          <w:rFonts w:hint="eastAsia" w:ascii="仿宋" w:hAnsi="仿宋" w:eastAsia="仿宋" w:cs="仿宋"/>
          <w:i w:val="0"/>
          <w:iCs w:val="0"/>
          <w:caps w:val="0"/>
          <w:color w:val="333333"/>
          <w:spacing w:val="0"/>
          <w:sz w:val="32"/>
          <w:szCs w:val="32"/>
          <w:u w:val="none"/>
          <w:shd w:val="clear" w:fill="FFFFFF"/>
        </w:rPr>
        <w:fldChar w:fldCharType="end"/>
      </w:r>
    </w:p>
    <w:p w14:paraId="4AFBF1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3.</w:t>
      </w:r>
      <w:r>
        <w:rPr>
          <w:rFonts w:hint="eastAsia" w:ascii="仿宋" w:hAnsi="仿宋" w:eastAsia="仿宋" w:cs="仿宋"/>
          <w:i w:val="0"/>
          <w:iCs w:val="0"/>
          <w:caps w:val="0"/>
          <w:color w:val="333333"/>
          <w:spacing w:val="0"/>
          <w:sz w:val="32"/>
          <w:szCs w:val="32"/>
          <w:u w:val="none"/>
          <w:shd w:val="clear" w:fill="FFFFFF"/>
        </w:rPr>
        <w:fldChar w:fldCharType="begin"/>
      </w:r>
      <w:r>
        <w:rPr>
          <w:rFonts w:hint="eastAsia" w:ascii="仿宋" w:hAnsi="仿宋" w:eastAsia="仿宋" w:cs="仿宋"/>
          <w:i w:val="0"/>
          <w:iCs w:val="0"/>
          <w:caps w:val="0"/>
          <w:color w:val="333333"/>
          <w:spacing w:val="0"/>
          <w:sz w:val="32"/>
          <w:szCs w:val="32"/>
          <w:u w:val="none"/>
          <w:shd w:val="clear" w:fill="FFFFFF"/>
        </w:rPr>
        <w:instrText xml:space="preserve"> HYPERLINK "https://jiyunlaishui.hebyun.com.cn/upload/file/2024/10/01/1727753994343027317.doc" \o "附件3：参加活动商品品类及价格备案表.doc" \t "https://jiyunlaishui.hebyun.com.cn/pages/2024/10/01/_self" </w:instrText>
      </w:r>
      <w:r>
        <w:rPr>
          <w:rFonts w:hint="eastAsia" w:ascii="仿宋" w:hAnsi="仿宋" w:eastAsia="仿宋" w:cs="仿宋"/>
          <w:i w:val="0"/>
          <w:iCs w:val="0"/>
          <w:caps w:val="0"/>
          <w:color w:val="333333"/>
          <w:spacing w:val="0"/>
          <w:sz w:val="32"/>
          <w:szCs w:val="32"/>
          <w:u w:val="none"/>
          <w:shd w:val="clear" w:fill="FFFFFF"/>
        </w:rPr>
        <w:fldChar w:fldCharType="separate"/>
      </w:r>
      <w:r>
        <w:rPr>
          <w:rFonts w:hint="eastAsia" w:ascii="仿宋" w:hAnsi="仿宋" w:eastAsia="仿宋" w:cs="仿宋"/>
          <w:i w:val="0"/>
          <w:iCs w:val="0"/>
          <w:caps w:val="0"/>
          <w:color w:val="333333"/>
          <w:spacing w:val="0"/>
          <w:sz w:val="32"/>
          <w:szCs w:val="32"/>
          <w:u w:val="none"/>
          <w:shd w:val="clear" w:fill="FFFFFF"/>
        </w:rPr>
        <w:t>附件3：参加活动商品品类及价格备案表.doc</w:t>
      </w:r>
      <w:r>
        <w:rPr>
          <w:rFonts w:hint="eastAsia" w:ascii="仿宋" w:hAnsi="仿宋" w:eastAsia="仿宋" w:cs="仿宋"/>
          <w:i w:val="0"/>
          <w:iCs w:val="0"/>
          <w:caps w:val="0"/>
          <w:color w:val="333333"/>
          <w:spacing w:val="0"/>
          <w:sz w:val="32"/>
          <w:szCs w:val="32"/>
          <w:u w:val="none"/>
          <w:shd w:val="clear" w:fill="FFFFFF"/>
        </w:rPr>
        <w:fldChar w:fldCharType="end"/>
      </w:r>
    </w:p>
    <w:p w14:paraId="7069BA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_GB2312" w:eastAsia="仿宋_GB2312"/>
          <w:color w:val="3D3D3D"/>
          <w:sz w:val="32"/>
          <w:szCs w:val="32"/>
        </w:rPr>
        <w:t>4.</w:t>
      </w:r>
      <w:r>
        <w:rPr>
          <w:rFonts w:hint="eastAsia" w:ascii="仿宋_GB2312" w:eastAsia="仿宋_GB2312"/>
          <w:sz w:val="32"/>
          <w:szCs w:val="32"/>
        </w:rPr>
        <w:t>活动承办单位动态管理机制</w:t>
      </w:r>
    </w:p>
    <w:p w14:paraId="2A56E8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 w:hAnsi="仿宋" w:eastAsia="仿宋" w:cs="仿宋"/>
          <w:i w:val="0"/>
          <w:iCs w:val="0"/>
          <w:caps w:val="0"/>
          <w:color w:val="333333"/>
          <w:spacing w:val="0"/>
          <w:sz w:val="32"/>
          <w:szCs w:val="32"/>
          <w:u w:val="none"/>
          <w:shd w:val="clear" w:fill="FFFFFF"/>
        </w:rPr>
      </w:pPr>
    </w:p>
    <w:p w14:paraId="02CA80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right"/>
        <w:textAlignment w:val="auto"/>
        <w:rPr>
          <w:rFonts w:hint="eastAsia" w:ascii="仿宋" w:hAnsi="仿宋" w:eastAsia="仿宋" w:cs="仿宋"/>
          <w:i w:val="0"/>
          <w:iCs w:val="0"/>
          <w:caps w:val="0"/>
          <w:color w:val="333333"/>
          <w:spacing w:val="0"/>
          <w:sz w:val="32"/>
          <w:szCs w:val="32"/>
          <w:u w:val="none"/>
          <w:shd w:val="clear" w:fill="FFFFFF"/>
          <w:lang w:eastAsia="zh-CN"/>
        </w:rPr>
      </w:pPr>
    </w:p>
    <w:p w14:paraId="08953B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right"/>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lang w:eastAsia="zh-CN"/>
        </w:rPr>
        <w:t>涞源县</w:t>
      </w:r>
      <w:r>
        <w:rPr>
          <w:rFonts w:hint="eastAsia" w:ascii="仿宋" w:hAnsi="仿宋" w:eastAsia="仿宋" w:cs="仿宋"/>
          <w:i w:val="0"/>
          <w:iCs w:val="0"/>
          <w:caps w:val="0"/>
          <w:color w:val="333333"/>
          <w:spacing w:val="0"/>
          <w:sz w:val="32"/>
          <w:szCs w:val="32"/>
          <w:u w:val="none"/>
          <w:shd w:val="clear" w:fill="FFFFFF"/>
        </w:rPr>
        <w:t>发展改革和科学技术局</w:t>
      </w:r>
    </w:p>
    <w:p w14:paraId="6CD691A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lang w:val="en-US" w:eastAsia="zh-CN"/>
        </w:rPr>
        <w:t xml:space="preserve">                   </w:t>
      </w:r>
      <w:r>
        <w:rPr>
          <w:rFonts w:hint="eastAsia" w:ascii="仿宋" w:hAnsi="仿宋" w:eastAsia="仿宋" w:cs="仿宋"/>
          <w:i w:val="0"/>
          <w:iCs w:val="0"/>
          <w:caps w:val="0"/>
          <w:color w:val="333333"/>
          <w:spacing w:val="0"/>
          <w:sz w:val="32"/>
          <w:szCs w:val="32"/>
          <w:u w:val="none"/>
          <w:shd w:val="clear" w:fill="FFFFFF"/>
        </w:rPr>
        <w:t>2024年10月1</w:t>
      </w:r>
      <w:r>
        <w:rPr>
          <w:rFonts w:hint="eastAsia" w:ascii="仿宋" w:hAnsi="仿宋" w:eastAsia="仿宋" w:cs="仿宋"/>
          <w:i w:val="0"/>
          <w:iCs w:val="0"/>
          <w:caps w:val="0"/>
          <w:color w:val="333333"/>
          <w:spacing w:val="0"/>
          <w:sz w:val="32"/>
          <w:szCs w:val="32"/>
          <w:u w:val="none"/>
          <w:shd w:val="clear" w:fill="FFFFFF"/>
          <w:lang w:val="en-US" w:eastAsia="zh-CN"/>
        </w:rPr>
        <w:t>0</w:t>
      </w:r>
      <w:r>
        <w:rPr>
          <w:rFonts w:hint="eastAsia" w:ascii="仿宋" w:hAnsi="仿宋" w:eastAsia="仿宋" w:cs="仿宋"/>
          <w:i w:val="0"/>
          <w:iCs w:val="0"/>
          <w:caps w:val="0"/>
          <w:color w:val="333333"/>
          <w:spacing w:val="0"/>
          <w:sz w:val="32"/>
          <w:szCs w:val="32"/>
          <w:u w:val="none"/>
          <w:shd w:val="clear" w:fill="FFFFFF"/>
        </w:rPr>
        <w:t>日 </w:t>
      </w:r>
    </w:p>
    <w:p w14:paraId="4A65B3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微软雅黑" w:hAnsi="微软雅黑" w:eastAsia="微软雅黑" w:cs="微软雅黑"/>
          <w:i w:val="0"/>
          <w:iCs w:val="0"/>
          <w:caps w:val="0"/>
          <w:color w:val="333333"/>
          <w:spacing w:val="0"/>
          <w:sz w:val="21"/>
          <w:szCs w:val="21"/>
          <w:u w:val="none"/>
        </w:rPr>
      </w:pPr>
      <w:r>
        <w:rPr>
          <w:rFonts w:hint="eastAsia" w:ascii="黑体" w:hAnsi="宋体" w:eastAsia="黑体" w:cs="黑体"/>
          <w:i w:val="0"/>
          <w:iCs w:val="0"/>
          <w:caps w:val="0"/>
          <w:color w:val="333333"/>
          <w:spacing w:val="0"/>
          <w:sz w:val="31"/>
          <w:szCs w:val="31"/>
          <w:u w:val="none"/>
          <w:shd w:val="clear" w:fill="FFFFFF"/>
        </w:rPr>
        <w:t> </w:t>
      </w:r>
    </w:p>
    <w:p w14:paraId="729F26B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微软雅黑" w:hAnsi="微软雅黑" w:eastAsia="微软雅黑" w:cs="微软雅黑"/>
          <w:i w:val="0"/>
          <w:iCs w:val="0"/>
          <w:caps w:val="0"/>
          <w:color w:val="333333"/>
          <w:spacing w:val="0"/>
          <w:sz w:val="21"/>
          <w:szCs w:val="21"/>
          <w:u w:val="none"/>
        </w:rPr>
      </w:pPr>
      <w:r>
        <w:rPr>
          <w:rFonts w:hint="eastAsia" w:ascii="黑体" w:hAnsi="宋体" w:eastAsia="黑体" w:cs="黑体"/>
          <w:i w:val="0"/>
          <w:iCs w:val="0"/>
          <w:caps w:val="0"/>
          <w:color w:val="333333"/>
          <w:spacing w:val="0"/>
          <w:sz w:val="31"/>
          <w:szCs w:val="31"/>
          <w:u w:val="none"/>
          <w:shd w:val="clear" w:fill="FFFFFF"/>
        </w:rPr>
        <w:t> </w:t>
      </w:r>
    </w:p>
    <w:p w14:paraId="2DA3C6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微软雅黑" w:hAnsi="微软雅黑" w:eastAsia="微软雅黑" w:cs="微软雅黑"/>
          <w:i w:val="0"/>
          <w:iCs w:val="0"/>
          <w:caps w:val="0"/>
          <w:color w:val="333333"/>
          <w:spacing w:val="0"/>
          <w:sz w:val="21"/>
          <w:szCs w:val="21"/>
          <w:u w:val="none"/>
        </w:rPr>
      </w:pPr>
    </w:p>
    <w:p w14:paraId="2B747B6C">
      <w:pPr>
        <w:keepNext w:val="0"/>
        <w:keepLines w:val="0"/>
        <w:pageBreakBefore w:val="0"/>
        <w:kinsoku/>
        <w:wordWrap/>
        <w:overflowPunct/>
        <w:topLinePunct w:val="0"/>
        <w:autoSpaceDE/>
        <w:autoSpaceDN/>
        <w:bidi w:val="0"/>
        <w:adjustRightInd/>
        <w:snapToGrid/>
        <w:spacing w:line="560" w:lineRule="exact"/>
        <w:textAlignment w:val="auto"/>
      </w:pPr>
    </w:p>
    <w:p w14:paraId="0248B5AE">
      <w:pPr>
        <w:keepNext w:val="0"/>
        <w:keepLines w:val="0"/>
        <w:pageBreakBefore w:val="0"/>
        <w:kinsoku/>
        <w:wordWrap/>
        <w:overflowPunct/>
        <w:topLinePunct w:val="0"/>
        <w:autoSpaceDE/>
        <w:autoSpaceDN/>
        <w:bidi w:val="0"/>
        <w:adjustRightInd/>
        <w:snapToGrid/>
        <w:spacing w:line="560" w:lineRule="exact"/>
        <w:textAlignment w:val="auto"/>
      </w:pPr>
    </w:p>
    <w:p w14:paraId="7D8F77EF">
      <w:pPr>
        <w:pStyle w:val="6"/>
        <w:shd w:val="clear" w:color="auto" w:fill="FFFFFF"/>
        <w:spacing w:before="0" w:beforeAutospacing="0" w:after="0" w:afterAutospacing="0" w:line="560" w:lineRule="exact"/>
        <w:jc w:val="both"/>
        <w:rPr>
          <w:rFonts w:ascii="黑体" w:hAnsi="黑体" w:eastAsia="黑体"/>
          <w:sz w:val="32"/>
          <w:szCs w:val="32"/>
        </w:rPr>
      </w:pPr>
      <w:r>
        <w:rPr>
          <w:rFonts w:ascii="黑体" w:hAnsi="黑体" w:eastAsia="黑体"/>
          <w:sz w:val="32"/>
          <w:szCs w:val="32"/>
        </w:rPr>
        <w:t>附件</w:t>
      </w:r>
      <w:r>
        <w:rPr>
          <w:rFonts w:hint="eastAsia" w:ascii="黑体" w:hAnsi="黑体" w:eastAsia="黑体"/>
          <w:sz w:val="32"/>
          <w:szCs w:val="32"/>
        </w:rPr>
        <w:t>1</w:t>
      </w:r>
    </w:p>
    <w:p w14:paraId="15D028A8">
      <w:pPr>
        <w:pStyle w:val="6"/>
        <w:shd w:val="clear" w:color="auto" w:fill="FFFFFF"/>
        <w:spacing w:before="0" w:beforeAutospacing="0" w:after="0" w:afterAutospacing="0" w:line="240" w:lineRule="exact"/>
        <w:jc w:val="center"/>
        <w:rPr>
          <w:rFonts w:ascii="黑体" w:hAnsi="黑体" w:eastAsia="黑体"/>
          <w:sz w:val="32"/>
          <w:szCs w:val="32"/>
        </w:rPr>
      </w:pPr>
    </w:p>
    <w:p w14:paraId="7F899F99">
      <w:pPr>
        <w:spacing w:line="520" w:lineRule="exact"/>
        <w:jc w:val="center"/>
        <w:rPr>
          <w:rFonts w:ascii="方正小标宋简体" w:eastAsia="方正小标宋简体"/>
          <w:sz w:val="44"/>
          <w:szCs w:val="44"/>
        </w:rPr>
      </w:pPr>
      <w:r>
        <w:rPr>
          <w:rFonts w:hint="eastAsia" w:ascii="方正小标宋简体" w:eastAsia="方正小标宋简体"/>
          <w:sz w:val="44"/>
          <w:szCs w:val="44"/>
        </w:rPr>
        <w:t>2024年保定市消费品以旧换新补贴活动</w:t>
      </w:r>
    </w:p>
    <w:p w14:paraId="2BA2E53E">
      <w:pPr>
        <w:spacing w:after="156" w:afterLines="50" w:line="520" w:lineRule="exact"/>
        <w:jc w:val="center"/>
        <w:rPr>
          <w:rFonts w:eastAsia="方正小标宋简体"/>
          <w:sz w:val="44"/>
          <w:szCs w:val="44"/>
        </w:rPr>
      </w:pPr>
      <w:r>
        <w:rPr>
          <w:rFonts w:hint="eastAsia" w:ascii="方正小标宋简体" w:eastAsia="方正小标宋简体"/>
          <w:sz w:val="44"/>
          <w:szCs w:val="44"/>
        </w:rPr>
        <w:t>承办单位报名表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5"/>
        <w:gridCol w:w="2143"/>
        <w:gridCol w:w="1309"/>
        <w:gridCol w:w="1540"/>
        <w:gridCol w:w="1731"/>
      </w:tblGrid>
      <w:tr w14:paraId="4950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795" w:type="dxa"/>
            <w:vAlign w:val="center"/>
          </w:tcPr>
          <w:p w14:paraId="729216A9">
            <w:pPr>
              <w:widowControl/>
              <w:spacing w:line="240" w:lineRule="exact"/>
              <w:jc w:val="center"/>
              <w:textAlignment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申请</w:t>
            </w:r>
            <w:r>
              <w:rPr>
                <w:rFonts w:ascii="Times New Roman" w:hAnsi="Times New Roman" w:eastAsia="黑体" w:cs="Times New Roman"/>
                <w:kern w:val="0"/>
                <w:sz w:val="22"/>
                <w:szCs w:val="22"/>
              </w:rPr>
              <w:t>单位名称</w:t>
            </w:r>
          </w:p>
          <w:p w14:paraId="1F3D7E8E">
            <w:pPr>
              <w:widowControl/>
              <w:spacing w:line="240" w:lineRule="exact"/>
              <w:jc w:val="center"/>
              <w:textAlignment w:val="center"/>
              <w:rPr>
                <w:rFonts w:ascii="Times New Roman" w:hAnsi="Times New Roman" w:eastAsia="黑体" w:cs="Times New Roman"/>
                <w:kern w:val="0"/>
                <w:sz w:val="20"/>
                <w:szCs w:val="20"/>
              </w:rPr>
            </w:pPr>
            <w:r>
              <w:rPr>
                <w:rFonts w:hint="eastAsia" w:ascii="Times New Roman" w:hAnsi="Times New Roman" w:eastAsia="黑体" w:cs="Times New Roman"/>
                <w:kern w:val="0"/>
                <w:sz w:val="22"/>
                <w:szCs w:val="22"/>
              </w:rPr>
              <w:t>（加盖申请单位公章）</w:t>
            </w:r>
          </w:p>
        </w:tc>
        <w:tc>
          <w:tcPr>
            <w:tcW w:w="2143" w:type="dxa"/>
            <w:vAlign w:val="center"/>
          </w:tcPr>
          <w:p w14:paraId="40FCD107">
            <w:pPr>
              <w:spacing w:line="240" w:lineRule="exact"/>
              <w:rPr>
                <w:rFonts w:ascii="Times New Roman" w:hAnsi="Times New Roman" w:eastAsia="宋体" w:cs="Times New Roman"/>
                <w:kern w:val="0"/>
                <w:sz w:val="20"/>
                <w:szCs w:val="20"/>
              </w:rPr>
            </w:pPr>
          </w:p>
        </w:tc>
        <w:tc>
          <w:tcPr>
            <w:tcW w:w="2849" w:type="dxa"/>
            <w:gridSpan w:val="2"/>
            <w:vAlign w:val="center"/>
          </w:tcPr>
          <w:p w14:paraId="15DAB0AA">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统一社会信用代码</w:t>
            </w:r>
          </w:p>
        </w:tc>
        <w:tc>
          <w:tcPr>
            <w:tcW w:w="1731" w:type="dxa"/>
            <w:vAlign w:val="center"/>
          </w:tcPr>
          <w:p w14:paraId="7719D183">
            <w:pPr>
              <w:spacing w:line="240" w:lineRule="exact"/>
              <w:rPr>
                <w:rFonts w:ascii="Times New Roman" w:hAnsi="Times New Roman" w:eastAsia="宋体" w:cs="Times New Roman"/>
                <w:kern w:val="0"/>
                <w:sz w:val="20"/>
                <w:szCs w:val="20"/>
              </w:rPr>
            </w:pPr>
          </w:p>
        </w:tc>
      </w:tr>
      <w:tr w14:paraId="19E7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795" w:type="dxa"/>
            <w:vAlign w:val="center"/>
          </w:tcPr>
          <w:p w14:paraId="69375AD9">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单位注册地址</w:t>
            </w:r>
          </w:p>
        </w:tc>
        <w:tc>
          <w:tcPr>
            <w:tcW w:w="2143" w:type="dxa"/>
            <w:vAlign w:val="center"/>
          </w:tcPr>
          <w:p w14:paraId="017AE695">
            <w:pPr>
              <w:spacing w:line="240" w:lineRule="exact"/>
              <w:jc w:val="left"/>
              <w:rPr>
                <w:rFonts w:ascii="Times New Roman" w:hAnsi="Times New Roman" w:eastAsia="宋体" w:cs="Times New Roman"/>
                <w:kern w:val="0"/>
                <w:sz w:val="20"/>
                <w:szCs w:val="20"/>
              </w:rPr>
            </w:pPr>
          </w:p>
        </w:tc>
        <w:tc>
          <w:tcPr>
            <w:tcW w:w="1309" w:type="dxa"/>
            <w:vMerge w:val="restart"/>
            <w:vAlign w:val="center"/>
          </w:tcPr>
          <w:p w14:paraId="1B759CC1">
            <w:pPr>
              <w:spacing w:line="240" w:lineRule="exact"/>
              <w:jc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单位对公</w:t>
            </w:r>
          </w:p>
          <w:p w14:paraId="642FAAB2">
            <w:pPr>
              <w:spacing w:line="240" w:lineRule="exact"/>
              <w:jc w:val="center"/>
              <w:rPr>
                <w:rFonts w:ascii="Times New Roman" w:hAnsi="Times New Roman" w:eastAsia="宋体" w:cs="Times New Roman"/>
                <w:kern w:val="0"/>
                <w:sz w:val="20"/>
                <w:szCs w:val="20"/>
              </w:rPr>
            </w:pPr>
            <w:r>
              <w:rPr>
                <w:rFonts w:hint="eastAsia" w:ascii="Times New Roman" w:hAnsi="Times New Roman" w:eastAsia="黑体" w:cs="Times New Roman"/>
                <w:kern w:val="0"/>
                <w:sz w:val="22"/>
                <w:szCs w:val="20"/>
              </w:rPr>
              <w:t>账户信息</w:t>
            </w:r>
          </w:p>
        </w:tc>
        <w:tc>
          <w:tcPr>
            <w:tcW w:w="1540" w:type="dxa"/>
            <w:vAlign w:val="center"/>
          </w:tcPr>
          <w:p w14:paraId="1E862C80">
            <w:pPr>
              <w:spacing w:line="240" w:lineRule="exact"/>
              <w:jc w:val="center"/>
              <w:rPr>
                <w:rFonts w:ascii="Times New Roman" w:hAnsi="Times New Roman" w:eastAsia="黑体" w:cs="Times New Roman"/>
                <w:kern w:val="0"/>
                <w:sz w:val="22"/>
                <w:szCs w:val="22"/>
              </w:rPr>
            </w:pPr>
            <w:r>
              <w:rPr>
                <w:rFonts w:ascii="Times New Roman" w:hAnsi="Times New Roman" w:eastAsia="黑体" w:cs="Times New Roman"/>
                <w:kern w:val="0"/>
                <w:sz w:val="22"/>
                <w:szCs w:val="22"/>
              </w:rPr>
              <w:t>户名</w:t>
            </w:r>
          </w:p>
        </w:tc>
        <w:tc>
          <w:tcPr>
            <w:tcW w:w="1731" w:type="dxa"/>
            <w:vAlign w:val="center"/>
          </w:tcPr>
          <w:p w14:paraId="6791B1BA">
            <w:pPr>
              <w:spacing w:line="240" w:lineRule="exact"/>
              <w:jc w:val="left"/>
              <w:rPr>
                <w:rFonts w:ascii="Times New Roman" w:hAnsi="Times New Roman" w:eastAsia="宋体" w:cs="Times New Roman"/>
                <w:kern w:val="0"/>
                <w:sz w:val="20"/>
                <w:szCs w:val="20"/>
              </w:rPr>
            </w:pPr>
          </w:p>
        </w:tc>
      </w:tr>
      <w:tr w14:paraId="09AC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1795" w:type="dxa"/>
            <w:vAlign w:val="center"/>
          </w:tcPr>
          <w:p w14:paraId="68A755DD">
            <w:pPr>
              <w:widowControl/>
              <w:spacing w:line="22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报名类别（家电、家装、电动自行车经营单位，三选一）及辐射能力</w:t>
            </w:r>
          </w:p>
        </w:tc>
        <w:tc>
          <w:tcPr>
            <w:tcW w:w="2143" w:type="dxa"/>
            <w:vAlign w:val="center"/>
          </w:tcPr>
          <w:p w14:paraId="09DACB0F">
            <w:pPr>
              <w:spacing w:line="240" w:lineRule="exact"/>
              <w:jc w:val="left"/>
              <w:rPr>
                <w:rFonts w:ascii="Times New Roman" w:hAnsi="Times New Roman" w:eastAsia="宋体" w:cs="Times New Roman"/>
                <w:kern w:val="0"/>
                <w:sz w:val="20"/>
                <w:szCs w:val="20"/>
              </w:rPr>
            </w:pPr>
          </w:p>
        </w:tc>
        <w:tc>
          <w:tcPr>
            <w:tcW w:w="1309" w:type="dxa"/>
            <w:vMerge w:val="continue"/>
            <w:vAlign w:val="center"/>
          </w:tcPr>
          <w:p w14:paraId="0AF2BFBD">
            <w:pPr>
              <w:spacing w:line="240" w:lineRule="exact"/>
              <w:jc w:val="center"/>
              <w:rPr>
                <w:rFonts w:ascii="Times New Roman" w:hAnsi="Times New Roman" w:eastAsia="宋体" w:cs="Times New Roman"/>
                <w:kern w:val="0"/>
                <w:sz w:val="20"/>
                <w:szCs w:val="20"/>
              </w:rPr>
            </w:pPr>
          </w:p>
        </w:tc>
        <w:tc>
          <w:tcPr>
            <w:tcW w:w="1540" w:type="dxa"/>
            <w:vAlign w:val="center"/>
          </w:tcPr>
          <w:p w14:paraId="57C10936">
            <w:pPr>
              <w:spacing w:line="240" w:lineRule="exact"/>
              <w:jc w:val="center"/>
              <w:rPr>
                <w:rFonts w:ascii="Times New Roman" w:hAnsi="Times New Roman" w:eastAsia="黑体" w:cs="Times New Roman"/>
                <w:kern w:val="0"/>
                <w:sz w:val="22"/>
                <w:szCs w:val="22"/>
              </w:rPr>
            </w:pPr>
            <w:r>
              <w:rPr>
                <w:rFonts w:ascii="Times New Roman" w:hAnsi="Times New Roman" w:eastAsia="黑体" w:cs="Times New Roman"/>
                <w:kern w:val="0"/>
                <w:sz w:val="22"/>
                <w:szCs w:val="22"/>
              </w:rPr>
              <w:t>账号</w:t>
            </w:r>
          </w:p>
        </w:tc>
        <w:tc>
          <w:tcPr>
            <w:tcW w:w="1731" w:type="dxa"/>
            <w:vAlign w:val="center"/>
          </w:tcPr>
          <w:p w14:paraId="680C2F4B">
            <w:pPr>
              <w:spacing w:line="240" w:lineRule="exact"/>
              <w:jc w:val="left"/>
              <w:rPr>
                <w:rFonts w:ascii="Times New Roman" w:hAnsi="Times New Roman" w:eastAsia="宋体" w:cs="Times New Roman"/>
                <w:kern w:val="0"/>
                <w:sz w:val="20"/>
                <w:szCs w:val="20"/>
              </w:rPr>
            </w:pPr>
          </w:p>
        </w:tc>
      </w:tr>
      <w:tr w14:paraId="4E39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1795" w:type="dxa"/>
            <w:vAlign w:val="center"/>
          </w:tcPr>
          <w:p w14:paraId="50DC7773">
            <w:pPr>
              <w:widowControl/>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2"/>
              </w:rPr>
              <w:t>是否限上单位</w:t>
            </w:r>
          </w:p>
        </w:tc>
        <w:tc>
          <w:tcPr>
            <w:tcW w:w="2143" w:type="dxa"/>
            <w:vAlign w:val="center"/>
          </w:tcPr>
          <w:p w14:paraId="5F967365">
            <w:pPr>
              <w:spacing w:line="240" w:lineRule="exact"/>
              <w:jc w:val="left"/>
              <w:rPr>
                <w:rFonts w:ascii="Times New Roman" w:hAnsi="Times New Roman" w:eastAsia="宋体" w:cs="Times New Roman"/>
                <w:kern w:val="0"/>
                <w:sz w:val="20"/>
                <w:szCs w:val="20"/>
              </w:rPr>
            </w:pPr>
          </w:p>
        </w:tc>
        <w:tc>
          <w:tcPr>
            <w:tcW w:w="1309" w:type="dxa"/>
            <w:vMerge w:val="continue"/>
            <w:vAlign w:val="center"/>
          </w:tcPr>
          <w:p w14:paraId="7C1D7E43">
            <w:pPr>
              <w:spacing w:line="240" w:lineRule="exact"/>
              <w:jc w:val="center"/>
              <w:rPr>
                <w:rFonts w:ascii="Times New Roman" w:hAnsi="Times New Roman" w:eastAsia="宋体" w:cs="Times New Roman"/>
                <w:kern w:val="0"/>
                <w:sz w:val="20"/>
                <w:szCs w:val="20"/>
              </w:rPr>
            </w:pPr>
          </w:p>
        </w:tc>
        <w:tc>
          <w:tcPr>
            <w:tcW w:w="1540" w:type="dxa"/>
            <w:vMerge w:val="restart"/>
            <w:vAlign w:val="center"/>
          </w:tcPr>
          <w:p w14:paraId="1132FA53">
            <w:pPr>
              <w:spacing w:line="240" w:lineRule="exact"/>
              <w:jc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开户行</w:t>
            </w:r>
          </w:p>
          <w:p w14:paraId="24D0354B">
            <w:pPr>
              <w:spacing w:line="240" w:lineRule="exact"/>
              <w:jc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(明确到支行)</w:t>
            </w:r>
          </w:p>
        </w:tc>
        <w:tc>
          <w:tcPr>
            <w:tcW w:w="1731" w:type="dxa"/>
            <w:vMerge w:val="restart"/>
            <w:vAlign w:val="center"/>
          </w:tcPr>
          <w:p w14:paraId="387611F7">
            <w:pPr>
              <w:spacing w:line="240" w:lineRule="exact"/>
              <w:jc w:val="left"/>
              <w:rPr>
                <w:rFonts w:ascii="Times New Roman" w:hAnsi="Times New Roman" w:eastAsia="宋体" w:cs="Times New Roman"/>
                <w:kern w:val="0"/>
                <w:sz w:val="20"/>
                <w:szCs w:val="20"/>
              </w:rPr>
            </w:pPr>
          </w:p>
        </w:tc>
      </w:tr>
      <w:tr w14:paraId="3138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795" w:type="dxa"/>
            <w:vAlign w:val="center"/>
          </w:tcPr>
          <w:p w14:paraId="2E0316BC">
            <w:pPr>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未入统单位</w:t>
            </w:r>
          </w:p>
          <w:p w14:paraId="556E371C">
            <w:pPr>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拟入统时间</w:t>
            </w:r>
          </w:p>
        </w:tc>
        <w:tc>
          <w:tcPr>
            <w:tcW w:w="2143" w:type="dxa"/>
            <w:vAlign w:val="center"/>
          </w:tcPr>
          <w:p w14:paraId="6601EEF2">
            <w:pPr>
              <w:spacing w:line="240" w:lineRule="exact"/>
              <w:jc w:val="left"/>
              <w:rPr>
                <w:rFonts w:ascii="Times New Roman" w:hAnsi="Times New Roman" w:eastAsia="宋体" w:cs="Times New Roman"/>
                <w:kern w:val="0"/>
                <w:sz w:val="20"/>
                <w:szCs w:val="20"/>
              </w:rPr>
            </w:pPr>
          </w:p>
        </w:tc>
        <w:tc>
          <w:tcPr>
            <w:tcW w:w="1309" w:type="dxa"/>
            <w:vMerge w:val="continue"/>
            <w:vAlign w:val="center"/>
          </w:tcPr>
          <w:p w14:paraId="34CE11AC">
            <w:pPr>
              <w:spacing w:line="240" w:lineRule="exact"/>
              <w:jc w:val="center"/>
              <w:rPr>
                <w:rFonts w:ascii="Times New Roman" w:hAnsi="Times New Roman" w:eastAsia="宋体" w:cs="Times New Roman"/>
                <w:kern w:val="0"/>
                <w:sz w:val="20"/>
                <w:szCs w:val="20"/>
              </w:rPr>
            </w:pPr>
          </w:p>
        </w:tc>
        <w:tc>
          <w:tcPr>
            <w:tcW w:w="1540" w:type="dxa"/>
            <w:vMerge w:val="continue"/>
            <w:vAlign w:val="center"/>
          </w:tcPr>
          <w:p w14:paraId="5A894FAA">
            <w:pPr>
              <w:spacing w:line="240" w:lineRule="exact"/>
              <w:jc w:val="center"/>
              <w:rPr>
                <w:rFonts w:ascii="Times New Roman" w:hAnsi="Times New Roman" w:eastAsia="黑体" w:cs="Times New Roman"/>
                <w:kern w:val="0"/>
                <w:sz w:val="22"/>
                <w:szCs w:val="20"/>
              </w:rPr>
            </w:pPr>
          </w:p>
        </w:tc>
        <w:tc>
          <w:tcPr>
            <w:tcW w:w="1731" w:type="dxa"/>
            <w:vMerge w:val="continue"/>
            <w:vAlign w:val="center"/>
          </w:tcPr>
          <w:p w14:paraId="36095CB1">
            <w:pPr>
              <w:spacing w:line="240" w:lineRule="exact"/>
              <w:jc w:val="left"/>
              <w:rPr>
                <w:rFonts w:ascii="Times New Roman" w:hAnsi="Times New Roman" w:eastAsia="宋体" w:cs="Times New Roman"/>
                <w:kern w:val="0"/>
                <w:sz w:val="20"/>
                <w:szCs w:val="20"/>
              </w:rPr>
            </w:pPr>
          </w:p>
        </w:tc>
      </w:tr>
      <w:tr w14:paraId="7927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1795" w:type="dxa"/>
            <w:vAlign w:val="center"/>
          </w:tcPr>
          <w:p w14:paraId="08569845">
            <w:pPr>
              <w:widowControl/>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是否具有回收拆解处置能力或与有相关资质的企业签订长期协议</w:t>
            </w:r>
          </w:p>
        </w:tc>
        <w:tc>
          <w:tcPr>
            <w:tcW w:w="2143" w:type="dxa"/>
            <w:vAlign w:val="center"/>
          </w:tcPr>
          <w:p w14:paraId="447AD948">
            <w:pPr>
              <w:spacing w:line="240" w:lineRule="exact"/>
              <w:jc w:val="left"/>
              <w:rPr>
                <w:rFonts w:ascii="Times New Roman" w:hAnsi="Times New Roman" w:eastAsia="宋体" w:cs="Times New Roman"/>
                <w:kern w:val="0"/>
                <w:sz w:val="20"/>
                <w:szCs w:val="20"/>
              </w:rPr>
            </w:pPr>
          </w:p>
        </w:tc>
        <w:tc>
          <w:tcPr>
            <w:tcW w:w="2849" w:type="dxa"/>
            <w:gridSpan w:val="2"/>
            <w:vAlign w:val="center"/>
          </w:tcPr>
          <w:p w14:paraId="52DBA93A">
            <w:pPr>
              <w:spacing w:line="240" w:lineRule="exact"/>
              <w:jc w:val="left"/>
              <w:rPr>
                <w:rFonts w:ascii="Times New Roman" w:hAnsi="Times New Roman" w:eastAsia="宋体" w:cs="Times New Roman"/>
                <w:kern w:val="0"/>
                <w:sz w:val="20"/>
                <w:szCs w:val="20"/>
              </w:rPr>
            </w:pPr>
            <w:r>
              <w:rPr>
                <w:rFonts w:hint="eastAsia" w:ascii="Times New Roman" w:hAnsi="Times New Roman" w:eastAsia="黑体" w:cs="Times New Roman"/>
                <w:kern w:val="0"/>
                <w:sz w:val="22"/>
                <w:szCs w:val="20"/>
              </w:rPr>
              <w:t>近3年内有无重大违法违规行为，有无失信纪录</w:t>
            </w:r>
          </w:p>
        </w:tc>
        <w:tc>
          <w:tcPr>
            <w:tcW w:w="1731" w:type="dxa"/>
            <w:vAlign w:val="center"/>
          </w:tcPr>
          <w:p w14:paraId="497DD9F1">
            <w:pPr>
              <w:spacing w:line="240" w:lineRule="exact"/>
              <w:jc w:val="left"/>
              <w:rPr>
                <w:rFonts w:ascii="Times New Roman" w:hAnsi="Times New Roman" w:eastAsia="宋体" w:cs="Times New Roman"/>
                <w:kern w:val="0"/>
                <w:sz w:val="20"/>
                <w:szCs w:val="20"/>
              </w:rPr>
            </w:pPr>
          </w:p>
        </w:tc>
      </w:tr>
      <w:tr w14:paraId="2800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795" w:type="dxa"/>
            <w:vAlign w:val="center"/>
          </w:tcPr>
          <w:p w14:paraId="3A8FFC7E">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法人代表</w:t>
            </w:r>
          </w:p>
        </w:tc>
        <w:tc>
          <w:tcPr>
            <w:tcW w:w="2143" w:type="dxa"/>
            <w:vAlign w:val="center"/>
          </w:tcPr>
          <w:p w14:paraId="4C56F28E">
            <w:pPr>
              <w:spacing w:line="240" w:lineRule="exact"/>
              <w:jc w:val="center"/>
              <w:rPr>
                <w:rFonts w:ascii="Times New Roman" w:hAnsi="Times New Roman" w:eastAsia="宋体" w:cs="Times New Roman"/>
                <w:kern w:val="0"/>
                <w:sz w:val="20"/>
                <w:szCs w:val="20"/>
              </w:rPr>
            </w:pPr>
          </w:p>
        </w:tc>
        <w:tc>
          <w:tcPr>
            <w:tcW w:w="2849" w:type="dxa"/>
            <w:gridSpan w:val="2"/>
            <w:vAlign w:val="center"/>
          </w:tcPr>
          <w:p w14:paraId="61F3EAF5">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联系方式</w:t>
            </w:r>
          </w:p>
        </w:tc>
        <w:tc>
          <w:tcPr>
            <w:tcW w:w="1731" w:type="dxa"/>
            <w:vAlign w:val="center"/>
          </w:tcPr>
          <w:p w14:paraId="3AE4A24C">
            <w:pPr>
              <w:spacing w:line="240" w:lineRule="exact"/>
              <w:jc w:val="center"/>
              <w:rPr>
                <w:rFonts w:ascii="Times New Roman" w:hAnsi="Times New Roman" w:eastAsia="宋体" w:cs="Times New Roman"/>
                <w:kern w:val="0"/>
                <w:sz w:val="20"/>
                <w:szCs w:val="20"/>
              </w:rPr>
            </w:pPr>
          </w:p>
        </w:tc>
      </w:tr>
      <w:tr w14:paraId="73BA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1795" w:type="dxa"/>
            <w:vAlign w:val="center"/>
          </w:tcPr>
          <w:p w14:paraId="7B77A66C">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工作联系人</w:t>
            </w:r>
          </w:p>
        </w:tc>
        <w:tc>
          <w:tcPr>
            <w:tcW w:w="2143" w:type="dxa"/>
            <w:vAlign w:val="center"/>
          </w:tcPr>
          <w:p w14:paraId="50C730EF">
            <w:pPr>
              <w:spacing w:line="240" w:lineRule="exact"/>
              <w:jc w:val="center"/>
              <w:rPr>
                <w:rFonts w:ascii="Times New Roman" w:hAnsi="Times New Roman" w:eastAsia="宋体" w:cs="Times New Roman"/>
                <w:kern w:val="0"/>
                <w:sz w:val="20"/>
                <w:szCs w:val="20"/>
              </w:rPr>
            </w:pPr>
          </w:p>
        </w:tc>
        <w:tc>
          <w:tcPr>
            <w:tcW w:w="2849" w:type="dxa"/>
            <w:gridSpan w:val="2"/>
            <w:vAlign w:val="center"/>
          </w:tcPr>
          <w:p w14:paraId="65DAA867">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联系方式</w:t>
            </w:r>
          </w:p>
        </w:tc>
        <w:tc>
          <w:tcPr>
            <w:tcW w:w="1731" w:type="dxa"/>
            <w:vAlign w:val="center"/>
          </w:tcPr>
          <w:p w14:paraId="29FB2204">
            <w:pPr>
              <w:spacing w:line="240" w:lineRule="exact"/>
              <w:jc w:val="center"/>
              <w:rPr>
                <w:rFonts w:ascii="Times New Roman" w:hAnsi="Times New Roman" w:eastAsia="宋体" w:cs="Times New Roman"/>
                <w:kern w:val="0"/>
                <w:sz w:val="20"/>
                <w:szCs w:val="20"/>
              </w:rPr>
            </w:pPr>
          </w:p>
        </w:tc>
      </w:tr>
      <w:tr w14:paraId="6EC65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2" w:hRule="atLeast"/>
        </w:trPr>
        <w:tc>
          <w:tcPr>
            <w:tcW w:w="1795" w:type="dxa"/>
            <w:vAlign w:val="center"/>
          </w:tcPr>
          <w:p w14:paraId="58FA5D8B">
            <w:pPr>
              <w:spacing w:line="320" w:lineRule="exact"/>
              <w:jc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承办单位</w:t>
            </w:r>
            <w:r>
              <w:rPr>
                <w:rFonts w:ascii="Times New Roman" w:hAnsi="Times New Roman" w:eastAsia="黑体" w:cs="Times New Roman"/>
                <w:kern w:val="0"/>
                <w:sz w:val="22"/>
                <w:szCs w:val="22"/>
              </w:rPr>
              <w:t>承诺</w:t>
            </w:r>
          </w:p>
        </w:tc>
        <w:tc>
          <w:tcPr>
            <w:tcW w:w="6723" w:type="dxa"/>
            <w:gridSpan w:val="4"/>
            <w:vAlign w:val="center"/>
          </w:tcPr>
          <w:p w14:paraId="20EF354D">
            <w:pPr>
              <w:spacing w:line="320" w:lineRule="exact"/>
              <w:ind w:firstLine="461"/>
              <w:rPr>
                <w:rFonts w:ascii="Times New Roman" w:hAnsi="Times New Roman" w:eastAsia="宋体" w:cs="Times New Roman"/>
                <w:kern w:val="0"/>
                <w:sz w:val="24"/>
                <w:szCs w:val="20"/>
              </w:rPr>
            </w:pPr>
            <w:r>
              <w:rPr>
                <w:rFonts w:ascii="Times New Roman" w:hAnsi="Times New Roman" w:eastAsia="宋体" w:cs="Times New Roman"/>
                <w:kern w:val="0"/>
                <w:sz w:val="24"/>
                <w:szCs w:val="20"/>
              </w:rPr>
              <w:t>我单位申请成为2024年</w:t>
            </w:r>
            <w:r>
              <w:rPr>
                <w:rFonts w:hint="eastAsia" w:ascii="Times New Roman" w:hAnsi="Times New Roman" w:eastAsia="宋体" w:cs="Times New Roman"/>
                <w:kern w:val="0"/>
                <w:sz w:val="24"/>
                <w:szCs w:val="20"/>
              </w:rPr>
              <w:t>保定</w:t>
            </w:r>
            <w:r>
              <w:rPr>
                <w:rFonts w:ascii="Times New Roman" w:hAnsi="Times New Roman" w:eastAsia="宋体" w:cs="Times New Roman"/>
                <w:kern w:val="0"/>
                <w:sz w:val="24"/>
                <w:szCs w:val="20"/>
              </w:rPr>
              <w:t>市</w:t>
            </w:r>
            <w:r>
              <w:rPr>
                <w:rFonts w:hint="eastAsia" w:ascii="Times New Roman" w:hAnsi="Times New Roman" w:eastAsia="宋体" w:cs="Times New Roman"/>
                <w:kern w:val="0"/>
                <w:sz w:val="24"/>
                <w:szCs w:val="20"/>
              </w:rPr>
              <w:t>消费品</w:t>
            </w:r>
            <w:r>
              <w:rPr>
                <w:rFonts w:ascii="Times New Roman" w:hAnsi="Times New Roman" w:eastAsia="宋体" w:cs="Times New Roman"/>
                <w:kern w:val="0"/>
                <w:sz w:val="24"/>
                <w:szCs w:val="20"/>
              </w:rPr>
              <w:t>以旧换新补贴活动承办单位，承诺符合申报条件，自觉履行</w:t>
            </w:r>
            <w:r>
              <w:rPr>
                <w:rFonts w:hint="eastAsia" w:ascii="Times New Roman" w:hAnsi="Times New Roman" w:eastAsia="宋体" w:cs="Times New Roman"/>
                <w:kern w:val="0"/>
                <w:sz w:val="24"/>
                <w:szCs w:val="20"/>
              </w:rPr>
              <w:t>主体</w:t>
            </w:r>
            <w:r>
              <w:rPr>
                <w:rFonts w:ascii="Times New Roman" w:hAnsi="Times New Roman" w:eastAsia="宋体" w:cs="Times New Roman"/>
                <w:kern w:val="0"/>
                <w:sz w:val="24"/>
                <w:szCs w:val="20"/>
              </w:rPr>
              <w:t>责任，认真执行工作要求。按照市商务局工作安排，主动做好活动相关工作，提供相关数据和材料。保证提供的所有数据、材料等信息真实合法有效。严格落实活动工作方案和风险管控方案要求，杜绝任何违反资金管理制度或违法违规行为发生。自觉接受各级各部门监督、检查和评估，并配合做好相关工作。</w:t>
            </w:r>
          </w:p>
          <w:p w14:paraId="0B63801B">
            <w:pPr>
              <w:spacing w:line="320" w:lineRule="exact"/>
              <w:ind w:firstLine="482"/>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我单位承诺，如出现任何违法违规行为，自愿承担相法律责任。 </w:t>
            </w:r>
          </w:p>
          <w:p w14:paraId="63D4E916">
            <w:pPr>
              <w:spacing w:line="320" w:lineRule="exact"/>
              <w:ind w:firstLine="482"/>
              <w:rPr>
                <w:rFonts w:ascii="Times New Roman" w:hAnsi="Times New Roman" w:eastAsia="宋体" w:cs="Times New Roman"/>
                <w:kern w:val="0"/>
                <w:sz w:val="24"/>
                <w:szCs w:val="20"/>
              </w:rPr>
            </w:pPr>
          </w:p>
          <w:p w14:paraId="7E478FB6">
            <w:pPr>
              <w:spacing w:line="320" w:lineRule="exact"/>
              <w:ind w:firstLine="482"/>
              <w:rPr>
                <w:rFonts w:ascii="Times New Roman" w:hAnsi="Times New Roman" w:eastAsia="宋体" w:cs="Times New Roman"/>
                <w:kern w:val="0"/>
                <w:sz w:val="24"/>
                <w:szCs w:val="20"/>
              </w:rPr>
            </w:pPr>
          </w:p>
          <w:p w14:paraId="1403CC9A">
            <w:pPr>
              <w:spacing w:line="320" w:lineRule="exact"/>
              <w:rPr>
                <w:rFonts w:ascii="Times New Roman" w:hAnsi="Times New Roman" w:eastAsia="宋体" w:cs="Times New Roman"/>
                <w:kern w:val="0"/>
                <w:sz w:val="24"/>
                <w:szCs w:val="20"/>
              </w:rPr>
            </w:pPr>
            <w:r>
              <w:rPr>
                <w:rFonts w:ascii="Times New Roman" w:hAnsi="Times New Roman" w:eastAsia="宋体" w:cs="Times New Roman"/>
                <w:kern w:val="0"/>
                <w:sz w:val="22"/>
                <w:szCs w:val="22"/>
              </w:rPr>
              <w:t xml:space="preserve">             </w:t>
            </w:r>
            <w:r>
              <w:rPr>
                <w:rFonts w:ascii="Times New Roman" w:hAnsi="Times New Roman" w:eastAsia="宋体" w:cs="Times New Roman"/>
                <w:kern w:val="0"/>
                <w:sz w:val="24"/>
                <w:szCs w:val="20"/>
              </w:rPr>
              <w:t>法定代表人（负责人）签字：</w:t>
            </w:r>
          </w:p>
          <w:p w14:paraId="4B21E1D9">
            <w:pPr>
              <w:spacing w:line="320" w:lineRule="exact"/>
              <w:rPr>
                <w:rFonts w:ascii="Times New Roman" w:hAnsi="Times New Roman" w:eastAsia="宋体" w:cs="Times New Roman"/>
                <w:kern w:val="0"/>
                <w:sz w:val="24"/>
                <w:szCs w:val="20"/>
              </w:rPr>
            </w:pPr>
          </w:p>
          <w:p w14:paraId="22936494">
            <w:pPr>
              <w:spacing w:line="320" w:lineRule="exact"/>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                                     </w:t>
            </w:r>
          </w:p>
          <w:p w14:paraId="5E1EF0B5">
            <w:pPr>
              <w:spacing w:line="320" w:lineRule="exact"/>
              <w:ind w:firstLine="4320" w:firstLineChars="1800"/>
              <w:rPr>
                <w:rFonts w:ascii="Times New Roman" w:hAnsi="Times New Roman" w:eastAsia="宋体" w:cs="Times New Roman"/>
                <w:kern w:val="0"/>
                <w:sz w:val="24"/>
                <w:szCs w:val="20"/>
              </w:rPr>
            </w:pPr>
            <w:r>
              <w:rPr>
                <w:rFonts w:ascii="Times New Roman" w:hAnsi="Times New Roman" w:eastAsia="宋体" w:cs="Times New Roman"/>
                <w:kern w:val="0"/>
                <w:sz w:val="24"/>
                <w:szCs w:val="20"/>
              </w:rPr>
              <w:t>（申报单位公章）</w:t>
            </w:r>
          </w:p>
          <w:p w14:paraId="3E7AD2B1">
            <w:pPr>
              <w:spacing w:line="320" w:lineRule="exact"/>
              <w:rPr>
                <w:rFonts w:ascii="Times New Roman" w:hAnsi="Times New Roman" w:eastAsia="宋体" w:cs="Times New Roman"/>
                <w:kern w:val="0"/>
                <w:sz w:val="20"/>
                <w:szCs w:val="20"/>
              </w:rPr>
            </w:pPr>
            <w:r>
              <w:rPr>
                <w:rFonts w:ascii="Times New Roman" w:hAnsi="Times New Roman" w:eastAsia="宋体" w:cs="Times New Roman"/>
                <w:kern w:val="0"/>
                <w:sz w:val="24"/>
                <w:szCs w:val="20"/>
              </w:rPr>
              <w:t xml:space="preserve">                                     2024年</w:t>
            </w:r>
            <w:r>
              <w:rPr>
                <w:rFonts w:hint="eastAsia" w:ascii="Times New Roman" w:hAnsi="Times New Roman" w:eastAsia="宋体" w:cs="Times New Roman"/>
                <w:kern w:val="0"/>
                <w:sz w:val="24"/>
                <w:szCs w:val="20"/>
              </w:rPr>
              <w:t>9</w:t>
            </w:r>
            <w:r>
              <w:rPr>
                <w:rFonts w:ascii="Times New Roman" w:hAnsi="Times New Roman" w:eastAsia="宋体" w:cs="Times New Roman"/>
                <w:kern w:val="0"/>
                <w:sz w:val="24"/>
                <w:szCs w:val="20"/>
              </w:rPr>
              <w:t>月  日</w:t>
            </w:r>
          </w:p>
        </w:tc>
      </w:tr>
      <w:tr w14:paraId="5151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795" w:type="dxa"/>
            <w:vAlign w:val="center"/>
          </w:tcPr>
          <w:p w14:paraId="5C02EF06">
            <w:pPr>
              <w:widowControl/>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2"/>
              </w:rPr>
              <w:t>县（市、区）商务主管部门审核意见并盖章</w:t>
            </w:r>
          </w:p>
        </w:tc>
        <w:tc>
          <w:tcPr>
            <w:tcW w:w="6723" w:type="dxa"/>
            <w:gridSpan w:val="4"/>
            <w:vAlign w:val="center"/>
          </w:tcPr>
          <w:p w14:paraId="6873E12C">
            <w:pPr>
              <w:spacing w:line="320" w:lineRule="exact"/>
              <w:rPr>
                <w:rFonts w:ascii="Times New Roman" w:hAnsi="Times New Roman" w:eastAsia="宋体" w:cs="Times New Roman"/>
                <w:kern w:val="0"/>
                <w:sz w:val="24"/>
                <w:szCs w:val="20"/>
              </w:rPr>
            </w:pPr>
          </w:p>
        </w:tc>
      </w:tr>
    </w:tbl>
    <w:p w14:paraId="13016C4F">
      <w:pPr>
        <w:pStyle w:val="6"/>
        <w:shd w:val="clear" w:color="auto" w:fill="FFFFFF"/>
        <w:spacing w:before="0" w:beforeAutospacing="0" w:after="0" w:afterAutospacing="0" w:line="560" w:lineRule="exact"/>
        <w:jc w:val="both"/>
        <w:rPr>
          <w:rFonts w:ascii="黑体" w:hAnsi="黑体" w:eastAsia="黑体"/>
          <w:sz w:val="32"/>
          <w:szCs w:val="32"/>
        </w:rPr>
      </w:pPr>
    </w:p>
    <w:p w14:paraId="2292E88C">
      <w:pPr>
        <w:pStyle w:val="6"/>
        <w:shd w:val="clear" w:color="auto" w:fill="FFFFFF"/>
        <w:spacing w:before="0" w:beforeAutospacing="0" w:after="0" w:afterAutospacing="0" w:line="560" w:lineRule="exact"/>
        <w:jc w:val="both"/>
        <w:rPr>
          <w:rFonts w:ascii="黑体" w:hAnsi="黑体" w:eastAsia="黑体"/>
          <w:sz w:val="32"/>
          <w:szCs w:val="32"/>
        </w:rPr>
      </w:pPr>
      <w:r>
        <w:rPr>
          <w:rFonts w:ascii="黑体" w:hAnsi="黑体" w:eastAsia="黑体"/>
          <w:sz w:val="32"/>
          <w:szCs w:val="32"/>
        </w:rPr>
        <w:t>附件</w:t>
      </w:r>
      <w:r>
        <w:rPr>
          <w:rFonts w:hint="eastAsia" w:ascii="黑体" w:hAnsi="黑体" w:eastAsia="黑体"/>
          <w:sz w:val="32"/>
          <w:szCs w:val="32"/>
        </w:rPr>
        <w:t>2</w:t>
      </w:r>
    </w:p>
    <w:p w14:paraId="194C92F7">
      <w:pPr>
        <w:pStyle w:val="6"/>
        <w:shd w:val="clear" w:color="auto" w:fill="FFFFFF"/>
        <w:spacing w:before="0" w:beforeAutospacing="0" w:after="0" w:afterAutospacing="0" w:line="560" w:lineRule="exact"/>
        <w:jc w:val="center"/>
        <w:rPr>
          <w:rFonts w:ascii="方正小标宋简体" w:eastAsia="方正小标宋简体"/>
          <w:color w:val="3D3D3D"/>
          <w:sz w:val="44"/>
          <w:szCs w:val="44"/>
        </w:rPr>
      </w:pPr>
    </w:p>
    <w:p w14:paraId="3FFFB301">
      <w:pPr>
        <w:pStyle w:val="6"/>
        <w:shd w:val="clear" w:color="auto" w:fill="FFFFFF"/>
        <w:spacing w:before="0" w:beforeAutospacing="0" w:after="0" w:afterAutospacing="0" w:line="560" w:lineRule="exact"/>
        <w:jc w:val="center"/>
        <w:rPr>
          <w:rFonts w:ascii="方正小标宋简体" w:eastAsia="方正小标宋简体"/>
          <w:color w:val="3D3D3D"/>
          <w:sz w:val="44"/>
          <w:szCs w:val="44"/>
        </w:rPr>
      </w:pPr>
      <w:r>
        <w:rPr>
          <w:rFonts w:hint="eastAsia" w:ascii="方正小标宋简体" w:eastAsia="方正小标宋简体"/>
          <w:color w:val="3D3D3D"/>
          <w:sz w:val="44"/>
          <w:szCs w:val="44"/>
        </w:rPr>
        <w:t>活动承办单位门店申报表</w:t>
      </w:r>
    </w:p>
    <w:p w14:paraId="08D592D3">
      <w:pPr>
        <w:pStyle w:val="6"/>
        <w:shd w:val="clear" w:color="auto" w:fill="FFFFFF"/>
        <w:spacing w:before="0" w:beforeAutospacing="0" w:after="0" w:afterAutospacing="0" w:line="240" w:lineRule="exact"/>
        <w:rPr>
          <w:rFonts w:ascii="仿宋_GB2312" w:eastAsia="仿宋_GB2312"/>
          <w:sz w:val="32"/>
          <w:szCs w:val="32"/>
        </w:rPr>
      </w:pPr>
    </w:p>
    <w:tbl>
      <w:tblPr>
        <w:tblStyle w:val="7"/>
        <w:tblpPr w:leftFromText="180" w:rightFromText="180" w:vertAnchor="page" w:horzAnchor="margin" w:tblpY="4636"/>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4395"/>
        <w:gridCol w:w="1275"/>
        <w:gridCol w:w="1560"/>
      </w:tblGrid>
      <w:tr w14:paraId="5F6DE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817" w:type="dxa"/>
            <w:vAlign w:val="center"/>
          </w:tcPr>
          <w:p w14:paraId="3B16252D">
            <w:pPr>
              <w:spacing w:line="360" w:lineRule="exact"/>
              <w:jc w:val="center"/>
              <w:outlineLvl w:val="1"/>
              <w:rPr>
                <w:rFonts w:ascii="黑体" w:hAnsi="黑体" w:eastAsia="黑体" w:cs="仿宋_GB2312"/>
                <w:color w:val="000000"/>
                <w:sz w:val="24"/>
              </w:rPr>
            </w:pPr>
            <w:r>
              <w:rPr>
                <w:rFonts w:hint="eastAsia" w:ascii="黑体" w:hAnsi="黑体" w:eastAsia="黑体" w:cs="仿宋_GB2312"/>
                <w:color w:val="000000"/>
                <w:sz w:val="24"/>
              </w:rPr>
              <w:t>序号</w:t>
            </w:r>
          </w:p>
        </w:tc>
        <w:tc>
          <w:tcPr>
            <w:tcW w:w="1559" w:type="dxa"/>
            <w:vAlign w:val="center"/>
          </w:tcPr>
          <w:p w14:paraId="0DA9544A">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门店名称</w:t>
            </w:r>
          </w:p>
        </w:tc>
        <w:tc>
          <w:tcPr>
            <w:tcW w:w="4395" w:type="dxa"/>
            <w:vAlign w:val="center"/>
          </w:tcPr>
          <w:p w14:paraId="4C7DC385">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门店详细地址</w:t>
            </w:r>
          </w:p>
          <w:p w14:paraId="00F9A4BD">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（门店为网店的注明注册网站）</w:t>
            </w:r>
          </w:p>
        </w:tc>
        <w:tc>
          <w:tcPr>
            <w:tcW w:w="1275" w:type="dxa"/>
            <w:vAlign w:val="center"/>
          </w:tcPr>
          <w:p w14:paraId="6E99E193">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w:t>
            </w:r>
          </w:p>
          <w:p w14:paraId="6A6DE2EE">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负责人</w:t>
            </w:r>
          </w:p>
        </w:tc>
        <w:tc>
          <w:tcPr>
            <w:tcW w:w="1560" w:type="dxa"/>
            <w:vAlign w:val="center"/>
          </w:tcPr>
          <w:p w14:paraId="7CD4A836">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w:t>
            </w:r>
          </w:p>
          <w:p w14:paraId="42AD271A">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联系电话</w:t>
            </w:r>
          </w:p>
        </w:tc>
      </w:tr>
      <w:tr w14:paraId="5B4F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17" w:type="dxa"/>
            <w:vAlign w:val="center"/>
          </w:tcPr>
          <w:p w14:paraId="4B323805">
            <w:pPr>
              <w:spacing w:line="540" w:lineRule="exact"/>
              <w:jc w:val="center"/>
              <w:rPr>
                <w:rFonts w:ascii="仿宋" w:hAnsi="仿宋" w:eastAsia="仿宋"/>
                <w:color w:val="000000"/>
                <w:sz w:val="32"/>
                <w:szCs w:val="32"/>
              </w:rPr>
            </w:pPr>
          </w:p>
        </w:tc>
        <w:tc>
          <w:tcPr>
            <w:tcW w:w="1559" w:type="dxa"/>
            <w:vAlign w:val="center"/>
          </w:tcPr>
          <w:p w14:paraId="413200D9">
            <w:pPr>
              <w:spacing w:line="540" w:lineRule="exact"/>
              <w:jc w:val="center"/>
              <w:rPr>
                <w:rFonts w:ascii="仿宋" w:hAnsi="仿宋" w:eastAsia="仿宋"/>
                <w:color w:val="000000"/>
                <w:sz w:val="32"/>
                <w:szCs w:val="32"/>
              </w:rPr>
            </w:pPr>
          </w:p>
        </w:tc>
        <w:tc>
          <w:tcPr>
            <w:tcW w:w="4395" w:type="dxa"/>
            <w:vAlign w:val="center"/>
          </w:tcPr>
          <w:p w14:paraId="5567843E">
            <w:pPr>
              <w:spacing w:line="540" w:lineRule="exact"/>
              <w:jc w:val="center"/>
              <w:rPr>
                <w:rFonts w:ascii="仿宋" w:hAnsi="仿宋" w:eastAsia="仿宋"/>
                <w:color w:val="000000"/>
                <w:sz w:val="32"/>
                <w:szCs w:val="32"/>
              </w:rPr>
            </w:pPr>
          </w:p>
        </w:tc>
        <w:tc>
          <w:tcPr>
            <w:tcW w:w="1275" w:type="dxa"/>
            <w:vAlign w:val="center"/>
          </w:tcPr>
          <w:p w14:paraId="1FD9FE4F">
            <w:pPr>
              <w:spacing w:line="540" w:lineRule="exact"/>
              <w:jc w:val="center"/>
              <w:rPr>
                <w:rFonts w:ascii="仿宋" w:hAnsi="仿宋" w:eastAsia="仿宋"/>
                <w:color w:val="000000"/>
                <w:sz w:val="32"/>
                <w:szCs w:val="32"/>
              </w:rPr>
            </w:pPr>
          </w:p>
        </w:tc>
        <w:tc>
          <w:tcPr>
            <w:tcW w:w="1560" w:type="dxa"/>
            <w:vAlign w:val="center"/>
          </w:tcPr>
          <w:p w14:paraId="51334D54">
            <w:pPr>
              <w:spacing w:line="540" w:lineRule="exact"/>
              <w:jc w:val="center"/>
              <w:rPr>
                <w:rFonts w:ascii="仿宋" w:hAnsi="仿宋" w:eastAsia="仿宋"/>
                <w:color w:val="000000"/>
                <w:sz w:val="32"/>
                <w:szCs w:val="32"/>
              </w:rPr>
            </w:pPr>
          </w:p>
        </w:tc>
      </w:tr>
      <w:tr w14:paraId="0B885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17" w:type="dxa"/>
            <w:vAlign w:val="center"/>
          </w:tcPr>
          <w:p w14:paraId="7CDDF931">
            <w:pPr>
              <w:spacing w:line="540" w:lineRule="exact"/>
              <w:jc w:val="center"/>
              <w:rPr>
                <w:rFonts w:ascii="仿宋" w:hAnsi="仿宋" w:eastAsia="仿宋"/>
                <w:color w:val="000000"/>
                <w:sz w:val="32"/>
                <w:szCs w:val="32"/>
              </w:rPr>
            </w:pPr>
          </w:p>
        </w:tc>
        <w:tc>
          <w:tcPr>
            <w:tcW w:w="1559" w:type="dxa"/>
            <w:vAlign w:val="center"/>
          </w:tcPr>
          <w:p w14:paraId="0938BF25">
            <w:pPr>
              <w:spacing w:line="540" w:lineRule="exact"/>
              <w:jc w:val="center"/>
              <w:rPr>
                <w:rFonts w:ascii="仿宋" w:hAnsi="仿宋" w:eastAsia="仿宋"/>
                <w:color w:val="000000"/>
                <w:sz w:val="32"/>
                <w:szCs w:val="32"/>
              </w:rPr>
            </w:pPr>
          </w:p>
        </w:tc>
        <w:tc>
          <w:tcPr>
            <w:tcW w:w="4395" w:type="dxa"/>
            <w:vAlign w:val="center"/>
          </w:tcPr>
          <w:p w14:paraId="6CDDC8D4">
            <w:pPr>
              <w:spacing w:line="540" w:lineRule="exact"/>
              <w:jc w:val="center"/>
              <w:rPr>
                <w:rFonts w:ascii="仿宋" w:hAnsi="仿宋" w:eastAsia="仿宋"/>
                <w:color w:val="000000"/>
                <w:sz w:val="32"/>
                <w:szCs w:val="32"/>
              </w:rPr>
            </w:pPr>
          </w:p>
        </w:tc>
        <w:tc>
          <w:tcPr>
            <w:tcW w:w="1275" w:type="dxa"/>
            <w:vAlign w:val="center"/>
          </w:tcPr>
          <w:p w14:paraId="628CDFB7">
            <w:pPr>
              <w:spacing w:line="540" w:lineRule="exact"/>
              <w:jc w:val="center"/>
              <w:rPr>
                <w:rFonts w:ascii="仿宋" w:hAnsi="仿宋" w:eastAsia="仿宋"/>
                <w:color w:val="000000"/>
                <w:sz w:val="32"/>
                <w:szCs w:val="32"/>
              </w:rPr>
            </w:pPr>
          </w:p>
        </w:tc>
        <w:tc>
          <w:tcPr>
            <w:tcW w:w="1560" w:type="dxa"/>
            <w:vAlign w:val="center"/>
          </w:tcPr>
          <w:p w14:paraId="0FF2941A">
            <w:pPr>
              <w:spacing w:line="540" w:lineRule="exact"/>
              <w:jc w:val="center"/>
              <w:rPr>
                <w:rFonts w:ascii="仿宋" w:hAnsi="仿宋" w:eastAsia="仿宋"/>
                <w:color w:val="000000"/>
                <w:sz w:val="32"/>
                <w:szCs w:val="32"/>
              </w:rPr>
            </w:pPr>
          </w:p>
        </w:tc>
      </w:tr>
      <w:tr w14:paraId="0500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17" w:type="dxa"/>
            <w:vAlign w:val="center"/>
          </w:tcPr>
          <w:p w14:paraId="6D541F3A">
            <w:pPr>
              <w:spacing w:line="540" w:lineRule="exact"/>
              <w:jc w:val="center"/>
              <w:rPr>
                <w:rFonts w:ascii="仿宋" w:hAnsi="仿宋" w:eastAsia="仿宋"/>
                <w:color w:val="000000"/>
                <w:sz w:val="32"/>
                <w:szCs w:val="32"/>
              </w:rPr>
            </w:pPr>
          </w:p>
        </w:tc>
        <w:tc>
          <w:tcPr>
            <w:tcW w:w="1559" w:type="dxa"/>
            <w:vAlign w:val="center"/>
          </w:tcPr>
          <w:p w14:paraId="67726CB4">
            <w:pPr>
              <w:spacing w:line="540" w:lineRule="exact"/>
              <w:jc w:val="center"/>
              <w:rPr>
                <w:rFonts w:ascii="仿宋" w:hAnsi="仿宋" w:eastAsia="仿宋"/>
                <w:color w:val="000000"/>
                <w:sz w:val="32"/>
                <w:szCs w:val="32"/>
              </w:rPr>
            </w:pPr>
          </w:p>
        </w:tc>
        <w:tc>
          <w:tcPr>
            <w:tcW w:w="4395" w:type="dxa"/>
            <w:vAlign w:val="center"/>
          </w:tcPr>
          <w:p w14:paraId="09D7CC8E">
            <w:pPr>
              <w:spacing w:line="540" w:lineRule="exact"/>
              <w:jc w:val="center"/>
              <w:rPr>
                <w:rFonts w:ascii="仿宋" w:hAnsi="仿宋" w:eastAsia="仿宋"/>
                <w:color w:val="000000"/>
                <w:sz w:val="32"/>
                <w:szCs w:val="32"/>
              </w:rPr>
            </w:pPr>
          </w:p>
        </w:tc>
        <w:tc>
          <w:tcPr>
            <w:tcW w:w="1275" w:type="dxa"/>
            <w:vAlign w:val="center"/>
          </w:tcPr>
          <w:p w14:paraId="32D9CD52">
            <w:pPr>
              <w:spacing w:line="540" w:lineRule="exact"/>
              <w:jc w:val="center"/>
              <w:rPr>
                <w:rFonts w:ascii="仿宋" w:hAnsi="仿宋" w:eastAsia="仿宋"/>
                <w:color w:val="000000"/>
                <w:sz w:val="32"/>
                <w:szCs w:val="32"/>
              </w:rPr>
            </w:pPr>
          </w:p>
        </w:tc>
        <w:tc>
          <w:tcPr>
            <w:tcW w:w="1560" w:type="dxa"/>
            <w:vAlign w:val="center"/>
          </w:tcPr>
          <w:p w14:paraId="28AC7F9A">
            <w:pPr>
              <w:spacing w:line="540" w:lineRule="exact"/>
              <w:jc w:val="center"/>
              <w:rPr>
                <w:rFonts w:ascii="仿宋" w:hAnsi="仿宋" w:eastAsia="仿宋"/>
                <w:color w:val="000000"/>
                <w:sz w:val="32"/>
                <w:szCs w:val="32"/>
              </w:rPr>
            </w:pPr>
          </w:p>
        </w:tc>
      </w:tr>
      <w:tr w14:paraId="3683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817" w:type="dxa"/>
            <w:vAlign w:val="center"/>
          </w:tcPr>
          <w:p w14:paraId="7957690D">
            <w:pPr>
              <w:spacing w:line="540" w:lineRule="exact"/>
              <w:jc w:val="center"/>
              <w:rPr>
                <w:rFonts w:ascii="仿宋" w:hAnsi="仿宋" w:eastAsia="仿宋"/>
                <w:color w:val="000000"/>
                <w:sz w:val="32"/>
                <w:szCs w:val="32"/>
              </w:rPr>
            </w:pPr>
          </w:p>
        </w:tc>
        <w:tc>
          <w:tcPr>
            <w:tcW w:w="1559" w:type="dxa"/>
            <w:vAlign w:val="center"/>
          </w:tcPr>
          <w:p w14:paraId="22A1B27C">
            <w:pPr>
              <w:spacing w:line="540" w:lineRule="exact"/>
              <w:jc w:val="center"/>
              <w:rPr>
                <w:rFonts w:ascii="仿宋" w:hAnsi="仿宋" w:eastAsia="仿宋"/>
                <w:color w:val="000000"/>
                <w:sz w:val="32"/>
                <w:szCs w:val="32"/>
              </w:rPr>
            </w:pPr>
          </w:p>
        </w:tc>
        <w:tc>
          <w:tcPr>
            <w:tcW w:w="4395" w:type="dxa"/>
            <w:vAlign w:val="center"/>
          </w:tcPr>
          <w:p w14:paraId="3258DD3A">
            <w:pPr>
              <w:spacing w:line="540" w:lineRule="exact"/>
              <w:jc w:val="center"/>
              <w:rPr>
                <w:rFonts w:ascii="仿宋" w:hAnsi="仿宋" w:eastAsia="仿宋"/>
                <w:color w:val="000000"/>
                <w:sz w:val="32"/>
                <w:szCs w:val="32"/>
              </w:rPr>
            </w:pPr>
          </w:p>
        </w:tc>
        <w:tc>
          <w:tcPr>
            <w:tcW w:w="1275" w:type="dxa"/>
            <w:vAlign w:val="center"/>
          </w:tcPr>
          <w:p w14:paraId="09CB9770">
            <w:pPr>
              <w:spacing w:line="540" w:lineRule="exact"/>
              <w:jc w:val="center"/>
              <w:rPr>
                <w:rFonts w:ascii="仿宋" w:hAnsi="仿宋" w:eastAsia="仿宋"/>
                <w:color w:val="000000"/>
                <w:sz w:val="32"/>
                <w:szCs w:val="32"/>
              </w:rPr>
            </w:pPr>
          </w:p>
        </w:tc>
        <w:tc>
          <w:tcPr>
            <w:tcW w:w="1560" w:type="dxa"/>
            <w:vAlign w:val="center"/>
          </w:tcPr>
          <w:p w14:paraId="24F2E979">
            <w:pPr>
              <w:spacing w:line="540" w:lineRule="exact"/>
              <w:jc w:val="center"/>
              <w:rPr>
                <w:rFonts w:ascii="仿宋" w:hAnsi="仿宋" w:eastAsia="仿宋"/>
                <w:color w:val="000000"/>
                <w:sz w:val="32"/>
                <w:szCs w:val="32"/>
              </w:rPr>
            </w:pPr>
          </w:p>
        </w:tc>
      </w:tr>
    </w:tbl>
    <w:p w14:paraId="43B44FBE">
      <w:pPr>
        <w:pStyle w:val="6"/>
        <w:shd w:val="clear" w:color="auto" w:fill="FFFFFF"/>
        <w:spacing w:before="0" w:beforeAutospacing="0" w:after="0" w:afterAutospacing="0" w:line="560" w:lineRule="exact"/>
        <w:rPr>
          <w:rFonts w:ascii="仿宋_GB2312" w:eastAsia="仿宋_GB2312"/>
          <w:color w:val="3D3D3D"/>
          <w:sz w:val="32"/>
          <w:szCs w:val="32"/>
        </w:rPr>
      </w:pPr>
      <w:r>
        <w:rPr>
          <w:rFonts w:hint="eastAsia" w:ascii="仿宋_GB2312" w:eastAsia="仿宋_GB2312"/>
          <w:sz w:val="32"/>
          <w:szCs w:val="32"/>
        </w:rPr>
        <w:t>活动承办单位（盖章）</w:t>
      </w:r>
    </w:p>
    <w:p w14:paraId="09CF9A87">
      <w:pPr>
        <w:pStyle w:val="6"/>
        <w:shd w:val="clear" w:color="auto" w:fill="FFFFFF"/>
        <w:spacing w:before="0" w:beforeAutospacing="0" w:after="0" w:afterAutospacing="0" w:line="560" w:lineRule="exact"/>
      </w:pPr>
    </w:p>
    <w:p w14:paraId="7D0C711A">
      <w:pPr>
        <w:pStyle w:val="6"/>
        <w:shd w:val="clear" w:color="auto" w:fill="FFFFFF"/>
        <w:spacing w:before="0" w:beforeAutospacing="0" w:after="0" w:afterAutospacing="0" w:line="560" w:lineRule="exact"/>
      </w:pPr>
    </w:p>
    <w:p w14:paraId="6C8AF267">
      <w:pPr>
        <w:pStyle w:val="6"/>
        <w:shd w:val="clear" w:color="auto" w:fill="FFFFFF"/>
        <w:spacing w:before="0" w:beforeAutospacing="0" w:after="0" w:afterAutospacing="0" w:line="560" w:lineRule="exact"/>
      </w:pPr>
    </w:p>
    <w:p w14:paraId="22404DBF">
      <w:pPr>
        <w:pStyle w:val="6"/>
        <w:shd w:val="clear" w:color="auto" w:fill="FFFFFF"/>
        <w:spacing w:before="0" w:beforeAutospacing="0" w:after="0" w:afterAutospacing="0" w:line="560" w:lineRule="exact"/>
      </w:pPr>
    </w:p>
    <w:p w14:paraId="700ED653">
      <w:pPr>
        <w:pStyle w:val="6"/>
        <w:shd w:val="clear" w:color="auto" w:fill="FFFFFF"/>
        <w:spacing w:before="0" w:beforeAutospacing="0" w:after="0" w:afterAutospacing="0" w:line="560" w:lineRule="exact"/>
      </w:pPr>
    </w:p>
    <w:p w14:paraId="03BE9948">
      <w:pPr>
        <w:pStyle w:val="6"/>
        <w:shd w:val="clear" w:color="auto" w:fill="FFFFFF"/>
        <w:spacing w:before="0" w:beforeAutospacing="0" w:after="0" w:afterAutospacing="0" w:line="560" w:lineRule="exact"/>
      </w:pPr>
    </w:p>
    <w:p w14:paraId="211D1E98">
      <w:pPr>
        <w:pStyle w:val="6"/>
        <w:shd w:val="clear" w:color="auto" w:fill="FFFFFF"/>
        <w:spacing w:before="0" w:beforeAutospacing="0" w:after="0" w:afterAutospacing="0" w:line="560" w:lineRule="exact"/>
      </w:pPr>
    </w:p>
    <w:p w14:paraId="65340B7F">
      <w:pPr>
        <w:pStyle w:val="6"/>
        <w:shd w:val="clear" w:color="auto" w:fill="FFFFFF"/>
        <w:spacing w:before="0" w:beforeAutospacing="0" w:after="0" w:afterAutospacing="0" w:line="560" w:lineRule="exact"/>
      </w:pPr>
    </w:p>
    <w:p w14:paraId="0271A0C0">
      <w:pPr>
        <w:pStyle w:val="6"/>
        <w:shd w:val="clear" w:color="auto" w:fill="FFFFFF"/>
        <w:spacing w:before="0" w:beforeAutospacing="0" w:after="0" w:afterAutospacing="0" w:line="560" w:lineRule="exact"/>
      </w:pPr>
    </w:p>
    <w:p w14:paraId="05818BAB">
      <w:pPr>
        <w:pStyle w:val="6"/>
        <w:shd w:val="clear" w:color="auto" w:fill="FFFFFF"/>
        <w:spacing w:before="0" w:beforeAutospacing="0" w:after="0" w:afterAutospacing="0" w:line="560" w:lineRule="exact"/>
      </w:pPr>
    </w:p>
    <w:p w14:paraId="11A8A100">
      <w:pPr>
        <w:pStyle w:val="6"/>
        <w:shd w:val="clear" w:color="auto" w:fill="FFFFFF"/>
        <w:spacing w:before="0" w:beforeAutospacing="0" w:after="0" w:afterAutospacing="0" w:line="560" w:lineRule="exact"/>
        <w:rPr>
          <w:rFonts w:ascii="黑体" w:hAnsi="黑体" w:eastAsia="黑体"/>
          <w:sz w:val="32"/>
          <w:szCs w:val="32"/>
        </w:rPr>
      </w:pPr>
    </w:p>
    <w:p w14:paraId="09158871">
      <w:pPr>
        <w:pStyle w:val="6"/>
        <w:shd w:val="clear" w:color="auto" w:fill="FFFFFF"/>
        <w:spacing w:before="0" w:beforeAutospacing="0" w:after="0" w:afterAutospacing="0" w:line="560" w:lineRule="exact"/>
        <w:rPr>
          <w:rFonts w:ascii="黑体" w:hAnsi="黑体" w:eastAsia="黑体"/>
          <w:sz w:val="32"/>
          <w:szCs w:val="32"/>
        </w:rPr>
      </w:pPr>
    </w:p>
    <w:p w14:paraId="73B0968E">
      <w:pPr>
        <w:pStyle w:val="6"/>
        <w:shd w:val="clear" w:color="auto" w:fill="FFFFFF"/>
        <w:spacing w:before="0" w:beforeAutospacing="0" w:after="0" w:afterAutospacing="0" w:line="560" w:lineRule="exact"/>
      </w:pPr>
      <w:r>
        <w:rPr>
          <w:rFonts w:ascii="黑体" w:hAnsi="黑体" w:eastAsia="黑体"/>
          <w:sz w:val="32"/>
          <w:szCs w:val="32"/>
        </w:rPr>
        <w:t>附件</w:t>
      </w:r>
      <w:r>
        <w:rPr>
          <w:rFonts w:hint="eastAsia" w:ascii="黑体" w:hAnsi="黑体" w:eastAsia="黑体"/>
          <w:sz w:val="32"/>
          <w:szCs w:val="32"/>
        </w:rPr>
        <w:t>3</w:t>
      </w:r>
    </w:p>
    <w:p w14:paraId="2CC28B22">
      <w:pPr>
        <w:pStyle w:val="6"/>
        <w:shd w:val="clear" w:color="auto" w:fill="FFFFFF"/>
        <w:spacing w:before="0" w:beforeAutospacing="0" w:after="0" w:afterAutospacing="0" w:line="560" w:lineRule="exact"/>
        <w:jc w:val="center"/>
        <w:rPr>
          <w:rFonts w:ascii="方正小标宋简体" w:eastAsia="方正小标宋简体"/>
          <w:color w:val="3D3D3D"/>
          <w:sz w:val="44"/>
          <w:szCs w:val="44"/>
        </w:rPr>
      </w:pPr>
    </w:p>
    <w:p w14:paraId="0021780C">
      <w:pPr>
        <w:pStyle w:val="6"/>
        <w:shd w:val="clear" w:color="auto" w:fill="FFFFFF"/>
        <w:spacing w:before="0" w:beforeAutospacing="0" w:after="0" w:afterAutospacing="0" w:line="560" w:lineRule="exact"/>
        <w:jc w:val="center"/>
        <w:rPr>
          <w:rFonts w:ascii="方正小标宋简体" w:eastAsia="方正小标宋简体"/>
          <w:color w:val="3D3D3D"/>
          <w:sz w:val="44"/>
          <w:szCs w:val="44"/>
        </w:rPr>
      </w:pPr>
      <w:r>
        <w:rPr>
          <w:rFonts w:hint="eastAsia" w:ascii="方正小标宋简体" w:eastAsia="方正小标宋简体"/>
          <w:color w:val="3D3D3D"/>
          <w:sz w:val="44"/>
          <w:szCs w:val="44"/>
        </w:rPr>
        <w:t>参加活动商品品类及价格备案表</w:t>
      </w:r>
    </w:p>
    <w:p w14:paraId="2B6ECEE9">
      <w:pPr>
        <w:pStyle w:val="6"/>
        <w:shd w:val="clear" w:color="auto" w:fill="FFFFFF"/>
        <w:spacing w:before="0" w:beforeAutospacing="0" w:after="0" w:afterAutospacing="0" w:line="240" w:lineRule="exact"/>
        <w:rPr>
          <w:rFonts w:ascii="仿宋_GB2312" w:eastAsia="仿宋_GB2312"/>
          <w:sz w:val="32"/>
          <w:szCs w:val="32"/>
        </w:rPr>
      </w:pPr>
    </w:p>
    <w:tbl>
      <w:tblPr>
        <w:tblStyle w:val="8"/>
        <w:tblpPr w:leftFromText="180" w:rightFromText="180" w:vertAnchor="page" w:horzAnchor="margin" w:tblpY="4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688"/>
        <w:gridCol w:w="1081"/>
        <w:gridCol w:w="2707"/>
        <w:gridCol w:w="1795"/>
      </w:tblGrid>
      <w:tr w14:paraId="3A2A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60BCAC96">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类别</w:t>
            </w:r>
          </w:p>
        </w:tc>
        <w:tc>
          <w:tcPr>
            <w:tcW w:w="1805" w:type="dxa"/>
            <w:vAlign w:val="center"/>
          </w:tcPr>
          <w:p w14:paraId="15A23447">
            <w:pPr>
              <w:spacing w:line="560" w:lineRule="exac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品名</w:t>
            </w:r>
          </w:p>
        </w:tc>
        <w:tc>
          <w:tcPr>
            <w:tcW w:w="1138" w:type="dxa"/>
            <w:vAlign w:val="center"/>
          </w:tcPr>
          <w:p w14:paraId="6AC79910">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品牌</w:t>
            </w:r>
          </w:p>
        </w:tc>
        <w:tc>
          <w:tcPr>
            <w:tcW w:w="2924" w:type="dxa"/>
            <w:vAlign w:val="center"/>
          </w:tcPr>
          <w:p w14:paraId="32B86C89">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规格型号</w:t>
            </w:r>
          </w:p>
        </w:tc>
        <w:tc>
          <w:tcPr>
            <w:tcW w:w="1868" w:type="dxa"/>
            <w:vAlign w:val="center"/>
          </w:tcPr>
          <w:p w14:paraId="2263EE9C">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参考价格（元）</w:t>
            </w:r>
          </w:p>
        </w:tc>
      </w:tr>
      <w:tr w14:paraId="630F4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3735CAAB">
            <w:pPr>
              <w:spacing w:line="560" w:lineRule="exact"/>
              <w:ind w:right="210" w:rightChars="100"/>
              <w:jc w:val="center"/>
              <w:rPr>
                <w:rFonts w:ascii="Times New Roman" w:hAnsi="Times New Roman" w:eastAsia="宋体" w:cs="Times New Roman"/>
                <w:kern w:val="0"/>
                <w:sz w:val="24"/>
                <w:szCs w:val="20"/>
              </w:rPr>
            </w:pPr>
          </w:p>
        </w:tc>
        <w:tc>
          <w:tcPr>
            <w:tcW w:w="1805" w:type="dxa"/>
            <w:vAlign w:val="center"/>
          </w:tcPr>
          <w:p w14:paraId="73B63338">
            <w:pPr>
              <w:spacing w:line="560" w:lineRule="exact"/>
              <w:ind w:right="210" w:rightChars="100"/>
              <w:jc w:val="center"/>
              <w:rPr>
                <w:rFonts w:ascii="Times New Roman" w:hAnsi="Times New Roman" w:eastAsia="宋体" w:cs="Times New Roman"/>
                <w:kern w:val="0"/>
                <w:sz w:val="24"/>
                <w:szCs w:val="20"/>
              </w:rPr>
            </w:pPr>
          </w:p>
        </w:tc>
        <w:tc>
          <w:tcPr>
            <w:tcW w:w="1138" w:type="dxa"/>
            <w:vAlign w:val="center"/>
          </w:tcPr>
          <w:p w14:paraId="689951C6">
            <w:pPr>
              <w:spacing w:line="560" w:lineRule="exact"/>
              <w:ind w:right="210" w:rightChars="100"/>
              <w:jc w:val="center"/>
              <w:rPr>
                <w:rFonts w:ascii="Times New Roman" w:hAnsi="Times New Roman" w:eastAsia="宋体" w:cs="Times New Roman"/>
                <w:kern w:val="0"/>
                <w:sz w:val="24"/>
                <w:szCs w:val="20"/>
              </w:rPr>
            </w:pPr>
          </w:p>
        </w:tc>
        <w:tc>
          <w:tcPr>
            <w:tcW w:w="2924" w:type="dxa"/>
            <w:vAlign w:val="center"/>
          </w:tcPr>
          <w:p w14:paraId="5E0D6B2F">
            <w:pPr>
              <w:spacing w:line="560" w:lineRule="exact"/>
              <w:ind w:right="210" w:rightChars="100"/>
              <w:jc w:val="center"/>
              <w:rPr>
                <w:rFonts w:ascii="Times New Roman" w:hAnsi="Times New Roman" w:eastAsia="宋体" w:cs="Times New Roman"/>
                <w:kern w:val="0"/>
                <w:sz w:val="24"/>
                <w:szCs w:val="20"/>
              </w:rPr>
            </w:pPr>
          </w:p>
        </w:tc>
        <w:tc>
          <w:tcPr>
            <w:tcW w:w="1868" w:type="dxa"/>
            <w:vAlign w:val="center"/>
          </w:tcPr>
          <w:p w14:paraId="201B5EE1">
            <w:pPr>
              <w:spacing w:line="560" w:lineRule="exact"/>
              <w:ind w:right="210" w:rightChars="100"/>
              <w:jc w:val="center"/>
              <w:rPr>
                <w:rFonts w:ascii="Times New Roman" w:hAnsi="Times New Roman" w:eastAsia="宋体" w:cs="Times New Roman"/>
                <w:kern w:val="0"/>
                <w:sz w:val="24"/>
                <w:szCs w:val="20"/>
              </w:rPr>
            </w:pPr>
          </w:p>
        </w:tc>
      </w:tr>
      <w:tr w14:paraId="2A32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5641DD0C">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788DC2A2">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7DC30633">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3334E351">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544D894A">
            <w:pPr>
              <w:spacing w:line="560" w:lineRule="exact"/>
              <w:ind w:right="210" w:rightChars="100"/>
              <w:jc w:val="center"/>
              <w:rPr>
                <w:rFonts w:ascii="Times New Roman" w:hAnsi="Times New Roman" w:eastAsia="宋体" w:cs="Times New Roman"/>
                <w:kern w:val="0"/>
                <w:sz w:val="28"/>
                <w:szCs w:val="28"/>
              </w:rPr>
            </w:pPr>
          </w:p>
        </w:tc>
      </w:tr>
      <w:tr w14:paraId="4539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34E96CDD">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57CD0482">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265B83A8">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47A3514B">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36B6F4C8">
            <w:pPr>
              <w:spacing w:line="560" w:lineRule="exact"/>
              <w:ind w:right="210" w:rightChars="100"/>
              <w:jc w:val="center"/>
              <w:rPr>
                <w:rFonts w:ascii="Times New Roman" w:hAnsi="Times New Roman" w:eastAsia="宋体" w:cs="Times New Roman"/>
                <w:kern w:val="0"/>
                <w:sz w:val="28"/>
                <w:szCs w:val="28"/>
              </w:rPr>
            </w:pPr>
          </w:p>
        </w:tc>
      </w:tr>
      <w:tr w14:paraId="5B33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57D0EBE9">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2CBFB31F">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0690CCB6">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0FE3FEEF">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7A345F97">
            <w:pPr>
              <w:spacing w:line="560" w:lineRule="exact"/>
              <w:ind w:right="210" w:rightChars="100"/>
              <w:jc w:val="center"/>
              <w:rPr>
                <w:rFonts w:ascii="Times New Roman" w:hAnsi="Times New Roman" w:eastAsia="宋体" w:cs="Times New Roman"/>
                <w:kern w:val="0"/>
                <w:sz w:val="28"/>
                <w:szCs w:val="28"/>
              </w:rPr>
            </w:pPr>
          </w:p>
        </w:tc>
      </w:tr>
      <w:tr w14:paraId="475B1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0E459D18">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09EB2D14">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26A8A63D">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46E4B9FD">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24DB48DA">
            <w:pPr>
              <w:spacing w:line="560" w:lineRule="exact"/>
              <w:ind w:right="210" w:rightChars="100"/>
              <w:jc w:val="center"/>
              <w:rPr>
                <w:rFonts w:ascii="Times New Roman" w:hAnsi="Times New Roman" w:eastAsia="宋体" w:cs="Times New Roman"/>
                <w:kern w:val="0"/>
                <w:sz w:val="28"/>
                <w:szCs w:val="28"/>
              </w:rPr>
            </w:pPr>
          </w:p>
        </w:tc>
      </w:tr>
    </w:tbl>
    <w:p w14:paraId="4B7284C4">
      <w:pPr>
        <w:pStyle w:val="6"/>
        <w:shd w:val="clear" w:color="auto" w:fill="FFFFFF"/>
        <w:spacing w:before="0" w:beforeAutospacing="0" w:after="0" w:afterAutospacing="0" w:line="560" w:lineRule="exact"/>
        <w:rPr>
          <w:rFonts w:ascii="仿宋_GB2312" w:eastAsia="仿宋_GB2312"/>
          <w:sz w:val="32"/>
          <w:szCs w:val="32"/>
        </w:rPr>
      </w:pPr>
      <w:r>
        <w:rPr>
          <w:rFonts w:hint="eastAsia" w:ascii="仿宋_GB2312" w:eastAsia="仿宋_GB2312"/>
          <w:sz w:val="32"/>
          <w:szCs w:val="32"/>
        </w:rPr>
        <w:t>活动承办单位（盖章）</w:t>
      </w:r>
    </w:p>
    <w:p w14:paraId="605A471E">
      <w:pPr>
        <w:pStyle w:val="6"/>
        <w:shd w:val="clear" w:color="auto" w:fill="FFFFFF"/>
        <w:spacing w:before="0" w:beforeAutospacing="0" w:after="0" w:afterAutospacing="0" w:line="560" w:lineRule="exact"/>
      </w:pPr>
    </w:p>
    <w:p w14:paraId="6BC02A17"/>
    <w:p w14:paraId="1B2714D0">
      <w:pPr>
        <w:keepNext w:val="0"/>
        <w:keepLines w:val="0"/>
        <w:pageBreakBefore w:val="0"/>
        <w:kinsoku/>
        <w:wordWrap/>
        <w:overflowPunct/>
        <w:topLinePunct w:val="0"/>
        <w:autoSpaceDE/>
        <w:autoSpaceDN/>
        <w:bidi w:val="0"/>
        <w:adjustRightInd/>
        <w:snapToGrid/>
        <w:spacing w:line="560" w:lineRule="exact"/>
        <w:textAlignment w:val="auto"/>
      </w:pPr>
    </w:p>
    <w:p w14:paraId="51CF55BE">
      <w:pPr>
        <w:pStyle w:val="6"/>
        <w:shd w:val="clear" w:color="auto" w:fill="FFFFFF"/>
        <w:spacing w:before="0" w:beforeAutospacing="0" w:after="0" w:afterAutospacing="0" w:line="560" w:lineRule="exact"/>
        <w:rPr>
          <w:rFonts w:ascii="黑体" w:hAnsi="黑体" w:eastAsia="黑体"/>
          <w:sz w:val="32"/>
          <w:szCs w:val="32"/>
        </w:rPr>
      </w:pPr>
    </w:p>
    <w:p w14:paraId="6FFF234F">
      <w:pPr>
        <w:pStyle w:val="6"/>
        <w:shd w:val="clear" w:color="auto" w:fill="FFFFFF"/>
        <w:spacing w:before="0" w:beforeAutospacing="0" w:after="0" w:afterAutospacing="0" w:line="560" w:lineRule="exact"/>
        <w:rPr>
          <w:rFonts w:ascii="黑体" w:hAnsi="黑体" w:eastAsia="黑体"/>
          <w:sz w:val="32"/>
          <w:szCs w:val="32"/>
        </w:rPr>
      </w:pPr>
    </w:p>
    <w:p w14:paraId="12852D1B">
      <w:pPr>
        <w:pStyle w:val="6"/>
        <w:shd w:val="clear" w:color="auto" w:fill="FFFFFF"/>
        <w:spacing w:before="0" w:beforeAutospacing="0" w:after="0" w:afterAutospacing="0" w:line="560" w:lineRule="exact"/>
        <w:rPr>
          <w:rFonts w:ascii="黑体" w:hAnsi="黑体" w:eastAsia="黑体"/>
          <w:sz w:val="32"/>
          <w:szCs w:val="32"/>
        </w:rPr>
      </w:pPr>
    </w:p>
    <w:p w14:paraId="1F46B8C2">
      <w:pPr>
        <w:pStyle w:val="6"/>
        <w:shd w:val="clear" w:color="auto" w:fill="FFFFFF"/>
        <w:spacing w:before="0" w:beforeAutospacing="0" w:after="0" w:afterAutospacing="0" w:line="560" w:lineRule="exact"/>
        <w:rPr>
          <w:rFonts w:ascii="黑体" w:hAnsi="黑体" w:eastAsia="黑体"/>
          <w:sz w:val="32"/>
          <w:szCs w:val="32"/>
        </w:rPr>
      </w:pPr>
    </w:p>
    <w:p w14:paraId="4E600587">
      <w:pPr>
        <w:pStyle w:val="6"/>
        <w:shd w:val="clear" w:color="auto" w:fill="FFFFFF"/>
        <w:spacing w:before="0" w:beforeAutospacing="0" w:after="0" w:afterAutospacing="0" w:line="560" w:lineRule="exact"/>
        <w:rPr>
          <w:rFonts w:ascii="黑体" w:hAnsi="黑体" w:eastAsia="黑体"/>
          <w:sz w:val="32"/>
          <w:szCs w:val="32"/>
        </w:rPr>
      </w:pPr>
    </w:p>
    <w:p w14:paraId="4BE0D980">
      <w:pPr>
        <w:pStyle w:val="6"/>
        <w:shd w:val="clear" w:color="auto" w:fill="FFFFFF"/>
        <w:spacing w:before="0" w:beforeAutospacing="0" w:after="0" w:afterAutospacing="0" w:line="560" w:lineRule="exact"/>
        <w:rPr>
          <w:rFonts w:ascii="黑体" w:hAnsi="黑体" w:eastAsia="黑体"/>
          <w:sz w:val="32"/>
          <w:szCs w:val="32"/>
        </w:rPr>
      </w:pPr>
    </w:p>
    <w:p w14:paraId="6C32F4FC">
      <w:pPr>
        <w:pStyle w:val="6"/>
        <w:shd w:val="clear" w:color="auto" w:fill="FFFFFF"/>
        <w:spacing w:before="0" w:beforeAutospacing="0" w:after="0" w:afterAutospacing="0" w:line="560" w:lineRule="exact"/>
        <w:rPr>
          <w:rFonts w:ascii="黑体" w:hAnsi="黑体" w:eastAsia="黑体"/>
          <w:sz w:val="32"/>
          <w:szCs w:val="32"/>
        </w:rPr>
      </w:pPr>
    </w:p>
    <w:p w14:paraId="53732D1B">
      <w:pPr>
        <w:pStyle w:val="6"/>
        <w:shd w:val="clear" w:color="auto" w:fill="FFFFFF"/>
        <w:spacing w:before="0" w:beforeAutospacing="0" w:after="0" w:afterAutospacing="0" w:line="560" w:lineRule="exact"/>
      </w:pPr>
      <w:r>
        <w:rPr>
          <w:rFonts w:ascii="黑体" w:hAnsi="黑体" w:eastAsia="黑体"/>
          <w:sz w:val="32"/>
          <w:szCs w:val="32"/>
        </w:rPr>
        <w:t>附件</w:t>
      </w:r>
      <w:r>
        <w:rPr>
          <w:rFonts w:hint="eastAsia" w:ascii="黑体" w:hAnsi="黑体" w:eastAsia="黑体"/>
          <w:sz w:val="32"/>
          <w:szCs w:val="32"/>
        </w:rPr>
        <w:t>4</w:t>
      </w:r>
    </w:p>
    <w:p w14:paraId="1EA43840">
      <w:pPr>
        <w:jc w:val="center"/>
        <w:rPr>
          <w:rFonts w:hint="eastAsia" w:ascii="方正小标宋简体" w:eastAsia="方正小标宋简体"/>
          <w:sz w:val="44"/>
          <w:szCs w:val="44"/>
        </w:rPr>
      </w:pPr>
      <w:r>
        <w:rPr>
          <w:rFonts w:hint="eastAsia" w:ascii="方正小标宋简体" w:eastAsia="方正小标宋简体"/>
          <w:sz w:val="44"/>
          <w:szCs w:val="44"/>
        </w:rPr>
        <w:t>活动承办单位动态管理机制</w:t>
      </w:r>
    </w:p>
    <w:p w14:paraId="2219D6C1">
      <w:pPr>
        <w:spacing w:line="240" w:lineRule="exact"/>
        <w:jc w:val="center"/>
        <w:rPr>
          <w:rFonts w:hint="eastAsia"/>
          <w:sz w:val="44"/>
          <w:szCs w:val="44"/>
        </w:rPr>
      </w:pPr>
    </w:p>
    <w:p w14:paraId="2D441AAD">
      <w:pPr>
        <w:spacing w:line="560" w:lineRule="exact"/>
        <w:ind w:firstLine="641"/>
        <w:rPr>
          <w:rFonts w:hint="eastAsia" w:ascii="仿宋_GB2312" w:hAnsi="仿宋" w:eastAsia="仿宋_GB2312" w:cs="仿宋"/>
          <w:sz w:val="32"/>
          <w:szCs w:val="32"/>
        </w:rPr>
      </w:pPr>
      <w:r>
        <w:rPr>
          <w:rFonts w:hint="eastAsia" w:ascii="仿宋_GB2312" w:hAnsi="仿宋" w:eastAsia="仿宋_GB2312" w:cs="仿宋"/>
          <w:sz w:val="32"/>
          <w:szCs w:val="32"/>
        </w:rPr>
        <w:t>按照《河北省商务厅关于做好家电家装电动自行车以旧换新承办单位选取备案工作的通知》要求，对承办单位资格实行动态管理。</w:t>
      </w:r>
    </w:p>
    <w:p w14:paraId="6EFD37BC">
      <w:pPr>
        <w:pStyle w:val="3"/>
        <w:overflowPunct w:val="0"/>
        <w:spacing w:line="560" w:lineRule="exact"/>
        <w:ind w:firstLine="641"/>
        <w:rPr>
          <w:rFonts w:hint="eastAsia" w:ascii="仿宋_GB2312" w:hAnsi="仿宋_GB2312" w:cs="仿宋_GB2312"/>
        </w:rPr>
      </w:pPr>
      <w:r>
        <w:rPr>
          <w:rFonts w:hint="eastAsia" w:ascii="仿宋_GB2312" w:hAnsi="仿宋_GB2312" w:cs="仿宋_GB2312"/>
        </w:rPr>
        <w:t>一、承办单位不得对产品临时提价、虚假打折、以次充好、虚报产品信息，出现以上情况一经查实，取消承办资格。。</w:t>
      </w:r>
    </w:p>
    <w:p w14:paraId="4D0AF34B">
      <w:pPr>
        <w:widowControl/>
        <w:spacing w:line="560" w:lineRule="exact"/>
        <w:ind w:firstLine="641"/>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二、承办单位对回收的旧家电、旧电动自行车进行规范处理，导致环境污染或资源浪费，追究相关责任人责任，必要时取消参与活动资格</w:t>
      </w:r>
    </w:p>
    <w:p w14:paraId="4980F349">
      <w:pPr>
        <w:spacing w:line="560" w:lineRule="exact"/>
        <w:ind w:firstLine="641"/>
        <w:rPr>
          <w:rFonts w:hint="eastAsia" w:ascii="仿宋_GB2312" w:hAnsi="仿宋" w:eastAsia="仿宋_GB2312" w:cs="仿宋"/>
          <w:sz w:val="32"/>
          <w:szCs w:val="32"/>
        </w:rPr>
      </w:pPr>
      <w:r>
        <w:rPr>
          <w:rFonts w:hint="eastAsia" w:ascii="仿宋_GB2312" w:hAnsi="仿宋" w:eastAsia="仿宋_GB2312" w:cs="仿宋"/>
          <w:sz w:val="32"/>
          <w:szCs w:val="32"/>
        </w:rPr>
        <w:t>三、承办单位要及时妥善处理好消费者咨询和投诉，在以旧换新活动中多次被投诉的承办单位取消承办资格。</w:t>
      </w:r>
    </w:p>
    <w:p w14:paraId="7ED00C53">
      <w:pPr>
        <w:pStyle w:val="3"/>
        <w:spacing w:line="560" w:lineRule="exact"/>
        <w:ind w:firstLine="641"/>
        <w:rPr>
          <w:rFonts w:hint="eastAsia" w:ascii="仿宋_GB2312"/>
        </w:rPr>
      </w:pPr>
      <w:r>
        <w:rPr>
          <w:rFonts w:hint="eastAsia" w:ascii="仿宋_GB2312"/>
        </w:rPr>
        <w:t>四、承办单位要切实利用好补贴政策，推出厂家及自身叠加优惠，立足有效扩大内需、刺激消费，对自上线运行30天内交易额不足万元的承办单位，由</w:t>
      </w:r>
      <w:bookmarkStart w:id="0" w:name="_GoBack"/>
      <w:bookmarkEnd w:id="0"/>
      <w:r>
        <w:rPr>
          <w:rFonts w:hint="eastAsia" w:ascii="仿宋_GB2312"/>
        </w:rPr>
        <w:t>商务部门引导退出。</w:t>
      </w:r>
    </w:p>
    <w:p w14:paraId="64FA266F">
      <w:pPr>
        <w:pStyle w:val="3"/>
        <w:spacing w:line="560" w:lineRule="exact"/>
        <w:ind w:firstLine="641"/>
      </w:pPr>
      <w:r>
        <w:rPr>
          <w:rFonts w:hint="eastAsia" w:ascii="仿宋_GB2312"/>
        </w:rPr>
        <w:t>五、承办单位因本单位原因，自愿申请退出参加以旧换新活动，取消承办资格。</w:t>
      </w:r>
    </w:p>
    <w:p w14:paraId="52D4E30E">
      <w:pPr>
        <w:keepNext w:val="0"/>
        <w:keepLines w:val="0"/>
        <w:pageBreakBefore w:val="0"/>
        <w:kinsoku/>
        <w:wordWrap/>
        <w:overflowPunct/>
        <w:topLinePunct w:val="0"/>
        <w:autoSpaceDE/>
        <w:autoSpaceDN/>
        <w:bidi w:val="0"/>
        <w:adjustRightInd/>
        <w:snapToGrid/>
        <w:spacing w:line="560" w:lineRule="exact"/>
        <w:textAlignment w:val="auto"/>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文星仿宋">
    <w:altName w:val="Times New Roman"/>
    <w:panose1 w:val="00000000000000000000"/>
    <w:charset w:val="00"/>
    <w:family w:val="auto"/>
    <w:pitch w:val="default"/>
    <w:sig w:usb0="00000000" w:usb1="00000000" w:usb2="00000000" w:usb3="00000000" w:csb0="00000000" w:csb1="00000000"/>
  </w:font>
  <w:font w:name="方正小标宋简体">
    <w:altName w:val="黑体"/>
    <w:panose1 w:val="02010601030101010101"/>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3E016">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171023">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9171023">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FlNWMxNDhhYzc1YzZkZjA3ODQyMjg4ZjhjZmNlMmQifQ=="/>
  </w:docVars>
  <w:rsids>
    <w:rsidRoot w:val="2687425A"/>
    <w:rsid w:val="15DD6D9D"/>
    <w:rsid w:val="1D33364C"/>
    <w:rsid w:val="2687425A"/>
    <w:rsid w:val="3B5D0690"/>
    <w:rsid w:val="40C662E9"/>
    <w:rsid w:val="57143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32"/>
      <w:szCs w:val="32"/>
    </w:rPr>
  </w:style>
  <w:style w:type="paragraph" w:styleId="3">
    <w:name w:val="Plain Text"/>
    <w:basedOn w:val="1"/>
    <w:unhideWhenUsed/>
    <w:uiPriority w:val="99"/>
    <w:pPr>
      <w:suppressAutoHyphens/>
      <w:spacing w:line="520" w:lineRule="exact"/>
    </w:pPr>
    <w:rPr>
      <w:rFonts w:ascii="宋体" w:hAnsi="Courier New" w:eastAsia="仿宋_GB2312" w:cs="文星仿宋"/>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3142</Words>
  <Characters>3267</Characters>
  <Lines>0</Lines>
  <Paragraphs>0</Paragraphs>
  <TotalTime>0</TotalTime>
  <ScaleCrop>false</ScaleCrop>
  <LinksUpToDate>false</LinksUpToDate>
  <CharactersWithSpaces>3291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2024-10-01T06:53:00Z</dcterms:created>
  <dc:creator>Administrator</dc:creator>
  <cp:lastModifiedBy>甘来</cp:lastModifiedBy>
  <dcterms:modified xsi:type="dcterms:W3CDTF">2024-10-10T09:52:00Z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753732BEEDF64822B3B2CFE529811A69_13</vt:lpwstr>
  </property>
</Properties>
</file>