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黑体" w:hAnsi="黑体" w:eastAsia="黑体" w:cs="黑体"/>
          <w:b w:val="0"/>
          <w:bCs/>
          <w:sz w:val="44"/>
          <w:szCs w:val="44"/>
        </w:rPr>
      </w:pPr>
      <w:r>
        <w:rPr>
          <w:rFonts w:hint="eastAsia" w:ascii="黑体" w:hAnsi="黑体" w:eastAsia="黑体" w:cs="黑体"/>
          <w:b w:val="0"/>
          <w:bCs/>
          <w:sz w:val="44"/>
          <w:szCs w:val="44"/>
        </w:rPr>
        <w:t>涞源县住房和城乡建设局</w:t>
      </w:r>
    </w:p>
    <w:p>
      <w:pPr>
        <w:pStyle w:val="12"/>
        <w:rPr>
          <w:rFonts w:hint="eastAsia" w:ascii="黑体" w:hAnsi="黑体" w:eastAsia="黑体" w:cs="黑体"/>
          <w:b w:val="0"/>
          <w:bCs/>
          <w:sz w:val="44"/>
          <w:szCs w:val="44"/>
        </w:rPr>
      </w:pPr>
      <w:r>
        <w:rPr>
          <w:rFonts w:hint="eastAsia" w:hAnsi="黑体" w:cs="黑体"/>
          <w:b w:val="0"/>
          <w:bCs/>
          <w:sz w:val="44"/>
          <w:szCs w:val="44"/>
          <w:lang w:eastAsia="zh-CN"/>
        </w:rPr>
        <w:t>关于</w:t>
      </w:r>
      <w:r>
        <w:rPr>
          <w:rFonts w:hint="eastAsia" w:ascii="黑体" w:hAnsi="黑体" w:eastAsia="黑体" w:cs="黑体"/>
          <w:b w:val="0"/>
          <w:bCs/>
          <w:sz w:val="44"/>
          <w:szCs w:val="44"/>
        </w:rPr>
        <w:t>2025年度法治政府建设情况报告</w:t>
      </w:r>
    </w:p>
    <w:p>
      <w:pPr>
        <w:pStyle w:val="17"/>
        <w:ind w:firstLine="632"/>
        <w:rPr>
          <w:rFonts w:hint="eastAsia" w:ascii="仿宋" w:hAnsi="仿宋" w:eastAsia="仿宋" w:cs="仿宋"/>
          <w:sz w:val="32"/>
          <w:szCs w:val="32"/>
        </w:rPr>
      </w:pPr>
    </w:p>
    <w:p>
      <w:pPr>
        <w:pStyle w:val="17"/>
        <w:ind w:firstLine="632"/>
        <w:rPr>
          <w:rFonts w:hint="eastAsia" w:ascii="仿宋" w:hAnsi="仿宋" w:eastAsia="仿宋" w:cs="仿宋"/>
          <w:sz w:val="32"/>
          <w:szCs w:val="32"/>
        </w:rPr>
      </w:pPr>
      <w:r>
        <w:rPr>
          <w:rFonts w:hint="eastAsia" w:ascii="仿宋" w:hAnsi="仿宋" w:eastAsia="仿宋" w:cs="仿宋"/>
          <w:sz w:val="32"/>
          <w:szCs w:val="32"/>
        </w:rPr>
        <w:t>根据《法治政府建设实施纲要（2021—2025年）》《党政主要负责人履行推进法治建设第一责任人职责规定》《法治政府建设与责任落实督察工作规定》要求，按照县委依法治县办工作部署，我局</w:t>
      </w:r>
      <w:r>
        <w:rPr>
          <w:rFonts w:hint="eastAsia" w:ascii="仿宋" w:hAnsi="仿宋" w:eastAsia="仿宋" w:cs="仿宋"/>
          <w:sz w:val="32"/>
          <w:szCs w:val="32"/>
          <w:lang w:eastAsia="zh-CN"/>
        </w:rPr>
        <w:t>深入学习贯彻党的二十大及历次全会精神</w:t>
      </w:r>
      <w:bookmarkStart w:id="0" w:name="_GoBack"/>
      <w:bookmarkEnd w:id="0"/>
      <w:r>
        <w:rPr>
          <w:rFonts w:hint="eastAsia" w:ascii="仿宋" w:hAnsi="仿宋" w:eastAsia="仿宋" w:cs="仿宋"/>
          <w:sz w:val="32"/>
          <w:szCs w:val="32"/>
        </w:rPr>
        <w:t>，立足住建行业职能，扎实推进法治政府建设各项工作。2025年是《纲要》收官之年，我局坚持以法治政府建设示范创建为引领，持续深化法治住建实践，现将2025年度法治政府建设情况报告如下：</w:t>
      </w:r>
    </w:p>
    <w:p>
      <w:pPr>
        <w:pStyle w:val="19"/>
        <w:ind w:firstLine="715"/>
        <w:rPr>
          <w:rFonts w:hint="eastAsia" w:ascii="黑体" w:hAnsi="黑体" w:eastAsia="黑体" w:cs="黑体"/>
          <w:b w:val="0"/>
          <w:bCs w:val="0"/>
          <w:sz w:val="32"/>
          <w:szCs w:val="32"/>
        </w:rPr>
      </w:pPr>
      <w:r>
        <w:rPr>
          <w:rFonts w:hint="eastAsia" w:ascii="黑体" w:hAnsi="黑体" w:eastAsia="黑体" w:cs="黑体"/>
          <w:b w:val="0"/>
          <w:bCs w:val="0"/>
          <w:sz w:val="32"/>
          <w:szCs w:val="32"/>
        </w:rPr>
        <w:t>一、2025年推进法治政府建设主要举措和成效</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（一）压紧压实第一责任人职责，健全法治工作体系</w:t>
      </w:r>
    </w:p>
    <w:p>
      <w:pPr>
        <w:pStyle w:val="17"/>
        <w:ind w:firstLine="632"/>
        <w:rPr>
          <w:rFonts w:hint="eastAsia" w:ascii="仿宋" w:hAnsi="仿宋" w:eastAsia="仿宋" w:cs="仿宋"/>
          <w:sz w:val="32"/>
          <w:szCs w:val="32"/>
        </w:rPr>
      </w:pPr>
      <w:r>
        <w:rPr>
          <w:rFonts w:hint="eastAsia" w:ascii="仿宋" w:hAnsi="仿宋" w:eastAsia="仿宋" w:cs="仿宋"/>
          <w:sz w:val="32"/>
          <w:szCs w:val="32"/>
        </w:rPr>
        <w:t>局党组严格落实党政主要负责人履行推进法治建设第一责任人职责，坚持将法治政府建设与住建业务工作同部署、同落实、同检查、同考核，并把法治政府建设考核结果纳入股室和干部年度考核。全年召开党组会议专题研究法治建设、行政执法、矛盾化解、合法性审查等工作；落实党组理论学习中心组学法，组织全体干部职工集中法治培训，参训人员200余人次。持续深化由局主要领导任组长的法治政府建设工作领导小组实体化运行，修订完善重大行政决策、合同管理、行政执法、信访调度等内部制度，构建“主要领导负总责、分管领导具体抓、各股室分工落实”的责任体系，推动法治建设落地见效。</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（二）规范重大行政决策，筑牢依法决策防线</w:t>
      </w:r>
    </w:p>
    <w:p>
      <w:pPr>
        <w:pStyle w:val="17"/>
        <w:ind w:firstLine="632"/>
        <w:rPr>
          <w:rFonts w:hint="eastAsia" w:ascii="仿宋" w:hAnsi="仿宋" w:eastAsia="仿宋" w:cs="仿宋"/>
          <w:sz w:val="32"/>
          <w:szCs w:val="32"/>
        </w:rPr>
      </w:pPr>
      <w:r>
        <w:rPr>
          <w:rFonts w:hint="eastAsia" w:ascii="仿宋" w:hAnsi="仿宋" w:eastAsia="仿宋" w:cs="仿宋"/>
          <w:sz w:val="32"/>
          <w:szCs w:val="32"/>
        </w:rPr>
        <w:t>严格执行《重大行政决策程序暂行条例》，对城市更新、市政基础设施建设、老旧小区改造、行业专项整治等重大事项，严格落实公众参与、风险评估、合法性审查、集体讨论决定程序。全年提交法律顾问开展合法性审查重大决策、工程合同、规范性文件、实施方案等材料，出具法律意见书38份，从源头防范行政法律风险。常态化开展行政规范性文件清理工作，梳理并废止失效文件</w:t>
      </w:r>
      <w:r>
        <w:rPr>
          <w:rFonts w:hint="eastAsia" w:ascii="仿宋" w:eastAsia="仿宋" w:cs="仿宋"/>
          <w:sz w:val="32"/>
          <w:szCs w:val="32"/>
          <w:lang w:val="en-US" w:eastAsia="zh-CN"/>
        </w:rPr>
        <w:t>1</w:t>
      </w:r>
      <w:r>
        <w:rPr>
          <w:rFonts w:hint="eastAsia" w:ascii="仿宋" w:hAnsi="仿宋" w:eastAsia="仿宋" w:cs="仿宋"/>
          <w:sz w:val="32"/>
          <w:szCs w:val="32"/>
        </w:rPr>
        <w:t>件，确保文件合法有效、动态更新。</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（三）坚持严格规范公正文明执法，提升监管效能</w:t>
      </w:r>
    </w:p>
    <w:p>
      <w:pPr>
        <w:pStyle w:val="17"/>
        <w:ind w:firstLine="632"/>
        <w:rPr>
          <w:rFonts w:hint="eastAsia" w:ascii="仿宋" w:hAnsi="仿宋" w:eastAsia="仿宋" w:cs="仿宋"/>
          <w:sz w:val="32"/>
          <w:szCs w:val="32"/>
          <w:highlight w:val="yellow"/>
        </w:rPr>
      </w:pPr>
      <w:r>
        <w:rPr>
          <w:rFonts w:hint="eastAsia" w:ascii="仿宋" w:hAnsi="仿宋" w:eastAsia="仿宋" w:cs="仿宋"/>
          <w:sz w:val="32"/>
          <w:szCs w:val="32"/>
        </w:rPr>
        <w:t>全面落实行政执法“三项制度”，严格执行行政执法人员持证上岗制度，截至2025年12月，现有持证执法人员108名。聚焦建筑工程质量、安全生产、建筑市场、房地产开发、物业行业监管开展执法检查，全年开展现场巡查检查，下达责令整改通知书</w:t>
      </w:r>
      <w:r>
        <w:rPr>
          <w:rFonts w:hint="eastAsia" w:ascii="仿宋" w:eastAsia="仿宋" w:cs="仿宋"/>
          <w:sz w:val="32"/>
          <w:szCs w:val="32"/>
          <w:lang w:val="en-US" w:eastAsia="zh-CN"/>
        </w:rPr>
        <w:t>4</w:t>
      </w:r>
      <w:r>
        <w:rPr>
          <w:rFonts w:hint="eastAsia" w:ascii="仿宋" w:hAnsi="仿宋" w:eastAsia="仿宋" w:cs="仿宋"/>
          <w:sz w:val="32"/>
          <w:szCs w:val="32"/>
        </w:rPr>
        <w:t>份，作出行政处罚</w:t>
      </w:r>
      <w:r>
        <w:rPr>
          <w:rFonts w:hint="eastAsia" w:ascii="仿宋" w:eastAsia="仿宋" w:cs="仿宋"/>
          <w:sz w:val="32"/>
          <w:szCs w:val="32"/>
          <w:lang w:val="en-US" w:eastAsia="zh-CN"/>
        </w:rPr>
        <w:t>4</w:t>
      </w:r>
      <w:r>
        <w:rPr>
          <w:rFonts w:hint="eastAsia" w:ascii="仿宋" w:hAnsi="仿宋" w:eastAsia="仿宋" w:cs="仿宋"/>
          <w:sz w:val="32"/>
          <w:szCs w:val="32"/>
        </w:rPr>
        <w:t>件，收缴罚没款</w:t>
      </w:r>
      <w:r>
        <w:rPr>
          <w:rFonts w:hint="eastAsia" w:ascii="仿宋" w:eastAsia="仿宋" w:cs="仿宋"/>
          <w:sz w:val="32"/>
          <w:szCs w:val="32"/>
          <w:lang w:val="en-US" w:eastAsia="zh-CN"/>
        </w:rPr>
        <w:t>205233.84</w:t>
      </w:r>
      <w:r>
        <w:rPr>
          <w:rFonts w:hint="eastAsia" w:ascii="仿宋" w:hAnsi="仿宋" w:eastAsia="仿宋" w:cs="仿宋"/>
          <w:sz w:val="32"/>
          <w:szCs w:val="32"/>
        </w:rPr>
        <w:t>元。</w:t>
      </w:r>
      <w:r>
        <w:rPr>
          <w:rFonts w:hint="eastAsia" w:ascii="仿宋" w:hAnsi="仿宋" w:eastAsia="仿宋" w:cs="仿宋"/>
          <w:sz w:val="32"/>
          <w:szCs w:val="32"/>
          <w:highlight w:val="none"/>
        </w:rPr>
        <w:t>组织行政执法案卷评查2轮，评查案卷</w:t>
      </w:r>
      <w:r>
        <w:rPr>
          <w:rFonts w:hint="eastAsia" w:ascii="仿宋" w:eastAsia="仿宋" w:cs="仿宋"/>
          <w:sz w:val="32"/>
          <w:szCs w:val="32"/>
          <w:highlight w:val="none"/>
          <w:lang w:val="en-US" w:eastAsia="zh-CN"/>
        </w:rPr>
        <w:t>4</w:t>
      </w:r>
      <w:r>
        <w:rPr>
          <w:rFonts w:hint="eastAsia" w:ascii="仿宋" w:hAnsi="仿宋" w:eastAsia="仿宋" w:cs="仿宋"/>
          <w:sz w:val="32"/>
          <w:szCs w:val="32"/>
          <w:highlight w:val="none"/>
        </w:rPr>
        <w:t>卷，整改文书制作、程序瑕疵等问题1</w:t>
      </w:r>
      <w:r>
        <w:rPr>
          <w:rFonts w:hint="eastAsia" w:ascii="仿宋" w:eastAsia="仿宋" w:cs="仿宋"/>
          <w:sz w:val="32"/>
          <w:szCs w:val="32"/>
          <w:highlight w:val="none"/>
          <w:lang w:val="en-US" w:eastAsia="zh-CN"/>
        </w:rPr>
        <w:t>0</w:t>
      </w:r>
      <w:r>
        <w:rPr>
          <w:rFonts w:hint="eastAsia" w:ascii="仿宋" w:hAnsi="仿宋" w:eastAsia="仿宋" w:cs="仿宋"/>
          <w:sz w:val="32"/>
          <w:szCs w:val="32"/>
          <w:highlight w:val="none"/>
        </w:rPr>
        <w:t>处，执法整改跟踪率达100%。落实轻微违法行为依法不予处罚清单，推行柔性执法、说理式执法，落实免罚，减少对企业正常经营活动干扰，持续优化住建领域法治化营商环境。</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（四）深化放管服改革，依法规范行政审批</w:t>
      </w:r>
    </w:p>
    <w:p>
      <w:pPr>
        <w:pStyle w:val="17"/>
        <w:ind w:firstLine="632"/>
        <w:rPr>
          <w:rFonts w:hint="eastAsia" w:ascii="仿宋" w:hAnsi="仿宋" w:eastAsia="仿宋" w:cs="仿宋"/>
          <w:sz w:val="32"/>
          <w:szCs w:val="32"/>
        </w:rPr>
      </w:pPr>
      <w:r>
        <w:rPr>
          <w:rFonts w:hint="eastAsia" w:ascii="仿宋" w:hAnsi="仿宋" w:eastAsia="仿宋" w:cs="仿宋"/>
          <w:sz w:val="32"/>
          <w:szCs w:val="32"/>
        </w:rPr>
        <w:t>落实政务公开要求，依法公开行政处罚、政策文件等信息，保障企业群众知情权、监督权。动态调整行政许可事项清单，工程建设项目审批时限进一步压缩，全面推行“高效办成一件事”改革，实现施工许可、竣工联合验收等事项集成办理。落实政务服务“好差评”制度，全年评价满意率保持在较高水平。规范涉企检查行为，落实“无事不扰”，统筹涉企联合检查，减少重复检查，切实减轻企业负担。</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（五）推进数字法治政府建设，提升智慧监管水平</w:t>
      </w:r>
    </w:p>
    <w:p>
      <w:pPr>
        <w:pStyle w:val="17"/>
        <w:ind w:firstLine="632"/>
        <w:rPr>
          <w:rFonts w:hint="eastAsia" w:ascii="仿宋" w:hAnsi="仿宋" w:eastAsia="仿宋" w:cs="仿宋"/>
          <w:sz w:val="32"/>
          <w:szCs w:val="32"/>
        </w:rPr>
      </w:pPr>
      <w:r>
        <w:rPr>
          <w:rFonts w:hint="eastAsia" w:ascii="仿宋" w:hAnsi="仿宋" w:eastAsia="仿宋" w:cs="仿宋"/>
          <w:sz w:val="32"/>
          <w:szCs w:val="32"/>
        </w:rPr>
        <w:t>落实《纲要》关于“互联网+”监管执法和政务数据共享要求，深化行政执法信息化平台应用，推行执法全过程线上记录和网上流转，实现执法行为可追溯、可监督。</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（六）强化行政权力监督制约，自觉接受各方监督</w:t>
      </w:r>
    </w:p>
    <w:p>
      <w:pPr>
        <w:pStyle w:val="17"/>
        <w:ind w:firstLine="632"/>
        <w:rPr>
          <w:rFonts w:hint="eastAsia" w:ascii="仿宋" w:hAnsi="仿宋" w:eastAsia="仿宋" w:cs="仿宋"/>
          <w:sz w:val="32"/>
          <w:szCs w:val="32"/>
        </w:rPr>
      </w:pPr>
      <w:r>
        <w:rPr>
          <w:rFonts w:hint="eastAsia" w:ascii="仿宋" w:hAnsi="仿宋" w:eastAsia="仿宋" w:cs="仿宋"/>
          <w:sz w:val="32"/>
          <w:szCs w:val="32"/>
        </w:rPr>
        <w:t>自觉接受人大监督、政协民主监督，认真办理人大代表建议和政协委员提案，做到件件有回音、事事有着落。全面落实政务公开各项要求，主动公开行政处罚、财政预算等重点领域信息，依法保障社会公众监督。积极配合审计监督、纪检监察监督，对反馈问题照单全收、立行立改，确保行政权力在阳光下规范运行。</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（七）落实“谁执法谁普法”，开展行业精准普法</w:t>
      </w:r>
    </w:p>
    <w:p>
      <w:pPr>
        <w:pStyle w:val="17"/>
        <w:ind w:firstLine="632"/>
        <w:rPr>
          <w:rFonts w:hint="eastAsia" w:ascii="仿宋" w:hAnsi="仿宋" w:eastAsia="仿宋" w:cs="仿宋"/>
          <w:sz w:val="32"/>
          <w:szCs w:val="32"/>
        </w:rPr>
      </w:pPr>
      <w:r>
        <w:rPr>
          <w:rFonts w:hint="eastAsia" w:ascii="仿宋" w:hAnsi="仿宋" w:eastAsia="仿宋" w:cs="仿宋"/>
          <w:sz w:val="32"/>
          <w:szCs w:val="32"/>
        </w:rPr>
        <w:t>结合安全生产月、法治宣传日、工程现场监管、政务窗口服务等场景开展普法宣传。深入施工工地、住宅小区、房地产企业开展现场普法，发放宣传资料，面向企业、群众宣讲《建筑法》《行政处罚法》《建设工程安全生产管理条例》《物业管理条例》等法律法规。依托政务公众号、小区公告栏等渠道推送住建法治内容</w:t>
      </w:r>
      <w:r>
        <w:rPr>
          <w:rFonts w:hint="eastAsia" w:ascii="仿宋" w:eastAsia="仿宋" w:cs="仿宋"/>
          <w:sz w:val="32"/>
          <w:szCs w:val="32"/>
          <w:lang w:val="en-US" w:eastAsia="zh-CN"/>
        </w:rPr>
        <w:t>25</w:t>
      </w:r>
      <w:r>
        <w:rPr>
          <w:rFonts w:hint="eastAsia" w:ascii="仿宋" w:hAnsi="仿宋" w:eastAsia="仿宋" w:cs="仿宋"/>
          <w:sz w:val="32"/>
          <w:szCs w:val="32"/>
        </w:rPr>
        <w:t>条，创新运用短视频、典型案例解读等新媒体普法载体，引导市场主体守法经营、群众依法维权。</w:t>
      </w:r>
    </w:p>
    <w:p>
      <w:pPr>
        <w:pStyle w:val="21"/>
        <w:ind w:firstLine="674"/>
        <w:rPr>
          <w:rFonts w:hint="eastAsia" w:ascii="楷体" w:hAnsi="楷体" w:eastAsia="楷体" w:cs="楷体"/>
          <w:b w:val="0"/>
          <w:bCs/>
          <w:sz w:val="32"/>
          <w:szCs w:val="32"/>
        </w:rPr>
      </w:pPr>
      <w:r>
        <w:rPr>
          <w:rFonts w:hint="eastAsia" w:ascii="楷体" w:hAnsi="楷体" w:eastAsia="楷体" w:cs="楷体"/>
          <w:b w:val="0"/>
          <w:bCs/>
          <w:sz w:val="32"/>
          <w:szCs w:val="32"/>
        </w:rPr>
        <w:t>（八）依法化解矛盾纠纷，做好行政复议应诉工作</w:t>
      </w:r>
    </w:p>
    <w:p>
      <w:pPr>
        <w:pStyle w:val="17"/>
        <w:ind w:firstLine="632"/>
        <w:rPr>
          <w:rFonts w:hint="eastAsia" w:ascii="仿宋" w:hAnsi="仿宋" w:eastAsia="仿宋" w:cs="仿宋"/>
          <w:sz w:val="32"/>
          <w:szCs w:val="32"/>
        </w:rPr>
      </w:pPr>
      <w:r>
        <w:rPr>
          <w:rFonts w:hint="eastAsia" w:ascii="仿宋" w:hAnsi="仿宋" w:eastAsia="仿宋" w:cs="仿宋"/>
          <w:sz w:val="32"/>
          <w:szCs w:val="32"/>
        </w:rPr>
        <w:t>畅通12345政务服务热线、信访投诉渠道，全年受理住建领域信访</w:t>
      </w:r>
      <w:r>
        <w:rPr>
          <w:rFonts w:hint="eastAsia" w:ascii="仿宋" w:eastAsia="仿宋" w:cs="仿宋"/>
          <w:sz w:val="32"/>
          <w:szCs w:val="32"/>
          <w:lang w:val="en-US" w:eastAsia="zh-CN"/>
        </w:rPr>
        <w:t>224件</w:t>
      </w:r>
      <w:r>
        <w:rPr>
          <w:rFonts w:hint="eastAsia" w:ascii="仿宋" w:hAnsi="仿宋" w:eastAsia="仿宋" w:cs="仿宋"/>
          <w:sz w:val="32"/>
          <w:szCs w:val="32"/>
          <w:highlight w:val="none"/>
        </w:rPr>
        <w:t>、12345热线工单</w:t>
      </w:r>
      <w:r>
        <w:rPr>
          <w:rFonts w:hint="eastAsia" w:ascii="仿宋" w:eastAsia="仿宋" w:cs="仿宋"/>
          <w:sz w:val="32"/>
          <w:szCs w:val="32"/>
          <w:highlight w:val="none"/>
          <w:lang w:val="en-US" w:eastAsia="zh-CN"/>
        </w:rPr>
        <w:t>3130</w:t>
      </w:r>
      <w:r>
        <w:rPr>
          <w:rFonts w:hint="eastAsia" w:ascii="仿宋" w:hAnsi="仿宋" w:eastAsia="仿宋" w:cs="仿宋"/>
          <w:sz w:val="32"/>
          <w:szCs w:val="32"/>
          <w:highlight w:val="none"/>
        </w:rPr>
        <w:t>件，按期</w:t>
      </w:r>
      <w:r>
        <w:rPr>
          <w:rFonts w:hint="eastAsia" w:ascii="仿宋" w:hAnsi="仿宋" w:eastAsia="仿宋" w:cs="仿宋"/>
          <w:sz w:val="32"/>
          <w:szCs w:val="32"/>
        </w:rPr>
        <w:t>答复办结率100%，重点处置房屋质量、物业纠纷、工程款欠薪、小区配套等民生诉求。本年度收到行政复议申请0件，行政诉讼案件</w:t>
      </w:r>
      <w:r>
        <w:rPr>
          <w:rFonts w:hint="eastAsia" w:ascii="仿宋" w:eastAsia="仿宋" w:cs="仿宋"/>
          <w:sz w:val="32"/>
          <w:szCs w:val="32"/>
          <w:lang w:val="en-US" w:eastAsia="zh-CN"/>
        </w:rPr>
        <w:t>0</w:t>
      </w:r>
      <w:r>
        <w:rPr>
          <w:rFonts w:hint="eastAsia" w:ascii="仿宋" w:hAnsi="仿宋" w:eastAsia="仿宋" w:cs="仿宋"/>
          <w:sz w:val="32"/>
          <w:szCs w:val="32"/>
        </w:rPr>
        <w:t>件，均严格落实答辩举证、负责人出庭应诉制度，依法答辩应诉，无重大行政败诉案件。建立矛盾纠纷前置排查机制，提前排查行业风险隐患，矛盾纠纷调解成功率达100%，有效减少重复信访。</w:t>
      </w:r>
    </w:p>
    <w:p>
      <w:pPr>
        <w:pStyle w:val="19"/>
        <w:ind w:firstLine="715"/>
        <w:rPr>
          <w:rFonts w:hint="eastAsia" w:ascii="黑体" w:hAnsi="黑体" w:eastAsia="黑体" w:cs="黑体"/>
          <w:b w:val="0"/>
          <w:bCs w:val="0"/>
          <w:sz w:val="32"/>
          <w:szCs w:val="32"/>
        </w:rPr>
      </w:pPr>
      <w:r>
        <w:rPr>
          <w:rFonts w:hint="eastAsia" w:ascii="黑体" w:hAnsi="黑体" w:eastAsia="黑体" w:cs="黑体"/>
          <w:b w:val="0"/>
          <w:bCs w:val="0"/>
          <w:sz w:val="32"/>
          <w:szCs w:val="32"/>
        </w:rPr>
        <w:t>二、存在的不足及原因分析</w:t>
      </w:r>
    </w:p>
    <w:p>
      <w:pPr>
        <w:pStyle w:val="17"/>
        <w:ind w:firstLine="632"/>
        <w:rPr>
          <w:rFonts w:hint="eastAsia" w:ascii="仿宋" w:hAnsi="仿宋" w:eastAsia="仿宋" w:cs="仿宋"/>
          <w:sz w:val="32"/>
          <w:szCs w:val="32"/>
        </w:rPr>
      </w:pPr>
      <w:r>
        <w:rPr>
          <w:rFonts w:hint="eastAsia" w:ascii="仿宋" w:hAnsi="仿宋" w:eastAsia="仿宋" w:cs="仿宋"/>
          <w:sz w:val="32"/>
          <w:szCs w:val="32"/>
        </w:rPr>
        <w:t>一是法治专业力量薄弱。专职法治工作人员不足，基层执法人员面对新型、复杂住建案件时法律研判能力有待提升，法治业务培训的深度和针对性还需加强。</w:t>
      </w:r>
    </w:p>
    <w:p>
      <w:pPr>
        <w:pStyle w:val="17"/>
        <w:ind w:firstLine="632"/>
        <w:rPr>
          <w:rFonts w:hint="eastAsia" w:ascii="仿宋" w:hAnsi="仿宋" w:eastAsia="仿宋" w:cs="仿宋"/>
          <w:sz w:val="32"/>
          <w:szCs w:val="32"/>
        </w:rPr>
      </w:pPr>
      <w:r>
        <w:rPr>
          <w:rFonts w:hint="eastAsia" w:ascii="仿宋" w:hAnsi="仿宋" w:eastAsia="仿宋" w:cs="仿宋"/>
          <w:sz w:val="32"/>
          <w:szCs w:val="32"/>
        </w:rPr>
        <w:t>二是行政执法精细化水平有待提高。部分现场监管仍存在重整改、轻普法现象，柔性执法、事前指导的运用还不够充分，自由裁量标准运用精细化程度不足。</w:t>
      </w:r>
    </w:p>
    <w:p>
      <w:pPr>
        <w:pStyle w:val="17"/>
        <w:ind w:firstLine="632"/>
        <w:rPr>
          <w:rFonts w:hint="eastAsia" w:ascii="仿宋" w:hAnsi="仿宋" w:eastAsia="仿宋" w:cs="仿宋"/>
          <w:sz w:val="32"/>
          <w:szCs w:val="32"/>
        </w:rPr>
      </w:pPr>
      <w:r>
        <w:rPr>
          <w:rFonts w:hint="eastAsia" w:ascii="仿宋" w:hAnsi="仿宋" w:eastAsia="仿宋" w:cs="仿宋"/>
          <w:sz w:val="32"/>
          <w:szCs w:val="32"/>
        </w:rPr>
        <w:t>三是普法宣传创新性不足。普法形式虽有所丰富，但新媒体普法运用仍不够充分，针对施工企业、小区居民的精准普法载体不多，普法成效有待进一步提升。</w:t>
      </w:r>
    </w:p>
    <w:p>
      <w:pPr>
        <w:pStyle w:val="17"/>
        <w:ind w:firstLine="632"/>
        <w:rPr>
          <w:rFonts w:hint="eastAsia" w:ascii="仿宋" w:hAnsi="仿宋" w:eastAsia="仿宋" w:cs="仿宋"/>
          <w:sz w:val="32"/>
          <w:szCs w:val="32"/>
        </w:rPr>
      </w:pPr>
      <w:r>
        <w:rPr>
          <w:rFonts w:hint="eastAsia" w:ascii="仿宋" w:hAnsi="仿宋" w:eastAsia="仿宋" w:cs="仿宋"/>
          <w:sz w:val="32"/>
          <w:szCs w:val="32"/>
        </w:rPr>
        <w:t>四是制度落地闭环管理有待强化。部分法治相关制度偏宏观，配套细化实操举措不足，合法性审查意见采纳率、执法整改跟踪率等量化指标尚未系统建立，制度执行的跟踪督查、闭环落实机制仍需完善，法治政府建设考核结果运用还不够充分。</w:t>
      </w:r>
    </w:p>
    <w:p>
      <w:pPr>
        <w:pStyle w:val="19"/>
        <w:ind w:firstLine="715"/>
        <w:rPr>
          <w:rFonts w:hint="eastAsia" w:ascii="黑体" w:hAnsi="黑体" w:eastAsia="黑体" w:cs="黑体"/>
          <w:b w:val="0"/>
          <w:bCs w:val="0"/>
          <w:sz w:val="32"/>
          <w:szCs w:val="32"/>
        </w:rPr>
      </w:pPr>
      <w:r>
        <w:rPr>
          <w:rFonts w:hint="eastAsia" w:ascii="黑体" w:hAnsi="黑体" w:eastAsia="黑体" w:cs="黑体"/>
          <w:b w:val="0"/>
          <w:bCs w:val="0"/>
          <w:sz w:val="32"/>
          <w:szCs w:val="32"/>
        </w:rPr>
        <w:t>三、党政主要负责人履行推进法治建设第一责任人职责情况</w:t>
      </w:r>
    </w:p>
    <w:p>
      <w:pPr>
        <w:pStyle w:val="17"/>
        <w:ind w:firstLine="632"/>
        <w:rPr>
          <w:rFonts w:hint="eastAsia" w:ascii="仿宋" w:hAnsi="仿宋" w:eastAsia="仿宋" w:cs="仿宋"/>
          <w:sz w:val="32"/>
          <w:szCs w:val="32"/>
        </w:rPr>
      </w:pPr>
      <w:r>
        <w:rPr>
          <w:rFonts w:hint="eastAsia" w:ascii="仿宋" w:hAnsi="仿宋" w:eastAsia="仿宋" w:cs="仿宋"/>
          <w:sz w:val="32"/>
          <w:szCs w:val="32"/>
        </w:rPr>
        <w:t>局主要负责人切实履行法治建设第一责任人职责，带头学习贯彻习近平法治思想，带头依法决策、依法行政。主持研究部署年度法治政府建设工作，定期听取行政执法、复议应诉、矛盾化解工作汇报，研究解决法治建设难点问题。带头落实中心组学法、出庭应诉制度，督促班子成员落实“一岗双责”，把法治建设成效纳入股室和干部年度考核。定期组织开展法治风险研判，督促落实行政执法、合法性审查等各项法定程序，推动全局依法行政水平稳步提升。</w:t>
      </w:r>
    </w:p>
    <w:p>
      <w:pPr>
        <w:pStyle w:val="19"/>
        <w:ind w:firstLine="715"/>
        <w:rPr>
          <w:rFonts w:hint="eastAsia" w:ascii="黑体" w:hAnsi="黑体" w:eastAsia="黑体" w:cs="黑体"/>
          <w:b w:val="0"/>
          <w:bCs w:val="0"/>
          <w:sz w:val="32"/>
          <w:szCs w:val="32"/>
        </w:rPr>
      </w:pPr>
      <w:r>
        <w:rPr>
          <w:rFonts w:hint="eastAsia" w:ascii="黑体" w:hAnsi="黑体" w:eastAsia="黑体" w:cs="黑体"/>
          <w:b w:val="0"/>
          <w:bCs w:val="0"/>
          <w:sz w:val="32"/>
          <w:szCs w:val="32"/>
        </w:rPr>
        <w:t>四、2026年度推进法治政府建设主要安排</w:t>
      </w:r>
    </w:p>
    <w:p>
      <w:pPr>
        <w:pStyle w:val="17"/>
        <w:ind w:firstLine="632"/>
        <w:rPr>
          <w:rFonts w:hint="eastAsia" w:ascii="仿宋" w:hAnsi="仿宋" w:eastAsia="仿宋" w:cs="仿宋"/>
          <w:sz w:val="32"/>
          <w:szCs w:val="32"/>
        </w:rPr>
      </w:pPr>
      <w:r>
        <w:rPr>
          <w:rFonts w:hint="eastAsia" w:ascii="仿宋" w:hAnsi="仿宋" w:eastAsia="仿宋" w:cs="仿宋"/>
          <w:sz w:val="32"/>
          <w:szCs w:val="32"/>
        </w:rPr>
        <w:t>1. 持续压实法治建设责任。坚持党政主要负责人第一责任人职责，将法治建设与住建中心工作深度融合，细化年度法治任务清单，强化督导考核和考核结果运用，推动各项制度落地执行，积极争创法治政府建设示范项目。</w:t>
      </w:r>
    </w:p>
    <w:p>
      <w:pPr>
        <w:pStyle w:val="17"/>
        <w:ind w:firstLine="632"/>
        <w:rPr>
          <w:rFonts w:hint="eastAsia" w:ascii="仿宋" w:hAnsi="仿宋" w:eastAsia="仿宋" w:cs="仿宋"/>
          <w:sz w:val="32"/>
          <w:szCs w:val="32"/>
        </w:rPr>
      </w:pPr>
      <w:r>
        <w:rPr>
          <w:rFonts w:hint="eastAsia" w:ascii="仿宋" w:hAnsi="仿宋" w:eastAsia="仿宋" w:cs="仿宋"/>
          <w:sz w:val="32"/>
          <w:szCs w:val="32"/>
        </w:rPr>
        <w:t>2. 强化法治队伍能力建设。常态化开展法律法规、执法实务、案卷规范、行政复议应诉专题培训，用好法律顾问专业支撑，提升审批、执法、信访工作人员依法履职能力。</w:t>
      </w:r>
    </w:p>
    <w:p>
      <w:pPr>
        <w:pStyle w:val="17"/>
        <w:ind w:firstLine="632"/>
        <w:rPr>
          <w:rFonts w:hint="eastAsia" w:ascii="仿宋" w:hAnsi="仿宋" w:eastAsia="仿宋" w:cs="仿宋"/>
          <w:sz w:val="32"/>
          <w:szCs w:val="32"/>
        </w:rPr>
      </w:pPr>
      <w:r>
        <w:rPr>
          <w:rFonts w:hint="eastAsia" w:ascii="仿宋" w:hAnsi="仿宋" w:eastAsia="仿宋" w:cs="仿宋"/>
          <w:sz w:val="32"/>
          <w:szCs w:val="32"/>
        </w:rPr>
        <w:t>3. 持续规范行政执法行为。严格落实行政执法三项制度，常态化开展案卷评查，细化行政自由裁量基准，全面推行柔性执法、审慎监管，持续优化法治化营商环境。</w:t>
      </w:r>
    </w:p>
    <w:p>
      <w:pPr>
        <w:pStyle w:val="17"/>
        <w:ind w:firstLine="632"/>
        <w:rPr>
          <w:rFonts w:hint="eastAsia" w:ascii="仿宋" w:hAnsi="仿宋" w:eastAsia="仿宋" w:cs="仿宋"/>
          <w:sz w:val="32"/>
          <w:szCs w:val="32"/>
        </w:rPr>
      </w:pPr>
      <w:r>
        <w:rPr>
          <w:rFonts w:hint="eastAsia" w:ascii="仿宋" w:hAnsi="仿宋" w:eastAsia="仿宋" w:cs="仿宋"/>
          <w:sz w:val="32"/>
          <w:szCs w:val="32"/>
        </w:rPr>
        <w:t>4. 推进数字法治政府建设。深化“互联网+”监管执法，扩大电子证照、电子印章和执法信息化平台应用，推进政务服务“一网通办”，以数字化赋能法治政府建设。</w:t>
      </w:r>
    </w:p>
    <w:p>
      <w:pPr>
        <w:pStyle w:val="17"/>
        <w:ind w:firstLine="632"/>
        <w:rPr>
          <w:rFonts w:hint="eastAsia" w:ascii="仿宋" w:hAnsi="仿宋" w:eastAsia="仿宋" w:cs="仿宋"/>
          <w:sz w:val="32"/>
          <w:szCs w:val="32"/>
        </w:rPr>
      </w:pPr>
      <w:r>
        <w:rPr>
          <w:rFonts w:hint="eastAsia" w:ascii="仿宋" w:hAnsi="仿宋" w:eastAsia="仿宋" w:cs="仿宋"/>
          <w:sz w:val="32"/>
          <w:szCs w:val="32"/>
        </w:rPr>
        <w:t>5. 创新普法宣传方式。丰富普法载体，结合工程监管、老旧小区改造、物业纠纷调处开展精准普法，提升市场主体、群众法治意识。</w:t>
      </w:r>
    </w:p>
    <w:p>
      <w:pPr>
        <w:pStyle w:val="17"/>
        <w:ind w:firstLine="632"/>
        <w:rPr>
          <w:rFonts w:hint="eastAsia" w:ascii="仿宋" w:hAnsi="仿宋" w:eastAsia="仿宋" w:cs="仿宋"/>
          <w:sz w:val="32"/>
          <w:szCs w:val="32"/>
        </w:rPr>
      </w:pPr>
      <w:r>
        <w:rPr>
          <w:rFonts w:hint="eastAsia" w:ascii="仿宋" w:hAnsi="仿宋" w:eastAsia="仿宋" w:cs="仿宋"/>
          <w:sz w:val="32"/>
          <w:szCs w:val="32"/>
        </w:rPr>
        <w:t>6. 健全风险防控与矛盾化解机制。完善重大决策风险评估、合法性审查流程，持续排查住建领域工程安全、房屋质量、物业、欠薪等领域法律风险，健全矛盾纠纷多元化解机制，规范行政复议、行政诉讼应诉工作，守住住建领域法治底线。</w:t>
      </w:r>
    </w:p>
    <w:p>
      <w:pPr>
        <w:pStyle w:val="19"/>
        <w:ind w:firstLine="715"/>
        <w:rPr>
          <w:rFonts w:hint="eastAsia" w:ascii="黑体" w:hAnsi="黑体" w:eastAsia="黑体" w:cs="黑体"/>
          <w:b w:val="0"/>
          <w:bCs w:val="0"/>
          <w:sz w:val="32"/>
          <w:szCs w:val="32"/>
        </w:rPr>
      </w:pPr>
      <w:r>
        <w:rPr>
          <w:rFonts w:hint="eastAsia" w:ascii="黑体" w:hAnsi="黑体" w:eastAsia="黑体" w:cs="黑体"/>
          <w:b w:val="0"/>
          <w:bCs w:val="0"/>
          <w:sz w:val="32"/>
          <w:szCs w:val="32"/>
        </w:rPr>
        <w:t>五、其他需要报告的情况</w:t>
      </w:r>
    </w:p>
    <w:p>
      <w:pPr>
        <w:pStyle w:val="17"/>
        <w:ind w:firstLine="632"/>
        <w:rPr>
          <w:rFonts w:hint="eastAsia" w:ascii="仿宋" w:hAnsi="仿宋" w:eastAsia="仿宋" w:cs="仿宋"/>
          <w:sz w:val="32"/>
          <w:szCs w:val="32"/>
        </w:rPr>
      </w:pPr>
      <w:r>
        <w:rPr>
          <w:rFonts w:hint="eastAsia" w:ascii="仿宋" w:hAnsi="仿宋" w:eastAsia="仿宋" w:cs="仿宋"/>
          <w:sz w:val="32"/>
          <w:szCs w:val="32"/>
        </w:rPr>
        <w:t>本年度无重大违法行政事件、重大群体性涉法事件，无涉及党和国家秘密不宜公开的内容。</w:t>
      </w:r>
    </w:p>
    <w:p>
      <w:pPr>
        <w:pStyle w:val="17"/>
        <w:ind w:firstLine="632"/>
        <w:rPr>
          <w:rFonts w:hint="eastAsia" w:ascii="仿宋" w:hAnsi="仿宋" w:eastAsia="仿宋" w:cs="仿宋"/>
          <w:sz w:val="32"/>
          <w:szCs w:val="32"/>
        </w:rPr>
      </w:pPr>
    </w:p>
    <w:p>
      <w:pPr>
        <w:pStyle w:val="17"/>
        <w:ind w:firstLine="632"/>
        <w:rPr>
          <w:rFonts w:hint="eastAsia" w:ascii="仿宋" w:hAnsi="仿宋" w:eastAsia="仿宋" w:cs="仿宋"/>
          <w:sz w:val="32"/>
          <w:szCs w:val="32"/>
        </w:rPr>
      </w:pPr>
    </w:p>
    <w:p>
      <w:pPr>
        <w:pStyle w:val="17"/>
        <w:ind w:firstLine="632"/>
        <w:rPr>
          <w:rFonts w:hint="eastAsia" w:ascii="仿宋" w:hAnsi="仿宋" w:eastAsia="仿宋" w:cs="仿宋"/>
          <w:sz w:val="32"/>
          <w:szCs w:val="32"/>
        </w:rPr>
      </w:pPr>
    </w:p>
    <w:p>
      <w:pPr>
        <w:pStyle w:val="17"/>
        <w:ind w:leftChars="100" w:firstLine="632"/>
        <w:jc w:val="right"/>
        <w:rPr>
          <w:rFonts w:hint="eastAsia" w:ascii="仿宋" w:hAnsi="仿宋" w:eastAsia="仿宋" w:cs="仿宋"/>
          <w:sz w:val="32"/>
          <w:szCs w:val="32"/>
        </w:rPr>
      </w:pPr>
      <w:r>
        <w:rPr>
          <w:rFonts w:hint="eastAsia" w:ascii="仿宋" w:hAnsi="仿宋" w:eastAsia="仿宋" w:cs="仿宋"/>
          <w:sz w:val="32"/>
          <w:szCs w:val="32"/>
        </w:rPr>
        <w:t>住房和城乡建设局</w:t>
      </w:r>
    </w:p>
    <w:p>
      <w:pPr>
        <w:pStyle w:val="17"/>
        <w:ind w:leftChars="100" w:firstLine="632"/>
        <w:jc w:val="right"/>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eastAsia="仿宋" w:cs="仿宋"/>
          <w:sz w:val="32"/>
          <w:szCs w:val="32"/>
          <w:lang w:val="en-US" w:eastAsia="zh-CN"/>
        </w:rPr>
        <w:t>5</w:t>
      </w:r>
      <w:r>
        <w:rPr>
          <w:rFonts w:hint="eastAsia" w:ascii="仿宋" w:hAnsi="仿宋" w:eastAsia="仿宋" w:cs="仿宋"/>
          <w:sz w:val="32"/>
          <w:szCs w:val="32"/>
        </w:rPr>
        <w:t>年</w:t>
      </w:r>
      <w:r>
        <w:rPr>
          <w:rFonts w:hint="eastAsia" w:ascii="仿宋" w:eastAsia="仿宋" w:cs="仿宋"/>
          <w:sz w:val="32"/>
          <w:szCs w:val="32"/>
          <w:lang w:val="en-US" w:eastAsia="zh-CN"/>
        </w:rPr>
        <w:t>12</w:t>
      </w:r>
      <w:r>
        <w:rPr>
          <w:rFonts w:hint="eastAsia" w:ascii="仿宋" w:hAnsi="仿宋" w:eastAsia="仿宋" w:cs="仿宋"/>
          <w:sz w:val="32"/>
          <w:szCs w:val="32"/>
        </w:rPr>
        <w:t>月</w:t>
      </w:r>
      <w:r>
        <w:rPr>
          <w:rFonts w:hint="eastAsia" w:ascii="仿宋" w:eastAsia="仿宋" w:cs="仿宋"/>
          <w:sz w:val="32"/>
          <w:szCs w:val="32"/>
          <w:lang w:val="en-US" w:eastAsia="zh-CN"/>
        </w:rPr>
        <w:t>25</w:t>
      </w:r>
      <w:r>
        <w:rPr>
          <w:rFonts w:hint="eastAsia" w:ascii="仿宋" w:hAnsi="仿宋" w:eastAsia="仿宋" w:cs="仿宋"/>
          <w:sz w:val="32"/>
          <w:szCs w:val="32"/>
        </w:rPr>
        <w:t>日</w:t>
      </w:r>
    </w:p>
    <w:sectPr>
      <w:footerReference r:id="rId3" w:type="default"/>
      <w:footerReference r:id="rId4" w:type="even"/>
      <w:pgSz w:w="11906" w:h="16838"/>
      <w:pgMar w:top="1440" w:right="1797" w:bottom="1440" w:left="1797" w:header="851" w:footer="851" w:gutter="0"/>
      <w:pgNumType w:fmt="numberInDash"/>
      <w:cols w:space="0" w:num="1"/>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67540114"/>
      <w:docPartObj>
        <w:docPartGallery w:val="autotext"/>
      </w:docPartObj>
    </w:sdtPr>
    <w:sdtEndPr>
      <w:rPr>
        <w:rFonts w:asciiTheme="minorEastAsia" w:hAnsiTheme="minorEastAsia" w:eastAsiaTheme="minorEastAsia"/>
        <w:sz w:val="28"/>
        <w:szCs w:val="28"/>
      </w:rPr>
    </w:sdtEndPr>
    <w:sdtContent>
      <w:p>
        <w:pPr>
          <w:pStyle w:val="5"/>
          <w:jc w:val="center"/>
          <w:rPr>
            <w:rFonts w:asciiTheme="minorEastAsia" w:hAnsiTheme="minorEastAsia" w:eastAsiaTheme="minorEastAsia"/>
            <w:sz w:val="28"/>
            <w:szCs w:val="28"/>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asciiTheme="minorEastAsia" w:hAnsiTheme="minorEastAsia" w:eastAsiaTheme="minorEastAsia"/>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420"/>
  <w:evenAndOddHeaders w:val="1"/>
  <w:drawingGridHorizontalSpacing w:val="158"/>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Y3ZGJhNDk4ZDBlZTM5YmEzYjQ2ZTdlMjEyODI2NzYifQ=="/>
  </w:docVars>
  <w:rsids>
    <w:rsidRoot w:val="1B775F20"/>
    <w:rsid w:val="0002766D"/>
    <w:rsid w:val="00060045"/>
    <w:rsid w:val="00061396"/>
    <w:rsid w:val="00064F23"/>
    <w:rsid w:val="000C32D4"/>
    <w:rsid w:val="000F01D9"/>
    <w:rsid w:val="00102960"/>
    <w:rsid w:val="001041C9"/>
    <w:rsid w:val="001516C1"/>
    <w:rsid w:val="00175C21"/>
    <w:rsid w:val="001A6392"/>
    <w:rsid w:val="001B209D"/>
    <w:rsid w:val="001C0ACD"/>
    <w:rsid w:val="001D0EBB"/>
    <w:rsid w:val="001D43B9"/>
    <w:rsid w:val="001D62AC"/>
    <w:rsid w:val="00210BA7"/>
    <w:rsid w:val="0021695C"/>
    <w:rsid w:val="00243723"/>
    <w:rsid w:val="002657DA"/>
    <w:rsid w:val="002B6057"/>
    <w:rsid w:val="002D2611"/>
    <w:rsid w:val="0033075C"/>
    <w:rsid w:val="00340777"/>
    <w:rsid w:val="00351F34"/>
    <w:rsid w:val="003527FB"/>
    <w:rsid w:val="00364FE7"/>
    <w:rsid w:val="003835CD"/>
    <w:rsid w:val="003852B3"/>
    <w:rsid w:val="003856E5"/>
    <w:rsid w:val="00390943"/>
    <w:rsid w:val="003B63BE"/>
    <w:rsid w:val="003D6ACE"/>
    <w:rsid w:val="00405224"/>
    <w:rsid w:val="004179D6"/>
    <w:rsid w:val="00422DB6"/>
    <w:rsid w:val="00442561"/>
    <w:rsid w:val="00465271"/>
    <w:rsid w:val="004824C5"/>
    <w:rsid w:val="00494E37"/>
    <w:rsid w:val="004C353E"/>
    <w:rsid w:val="004D5BB7"/>
    <w:rsid w:val="00522E6F"/>
    <w:rsid w:val="005352FF"/>
    <w:rsid w:val="005359DD"/>
    <w:rsid w:val="00540C38"/>
    <w:rsid w:val="00603C53"/>
    <w:rsid w:val="00654E45"/>
    <w:rsid w:val="00670CD0"/>
    <w:rsid w:val="006940C3"/>
    <w:rsid w:val="006D2E7D"/>
    <w:rsid w:val="00764FCD"/>
    <w:rsid w:val="00863CD4"/>
    <w:rsid w:val="008655E7"/>
    <w:rsid w:val="00866A12"/>
    <w:rsid w:val="00866C78"/>
    <w:rsid w:val="008670FE"/>
    <w:rsid w:val="00872A6B"/>
    <w:rsid w:val="00875604"/>
    <w:rsid w:val="00880DFB"/>
    <w:rsid w:val="008B4B4F"/>
    <w:rsid w:val="008E21E5"/>
    <w:rsid w:val="0091793F"/>
    <w:rsid w:val="00922756"/>
    <w:rsid w:val="00952DF5"/>
    <w:rsid w:val="009F30FE"/>
    <w:rsid w:val="00A05202"/>
    <w:rsid w:val="00A1594F"/>
    <w:rsid w:val="00A7203A"/>
    <w:rsid w:val="00A928FD"/>
    <w:rsid w:val="00AA1964"/>
    <w:rsid w:val="00AA3106"/>
    <w:rsid w:val="00AE3F46"/>
    <w:rsid w:val="00B07B6A"/>
    <w:rsid w:val="00B105EB"/>
    <w:rsid w:val="00B15E4F"/>
    <w:rsid w:val="00BC1214"/>
    <w:rsid w:val="00C363B5"/>
    <w:rsid w:val="00C44748"/>
    <w:rsid w:val="00C67797"/>
    <w:rsid w:val="00CD06AA"/>
    <w:rsid w:val="00CD2B94"/>
    <w:rsid w:val="00CF0227"/>
    <w:rsid w:val="00D115ED"/>
    <w:rsid w:val="00D36B00"/>
    <w:rsid w:val="00D36C62"/>
    <w:rsid w:val="00D622DF"/>
    <w:rsid w:val="00D663BA"/>
    <w:rsid w:val="00D66EAB"/>
    <w:rsid w:val="00D733AC"/>
    <w:rsid w:val="00D93F16"/>
    <w:rsid w:val="00DD418C"/>
    <w:rsid w:val="00E06011"/>
    <w:rsid w:val="00E7734F"/>
    <w:rsid w:val="00EC6527"/>
    <w:rsid w:val="00F1298D"/>
    <w:rsid w:val="00F432CD"/>
    <w:rsid w:val="00F605D6"/>
    <w:rsid w:val="00F722BC"/>
    <w:rsid w:val="00FF155F"/>
    <w:rsid w:val="02485799"/>
    <w:rsid w:val="0FFC491F"/>
    <w:rsid w:val="10486B3A"/>
    <w:rsid w:val="10F66E80"/>
    <w:rsid w:val="12C37440"/>
    <w:rsid w:val="145F7B77"/>
    <w:rsid w:val="18B9432C"/>
    <w:rsid w:val="1A0502D4"/>
    <w:rsid w:val="1A5D2B06"/>
    <w:rsid w:val="1A66620C"/>
    <w:rsid w:val="1B775F20"/>
    <w:rsid w:val="1C072D4A"/>
    <w:rsid w:val="21735EE7"/>
    <w:rsid w:val="23B9774F"/>
    <w:rsid w:val="23CD7FCE"/>
    <w:rsid w:val="26CA2945"/>
    <w:rsid w:val="2E9D754B"/>
    <w:rsid w:val="30F82932"/>
    <w:rsid w:val="311566B0"/>
    <w:rsid w:val="312D2BB8"/>
    <w:rsid w:val="32E96F20"/>
    <w:rsid w:val="34456605"/>
    <w:rsid w:val="374E46CA"/>
    <w:rsid w:val="3EE312A1"/>
    <w:rsid w:val="3F875AA9"/>
    <w:rsid w:val="405D47DE"/>
    <w:rsid w:val="40CD6594"/>
    <w:rsid w:val="424D098D"/>
    <w:rsid w:val="442F0A39"/>
    <w:rsid w:val="460F013E"/>
    <w:rsid w:val="46AD2CFB"/>
    <w:rsid w:val="46C273F2"/>
    <w:rsid w:val="47A41272"/>
    <w:rsid w:val="481F7439"/>
    <w:rsid w:val="4BDD3B7D"/>
    <w:rsid w:val="545103D5"/>
    <w:rsid w:val="624C1682"/>
    <w:rsid w:val="62E3714B"/>
    <w:rsid w:val="652275A8"/>
    <w:rsid w:val="65CF2147"/>
    <w:rsid w:val="66D91590"/>
    <w:rsid w:val="69630654"/>
    <w:rsid w:val="6CFC7DE6"/>
    <w:rsid w:val="6E691D57"/>
    <w:rsid w:val="75907424"/>
    <w:rsid w:val="76984FF7"/>
    <w:rsid w:val="773277E7"/>
    <w:rsid w:val="78F46014"/>
    <w:rsid w:val="7C633E0F"/>
    <w:rsid w:val="7E3E03B8"/>
    <w:rsid w:val="7EFF1436"/>
    <w:rsid w:val="7F575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theme="minorBidi"/>
      <w:kern w:val="2"/>
      <w:sz w:val="32"/>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29"/>
    <w:qFormat/>
    <w:uiPriority w:val="99"/>
    <w:pPr>
      <w:jc w:val="left"/>
    </w:pPr>
  </w:style>
  <w:style w:type="paragraph" w:styleId="3">
    <w:name w:val="Salutation"/>
    <w:basedOn w:val="1"/>
    <w:next w:val="1"/>
    <w:link w:val="42"/>
    <w:qFormat/>
    <w:uiPriority w:val="0"/>
    <w:rPr>
      <w:rFonts w:ascii="仿宋" w:hAnsi="仿宋" w:eastAsia="仿宋" w:cs="仿宋"/>
      <w:sz w:val="28"/>
      <w:szCs w:val="32"/>
    </w:rPr>
  </w:style>
  <w:style w:type="paragraph" w:styleId="4">
    <w:name w:val="Closing"/>
    <w:basedOn w:val="1"/>
    <w:link w:val="43"/>
    <w:qFormat/>
    <w:uiPriority w:val="0"/>
    <w:pPr>
      <w:ind w:left="100" w:leftChars="2100"/>
    </w:pPr>
    <w:rPr>
      <w:rFonts w:ascii="仿宋" w:hAnsi="仿宋" w:eastAsia="仿宋" w:cs="仿宋"/>
      <w:sz w:val="28"/>
      <w:szCs w:val="32"/>
    </w:rPr>
  </w:style>
  <w:style w:type="paragraph" w:styleId="5">
    <w:name w:val="footer"/>
    <w:basedOn w:val="1"/>
    <w:link w:val="38"/>
    <w:qFormat/>
    <w:uiPriority w:val="99"/>
    <w:pPr>
      <w:tabs>
        <w:tab w:val="center" w:pos="4153"/>
        <w:tab w:val="right" w:pos="8306"/>
      </w:tabs>
      <w:snapToGrid w:val="0"/>
      <w:jc w:val="left"/>
    </w:pPr>
    <w:rPr>
      <w:sz w:val="18"/>
      <w:szCs w:val="18"/>
    </w:rPr>
  </w:style>
  <w:style w:type="paragraph" w:styleId="6">
    <w:name w:val="header"/>
    <w:basedOn w:val="1"/>
    <w:link w:val="37"/>
    <w:qFormat/>
    <w:uiPriority w:val="0"/>
    <w:pPr>
      <w:pBdr>
        <w:bottom w:val="single" w:color="auto" w:sz="6" w:space="1"/>
      </w:pBdr>
      <w:tabs>
        <w:tab w:val="center" w:pos="4153"/>
        <w:tab w:val="right" w:pos="8306"/>
      </w:tabs>
      <w:snapToGrid w:val="0"/>
      <w:jc w:val="center"/>
    </w:pPr>
    <w:rPr>
      <w:sz w:val="18"/>
      <w:szCs w:val="18"/>
    </w:rPr>
  </w:style>
  <w:style w:type="paragraph" w:styleId="7">
    <w:name w:val="Subtitle"/>
    <w:basedOn w:val="1"/>
    <w:next w:val="1"/>
    <w:link w:val="39"/>
    <w:qFormat/>
    <w:uiPriority w:val="0"/>
    <w:pPr>
      <w:spacing w:before="240" w:after="60" w:line="312" w:lineRule="auto"/>
      <w:jc w:val="center"/>
      <w:outlineLvl w:val="1"/>
    </w:pPr>
    <w:rPr>
      <w:rFonts w:eastAsiaTheme="minorEastAsia"/>
      <w:b/>
      <w:bCs/>
      <w:kern w:val="28"/>
      <w:szCs w:val="32"/>
    </w:rPr>
  </w:style>
  <w:style w:type="paragraph" w:styleId="8">
    <w:name w:val="annotation subject"/>
    <w:basedOn w:val="2"/>
    <w:next w:val="2"/>
    <w:link w:val="30"/>
    <w:qFormat/>
    <w:uiPriority w:val="0"/>
    <w:rPr>
      <w:b/>
      <w:bCs/>
    </w:rPr>
  </w:style>
  <w:style w:type="character" w:styleId="11">
    <w:name w:val="annotation reference"/>
    <w:basedOn w:val="10"/>
    <w:qFormat/>
    <w:uiPriority w:val="99"/>
    <w:rPr>
      <w:sz w:val="21"/>
      <w:szCs w:val="21"/>
    </w:rPr>
  </w:style>
  <w:style w:type="paragraph" w:customStyle="1" w:styleId="12">
    <w:name w:val="全文一级大标题"/>
    <w:basedOn w:val="1"/>
    <w:link w:val="14"/>
    <w:qFormat/>
    <w:uiPriority w:val="0"/>
    <w:pPr>
      <w:spacing w:line="640" w:lineRule="exact"/>
      <w:jc w:val="center"/>
    </w:pPr>
    <w:rPr>
      <w:rFonts w:ascii="黑体" w:eastAsia="黑体" w:cs="宋体" w:hAnsiTheme="majorEastAsia"/>
      <w:b/>
      <w:color w:val="0D0D0D" w:themeColor="text1" w:themeTint="F2"/>
      <w:sz w:val="44"/>
      <w:szCs w:val="44"/>
      <w14:textFill>
        <w14:solidFill>
          <w14:schemeClr w14:val="tx1">
            <w14:lumMod w14:val="95000"/>
            <w14:lumOff w14:val="5000"/>
          </w14:schemeClr>
        </w14:solidFill>
      </w14:textFill>
    </w:rPr>
  </w:style>
  <w:style w:type="paragraph" w:customStyle="1" w:styleId="13">
    <w:name w:val="全文副标题"/>
    <w:basedOn w:val="1"/>
    <w:link w:val="16"/>
    <w:qFormat/>
    <w:uiPriority w:val="0"/>
    <w:pPr>
      <w:spacing w:line="640" w:lineRule="exact"/>
      <w:jc w:val="center"/>
    </w:pPr>
    <w:rPr>
      <w:rFonts w:ascii="黑体" w:hAnsi="宋体" w:eastAsia="黑体" w:cs="仿宋"/>
      <w:b/>
      <w:sz w:val="38"/>
      <w:szCs w:val="32"/>
    </w:rPr>
  </w:style>
  <w:style w:type="character" w:customStyle="1" w:styleId="14">
    <w:name w:val="全文一级大标题 字符"/>
    <w:basedOn w:val="10"/>
    <w:link w:val="12"/>
    <w:qFormat/>
    <w:uiPriority w:val="0"/>
    <w:rPr>
      <w:rFonts w:ascii="黑体" w:eastAsia="黑体" w:cs="宋体" w:hAnsiTheme="majorEastAsia"/>
      <w:b/>
      <w:color w:val="0D0D0D" w:themeColor="text1" w:themeTint="F2"/>
      <w:kern w:val="2"/>
      <w:sz w:val="44"/>
      <w:szCs w:val="44"/>
      <w14:textFill>
        <w14:solidFill>
          <w14:schemeClr w14:val="tx1">
            <w14:lumMod w14:val="95000"/>
            <w14:lumOff w14:val="5000"/>
          </w14:schemeClr>
        </w14:solidFill>
      </w14:textFill>
    </w:rPr>
  </w:style>
  <w:style w:type="paragraph" w:customStyle="1" w:styleId="15">
    <w:name w:val="抬头或称呼"/>
    <w:basedOn w:val="1"/>
    <w:link w:val="18"/>
    <w:qFormat/>
    <w:uiPriority w:val="0"/>
    <w:pPr>
      <w:jc w:val="left"/>
    </w:pPr>
    <w:rPr>
      <w:rFonts w:ascii="宋体" w:hAnsi="宋体" w:eastAsia="宋体" w:cs="仿宋"/>
      <w:szCs w:val="32"/>
    </w:rPr>
  </w:style>
  <w:style w:type="character" w:customStyle="1" w:styleId="16">
    <w:name w:val="全文副标题 字符"/>
    <w:basedOn w:val="10"/>
    <w:link w:val="13"/>
    <w:qFormat/>
    <w:uiPriority w:val="0"/>
    <w:rPr>
      <w:rFonts w:ascii="黑体" w:hAnsi="宋体" w:eastAsia="黑体" w:cs="仿宋"/>
      <w:b/>
      <w:kern w:val="2"/>
      <w:sz w:val="38"/>
      <w:szCs w:val="32"/>
    </w:rPr>
  </w:style>
  <w:style w:type="paragraph" w:customStyle="1" w:styleId="17">
    <w:name w:val="文本正文"/>
    <w:basedOn w:val="1"/>
    <w:link w:val="20"/>
    <w:qFormat/>
    <w:uiPriority w:val="0"/>
    <w:pPr>
      <w:spacing w:line="560" w:lineRule="exact"/>
      <w:ind w:firstLine="200" w:firstLineChars="200"/>
    </w:pPr>
    <w:rPr>
      <w:rFonts w:ascii="宋体" w:hAnsi="仿宋" w:eastAsia="宋体" w:cs="仿宋"/>
      <w:szCs w:val="32"/>
    </w:rPr>
  </w:style>
  <w:style w:type="character" w:customStyle="1" w:styleId="18">
    <w:name w:val="抬头或称呼 字符"/>
    <w:basedOn w:val="10"/>
    <w:link w:val="15"/>
    <w:qFormat/>
    <w:uiPriority w:val="0"/>
    <w:rPr>
      <w:rFonts w:ascii="宋体" w:hAnsi="宋体" w:cs="仿宋"/>
      <w:kern w:val="2"/>
      <w:sz w:val="32"/>
      <w:szCs w:val="32"/>
    </w:rPr>
  </w:style>
  <w:style w:type="paragraph" w:customStyle="1" w:styleId="19">
    <w:name w:val="正文一级标题"/>
    <w:basedOn w:val="1"/>
    <w:link w:val="22"/>
    <w:qFormat/>
    <w:uiPriority w:val="0"/>
    <w:pPr>
      <w:spacing w:line="560" w:lineRule="exact"/>
      <w:ind w:firstLine="200" w:firstLineChars="200"/>
    </w:pPr>
    <w:rPr>
      <w:rFonts w:ascii="黑体" w:hAnsi="宋体" w:eastAsia="黑体"/>
      <w:b/>
      <w:bCs/>
      <w:sz w:val="36"/>
    </w:rPr>
  </w:style>
  <w:style w:type="character" w:customStyle="1" w:styleId="20">
    <w:name w:val="文本正文 字符"/>
    <w:basedOn w:val="10"/>
    <w:link w:val="17"/>
    <w:qFormat/>
    <w:uiPriority w:val="0"/>
    <w:rPr>
      <w:rFonts w:ascii="宋体" w:hAnsi="仿宋" w:cs="仿宋"/>
      <w:kern w:val="2"/>
      <w:sz w:val="32"/>
      <w:szCs w:val="32"/>
    </w:rPr>
  </w:style>
  <w:style w:type="paragraph" w:customStyle="1" w:styleId="21">
    <w:name w:val="正文二级标题"/>
    <w:basedOn w:val="1"/>
    <w:link w:val="58"/>
    <w:qFormat/>
    <w:uiPriority w:val="0"/>
    <w:pPr>
      <w:spacing w:line="560" w:lineRule="exact"/>
      <w:ind w:firstLine="200" w:firstLineChars="200"/>
    </w:pPr>
    <w:rPr>
      <w:rFonts w:ascii="黑体" w:eastAsia="黑体"/>
      <w:b/>
      <w:sz w:val="34"/>
    </w:rPr>
  </w:style>
  <w:style w:type="character" w:customStyle="1" w:styleId="22">
    <w:name w:val="正文一级标题 字符"/>
    <w:basedOn w:val="10"/>
    <w:link w:val="19"/>
    <w:qFormat/>
    <w:uiPriority w:val="0"/>
    <w:rPr>
      <w:rFonts w:ascii="黑体" w:hAnsi="宋体" w:eastAsia="黑体" w:cstheme="minorBidi"/>
      <w:b/>
      <w:bCs/>
      <w:kern w:val="2"/>
      <w:sz w:val="36"/>
      <w:szCs w:val="22"/>
    </w:rPr>
  </w:style>
  <w:style w:type="paragraph" w:customStyle="1" w:styleId="23">
    <w:name w:val="正文三级标题"/>
    <w:basedOn w:val="1"/>
    <w:link w:val="25"/>
    <w:qFormat/>
    <w:uiPriority w:val="0"/>
    <w:pPr>
      <w:spacing w:line="560" w:lineRule="exact"/>
      <w:ind w:firstLine="634" w:firstLineChars="200"/>
    </w:pPr>
    <w:rPr>
      <w:rFonts w:ascii="黑体" w:eastAsia="黑体"/>
      <w:b/>
    </w:rPr>
  </w:style>
  <w:style w:type="paragraph" w:customStyle="1" w:styleId="24">
    <w:name w:val="正文四级标题"/>
    <w:basedOn w:val="1"/>
    <w:link w:val="27"/>
    <w:qFormat/>
    <w:uiPriority w:val="0"/>
    <w:pPr>
      <w:spacing w:line="560" w:lineRule="exact"/>
      <w:ind w:firstLine="200" w:firstLineChars="200"/>
    </w:pPr>
    <w:rPr>
      <w:rFonts w:ascii="黑体" w:hAnsi="宋体" w:eastAsia="黑体"/>
    </w:rPr>
  </w:style>
  <w:style w:type="character" w:customStyle="1" w:styleId="25">
    <w:name w:val="正文三级标题 字符"/>
    <w:basedOn w:val="10"/>
    <w:link w:val="23"/>
    <w:qFormat/>
    <w:uiPriority w:val="0"/>
    <w:rPr>
      <w:rFonts w:ascii="黑体" w:hAnsi="仿宋_GB2312" w:eastAsia="黑体" w:cstheme="minorBidi"/>
      <w:b/>
      <w:kern w:val="2"/>
      <w:sz w:val="32"/>
      <w:szCs w:val="22"/>
    </w:rPr>
  </w:style>
  <w:style w:type="paragraph" w:customStyle="1" w:styleId="26">
    <w:name w:val="此致"/>
    <w:basedOn w:val="1"/>
    <w:link w:val="28"/>
    <w:qFormat/>
    <w:uiPriority w:val="0"/>
    <w:pPr>
      <w:spacing w:line="560" w:lineRule="exact"/>
      <w:ind w:firstLine="200" w:firstLineChars="200"/>
      <w:jc w:val="left"/>
    </w:pPr>
    <w:rPr>
      <w:rFonts w:ascii="宋体" w:hAnsi="宋体" w:eastAsia="宋体" w:cs="仿宋"/>
      <w:szCs w:val="32"/>
    </w:rPr>
  </w:style>
  <w:style w:type="character" w:customStyle="1" w:styleId="27">
    <w:name w:val="正文四级标题 字符"/>
    <w:basedOn w:val="10"/>
    <w:link w:val="24"/>
    <w:qFormat/>
    <w:uiPriority w:val="0"/>
    <w:rPr>
      <w:rFonts w:ascii="黑体" w:hAnsi="宋体" w:eastAsia="黑体" w:cstheme="minorBidi"/>
      <w:kern w:val="2"/>
      <w:sz w:val="32"/>
      <w:szCs w:val="22"/>
    </w:rPr>
  </w:style>
  <w:style w:type="character" w:customStyle="1" w:styleId="28">
    <w:name w:val="此致 字符"/>
    <w:basedOn w:val="10"/>
    <w:link w:val="26"/>
    <w:qFormat/>
    <w:uiPriority w:val="0"/>
    <w:rPr>
      <w:rFonts w:ascii="宋体" w:hAnsi="宋体" w:cs="仿宋"/>
      <w:kern w:val="2"/>
      <w:sz w:val="32"/>
      <w:szCs w:val="32"/>
    </w:rPr>
  </w:style>
  <w:style w:type="character" w:customStyle="1" w:styleId="29">
    <w:name w:val="批注文字 字符"/>
    <w:basedOn w:val="10"/>
    <w:link w:val="2"/>
    <w:qFormat/>
    <w:uiPriority w:val="99"/>
    <w:rPr>
      <w:rFonts w:eastAsia="宋体"/>
      <w:kern w:val="2"/>
      <w:sz w:val="21"/>
      <w:szCs w:val="22"/>
    </w:rPr>
  </w:style>
  <w:style w:type="character" w:customStyle="1" w:styleId="30">
    <w:name w:val="批注主题 字符"/>
    <w:basedOn w:val="29"/>
    <w:link w:val="8"/>
    <w:qFormat/>
    <w:uiPriority w:val="0"/>
    <w:rPr>
      <w:rFonts w:eastAsia="宋体"/>
      <w:b/>
      <w:bCs/>
      <w:kern w:val="2"/>
      <w:sz w:val="21"/>
      <w:szCs w:val="22"/>
    </w:rPr>
  </w:style>
  <w:style w:type="paragraph" w:customStyle="1" w:styleId="31">
    <w:name w:val="祝辞"/>
    <w:basedOn w:val="1"/>
    <w:link w:val="33"/>
    <w:qFormat/>
    <w:uiPriority w:val="0"/>
    <w:pPr>
      <w:spacing w:line="560" w:lineRule="exact"/>
    </w:pPr>
    <w:rPr>
      <w:rFonts w:ascii="宋体" w:hAnsi="宋体" w:eastAsia="宋体" w:cs="仿宋"/>
      <w:szCs w:val="32"/>
    </w:rPr>
  </w:style>
  <w:style w:type="paragraph" w:customStyle="1" w:styleId="32">
    <w:name w:val="落款或署名"/>
    <w:basedOn w:val="1"/>
    <w:link w:val="35"/>
    <w:qFormat/>
    <w:uiPriority w:val="0"/>
    <w:pPr>
      <w:spacing w:line="560" w:lineRule="exact"/>
      <w:jc w:val="right"/>
    </w:pPr>
    <w:rPr>
      <w:rFonts w:ascii="宋体" w:hAnsi="宋体" w:eastAsia="宋体" w:cs="仿宋"/>
      <w:szCs w:val="32"/>
    </w:rPr>
  </w:style>
  <w:style w:type="character" w:customStyle="1" w:styleId="33">
    <w:name w:val="祝辞 字符"/>
    <w:basedOn w:val="10"/>
    <w:link w:val="31"/>
    <w:qFormat/>
    <w:uiPriority w:val="0"/>
    <w:rPr>
      <w:rFonts w:ascii="宋体" w:hAnsi="宋体" w:cs="仿宋"/>
      <w:kern w:val="2"/>
      <w:sz w:val="32"/>
      <w:szCs w:val="32"/>
    </w:rPr>
  </w:style>
  <w:style w:type="paragraph" w:customStyle="1" w:styleId="34">
    <w:name w:val="日期或时间"/>
    <w:basedOn w:val="1"/>
    <w:link w:val="36"/>
    <w:qFormat/>
    <w:uiPriority w:val="0"/>
    <w:pPr>
      <w:spacing w:line="560" w:lineRule="exact"/>
      <w:jc w:val="right"/>
    </w:pPr>
    <w:rPr>
      <w:rFonts w:ascii="宋体" w:hAnsi="宋体" w:eastAsia="宋体"/>
      <w:shd w:val="clear" w:color="auto" w:fill="FFFFFF"/>
    </w:rPr>
  </w:style>
  <w:style w:type="character" w:customStyle="1" w:styleId="35">
    <w:name w:val="落款或署名 字符"/>
    <w:basedOn w:val="10"/>
    <w:link w:val="32"/>
    <w:qFormat/>
    <w:uiPriority w:val="0"/>
    <w:rPr>
      <w:rFonts w:ascii="宋体" w:hAnsi="宋体" w:cs="仿宋"/>
      <w:kern w:val="2"/>
      <w:sz w:val="32"/>
      <w:szCs w:val="32"/>
    </w:rPr>
  </w:style>
  <w:style w:type="character" w:customStyle="1" w:styleId="36">
    <w:name w:val="日期或时间 字符"/>
    <w:basedOn w:val="10"/>
    <w:link w:val="34"/>
    <w:qFormat/>
    <w:uiPriority w:val="0"/>
    <w:rPr>
      <w:rFonts w:ascii="宋体" w:hAnsi="宋体" w:cstheme="minorBidi"/>
      <w:kern w:val="2"/>
      <w:sz w:val="32"/>
      <w:szCs w:val="22"/>
    </w:rPr>
  </w:style>
  <w:style w:type="character" w:customStyle="1" w:styleId="37">
    <w:name w:val="页眉 字符"/>
    <w:basedOn w:val="10"/>
    <w:link w:val="6"/>
    <w:qFormat/>
    <w:uiPriority w:val="0"/>
    <w:rPr>
      <w:rFonts w:eastAsia="宋体"/>
      <w:kern w:val="2"/>
      <w:sz w:val="18"/>
      <w:szCs w:val="18"/>
    </w:rPr>
  </w:style>
  <w:style w:type="character" w:customStyle="1" w:styleId="38">
    <w:name w:val="页脚 字符"/>
    <w:basedOn w:val="10"/>
    <w:link w:val="5"/>
    <w:qFormat/>
    <w:uiPriority w:val="99"/>
    <w:rPr>
      <w:rFonts w:eastAsia="宋体"/>
      <w:kern w:val="2"/>
      <w:sz w:val="18"/>
      <w:szCs w:val="18"/>
    </w:rPr>
  </w:style>
  <w:style w:type="character" w:customStyle="1" w:styleId="39">
    <w:name w:val="副标题 字符"/>
    <w:basedOn w:val="10"/>
    <w:link w:val="7"/>
    <w:qFormat/>
    <w:uiPriority w:val="0"/>
    <w:rPr>
      <w:b/>
      <w:bCs/>
      <w:kern w:val="28"/>
      <w:sz w:val="32"/>
      <w:szCs w:val="32"/>
    </w:rPr>
  </w:style>
  <w:style w:type="paragraph" w:customStyle="1" w:styleId="40">
    <w:name w:val="署名信息"/>
    <w:basedOn w:val="1"/>
    <w:link w:val="41"/>
    <w:qFormat/>
    <w:uiPriority w:val="0"/>
    <w:pPr>
      <w:spacing w:line="560" w:lineRule="exact"/>
      <w:jc w:val="right"/>
    </w:pPr>
    <w:rPr>
      <w:rFonts w:eastAsia="宋体"/>
    </w:rPr>
  </w:style>
  <w:style w:type="character" w:customStyle="1" w:styleId="41">
    <w:name w:val="署名信息 字符"/>
    <w:basedOn w:val="33"/>
    <w:link w:val="40"/>
    <w:qFormat/>
    <w:uiPriority w:val="0"/>
    <w:rPr>
      <w:rFonts w:ascii="仿宋_GB2312" w:hAnsi="仿宋_GB2312" w:cstheme="minorBidi"/>
      <w:kern w:val="2"/>
      <w:sz w:val="32"/>
      <w:szCs w:val="22"/>
    </w:rPr>
  </w:style>
  <w:style w:type="character" w:customStyle="1" w:styleId="42">
    <w:name w:val="称呼 字符"/>
    <w:basedOn w:val="10"/>
    <w:link w:val="3"/>
    <w:qFormat/>
    <w:uiPriority w:val="0"/>
    <w:rPr>
      <w:rFonts w:ascii="仿宋" w:hAnsi="仿宋" w:eastAsia="仿宋" w:cs="仿宋"/>
      <w:kern w:val="2"/>
      <w:sz w:val="28"/>
      <w:szCs w:val="32"/>
    </w:rPr>
  </w:style>
  <w:style w:type="character" w:customStyle="1" w:styleId="43">
    <w:name w:val="结束语 字符"/>
    <w:basedOn w:val="10"/>
    <w:link w:val="4"/>
    <w:qFormat/>
    <w:uiPriority w:val="0"/>
    <w:rPr>
      <w:rFonts w:ascii="仿宋" w:hAnsi="仿宋" w:eastAsia="仿宋" w:cs="仿宋"/>
      <w:kern w:val="2"/>
      <w:sz w:val="28"/>
      <w:szCs w:val="32"/>
    </w:rPr>
  </w:style>
  <w:style w:type="paragraph" w:customStyle="1" w:styleId="44">
    <w:name w:val="目录标题"/>
    <w:basedOn w:val="1"/>
    <w:link w:val="46"/>
    <w:qFormat/>
    <w:uiPriority w:val="0"/>
    <w:pPr>
      <w:spacing w:before="50" w:beforeLines="50" w:after="50" w:afterLines="50"/>
      <w:jc w:val="center"/>
    </w:pPr>
    <w:rPr>
      <w:rFonts w:ascii="宋体" w:hAnsi="宋体" w:eastAsia="宋体" w:cs="宋体"/>
      <w:b/>
      <w:bCs/>
      <w:spacing w:val="20"/>
      <w:sz w:val="36"/>
      <w:szCs w:val="44"/>
    </w:rPr>
  </w:style>
  <w:style w:type="paragraph" w:customStyle="1" w:styleId="45">
    <w:name w:val="一级目录"/>
    <w:link w:val="47"/>
    <w:qFormat/>
    <w:uiPriority w:val="0"/>
    <w:pPr>
      <w:tabs>
        <w:tab w:val="right" w:leader="dot" w:pos="8820"/>
      </w:tabs>
      <w:jc w:val="both"/>
    </w:pPr>
    <w:rPr>
      <w:rFonts w:ascii="宋体" w:hAnsi="宋体" w:eastAsia="宋体" w:cs="宋体"/>
      <w:spacing w:val="20"/>
      <w:kern w:val="2"/>
      <w:sz w:val="24"/>
      <w:szCs w:val="28"/>
      <w:lang w:val="en-US" w:eastAsia="zh-CN" w:bidi="ar-SA"/>
    </w:rPr>
  </w:style>
  <w:style w:type="character" w:customStyle="1" w:styleId="46">
    <w:name w:val="目录标题 字符"/>
    <w:link w:val="44"/>
    <w:qFormat/>
    <w:uiPriority w:val="0"/>
    <w:rPr>
      <w:rFonts w:ascii="宋体" w:hAnsi="宋体" w:cs="宋体"/>
      <w:b/>
      <w:bCs/>
      <w:spacing w:val="20"/>
      <w:kern w:val="2"/>
      <w:sz w:val="36"/>
      <w:szCs w:val="44"/>
    </w:rPr>
  </w:style>
  <w:style w:type="character" w:customStyle="1" w:styleId="47">
    <w:name w:val="一级目录 字符"/>
    <w:link w:val="45"/>
    <w:qFormat/>
    <w:uiPriority w:val="0"/>
    <w:rPr>
      <w:rFonts w:ascii="宋体" w:hAnsi="宋体" w:cs="宋体"/>
      <w:spacing w:val="20"/>
      <w:kern w:val="2"/>
      <w:sz w:val="24"/>
      <w:szCs w:val="28"/>
    </w:rPr>
  </w:style>
  <w:style w:type="paragraph" w:customStyle="1" w:styleId="48">
    <w:name w:val="二级目录"/>
    <w:link w:val="49"/>
    <w:qFormat/>
    <w:uiPriority w:val="0"/>
    <w:pPr>
      <w:tabs>
        <w:tab w:val="right" w:leader="dot" w:pos="8820"/>
      </w:tabs>
      <w:ind w:firstLine="200" w:firstLineChars="200"/>
    </w:pPr>
    <w:rPr>
      <w:rFonts w:ascii="宋体" w:hAnsi="宋体" w:eastAsia="宋体" w:cs="宋体"/>
      <w:spacing w:val="20"/>
      <w:kern w:val="2"/>
      <w:sz w:val="24"/>
      <w:szCs w:val="28"/>
      <w:lang w:val="en-US" w:eastAsia="zh-CN" w:bidi="ar-SA"/>
    </w:rPr>
  </w:style>
  <w:style w:type="character" w:customStyle="1" w:styleId="49">
    <w:name w:val="二级目录 字符"/>
    <w:link w:val="48"/>
    <w:qFormat/>
    <w:uiPriority w:val="0"/>
    <w:rPr>
      <w:rFonts w:ascii="宋体" w:hAnsi="宋体" w:cs="宋体"/>
      <w:spacing w:val="20"/>
      <w:kern w:val="2"/>
      <w:sz w:val="24"/>
      <w:szCs w:val="28"/>
    </w:rPr>
  </w:style>
  <w:style w:type="paragraph" w:customStyle="1" w:styleId="50">
    <w:name w:val="三级目录"/>
    <w:link w:val="51"/>
    <w:qFormat/>
    <w:uiPriority w:val="0"/>
    <w:pPr>
      <w:tabs>
        <w:tab w:val="right" w:leader="dot" w:pos="8820"/>
      </w:tabs>
      <w:ind w:firstLine="400" w:firstLineChars="400"/>
    </w:pPr>
    <w:rPr>
      <w:rFonts w:ascii="宋体" w:hAnsi="宋体" w:eastAsia="宋体" w:cs="宋体"/>
      <w:spacing w:val="20"/>
      <w:kern w:val="2"/>
      <w:sz w:val="24"/>
      <w:szCs w:val="28"/>
      <w:lang w:val="en-US" w:eastAsia="zh-CN" w:bidi="ar-SA"/>
    </w:rPr>
  </w:style>
  <w:style w:type="character" w:customStyle="1" w:styleId="51">
    <w:name w:val="三级目录 字符"/>
    <w:link w:val="50"/>
    <w:qFormat/>
    <w:uiPriority w:val="0"/>
    <w:rPr>
      <w:rFonts w:ascii="宋体" w:hAnsi="宋体" w:cs="宋体"/>
      <w:spacing w:val="20"/>
      <w:kern w:val="2"/>
      <w:sz w:val="24"/>
      <w:szCs w:val="28"/>
    </w:rPr>
  </w:style>
  <w:style w:type="paragraph" w:customStyle="1" w:styleId="52">
    <w:name w:val="四级目录"/>
    <w:link w:val="53"/>
    <w:qFormat/>
    <w:uiPriority w:val="0"/>
    <w:pPr>
      <w:tabs>
        <w:tab w:val="right" w:leader="dot" w:pos="8820"/>
      </w:tabs>
      <w:ind w:firstLine="600" w:firstLineChars="600"/>
    </w:pPr>
    <w:rPr>
      <w:rFonts w:ascii="宋体" w:hAnsi="宋体" w:eastAsia="宋体" w:cs="宋体"/>
      <w:spacing w:val="20"/>
      <w:kern w:val="2"/>
      <w:sz w:val="24"/>
      <w:szCs w:val="28"/>
      <w:lang w:val="en-US" w:eastAsia="zh-CN" w:bidi="ar-SA"/>
    </w:rPr>
  </w:style>
  <w:style w:type="character" w:customStyle="1" w:styleId="53">
    <w:name w:val="四级目录 字符"/>
    <w:link w:val="52"/>
    <w:qFormat/>
    <w:uiPriority w:val="0"/>
    <w:rPr>
      <w:rFonts w:ascii="宋体" w:hAnsi="宋体" w:cs="宋体"/>
      <w:spacing w:val="20"/>
      <w:kern w:val="2"/>
      <w:sz w:val="24"/>
      <w:szCs w:val="28"/>
    </w:rPr>
  </w:style>
  <w:style w:type="paragraph" w:customStyle="1" w:styleId="54">
    <w:name w:val="题记正文"/>
    <w:link w:val="56"/>
    <w:qFormat/>
    <w:uiPriority w:val="0"/>
    <w:pPr>
      <w:spacing w:line="560" w:lineRule="exact"/>
    </w:pPr>
    <w:rPr>
      <w:rFonts w:ascii="宋体" w:hAnsi="宋体" w:eastAsia="宋体" w:cs="仿宋"/>
      <w:kern w:val="2"/>
      <w:sz w:val="32"/>
      <w:szCs w:val="32"/>
      <w:lang w:val="en-US" w:eastAsia="zh-CN" w:bidi="ar-SA"/>
    </w:rPr>
  </w:style>
  <w:style w:type="paragraph" w:customStyle="1" w:styleId="55">
    <w:name w:val="题记标题"/>
    <w:link w:val="57"/>
    <w:qFormat/>
    <w:uiPriority w:val="0"/>
    <w:pPr>
      <w:spacing w:line="560" w:lineRule="exact"/>
      <w:jc w:val="right"/>
    </w:pPr>
    <w:rPr>
      <w:rFonts w:ascii="楷体" w:hAnsi="楷体" w:eastAsia="楷体" w:cs="仿宋"/>
      <w:kern w:val="2"/>
      <w:sz w:val="32"/>
      <w:szCs w:val="32"/>
      <w:lang w:val="en-US" w:eastAsia="zh-CN" w:bidi="ar-SA"/>
    </w:rPr>
  </w:style>
  <w:style w:type="character" w:customStyle="1" w:styleId="56">
    <w:name w:val="题记正文 字符"/>
    <w:basedOn w:val="20"/>
    <w:link w:val="54"/>
    <w:qFormat/>
    <w:uiPriority w:val="0"/>
    <w:rPr>
      <w:rFonts w:ascii="宋体" w:hAnsi="宋体" w:cs="仿宋"/>
      <w:kern w:val="2"/>
      <w:sz w:val="32"/>
      <w:szCs w:val="32"/>
    </w:rPr>
  </w:style>
  <w:style w:type="character" w:customStyle="1" w:styleId="57">
    <w:name w:val="题记标题 字符"/>
    <w:basedOn w:val="56"/>
    <w:link w:val="55"/>
    <w:qFormat/>
    <w:uiPriority w:val="0"/>
    <w:rPr>
      <w:rFonts w:ascii="楷体" w:hAnsi="楷体" w:eastAsia="楷体" w:cs="仿宋"/>
      <w:kern w:val="2"/>
      <w:sz w:val="32"/>
      <w:szCs w:val="32"/>
    </w:rPr>
  </w:style>
  <w:style w:type="character" w:customStyle="1" w:styleId="58">
    <w:name w:val="正文二级标题 字符"/>
    <w:basedOn w:val="10"/>
    <w:link w:val="21"/>
    <w:qFormat/>
    <w:uiPriority w:val="0"/>
    <w:rPr>
      <w:rFonts w:ascii="黑体" w:hAnsi="仿宋_GB2312" w:eastAsia="黑体" w:cstheme="minorBidi"/>
      <w:b/>
      <w:kern w:val="2"/>
      <w:sz w:val="3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244</Words>
  <Characters>1394</Characters>
  <Lines>11</Lines>
  <Paragraphs>3</Paragraphs>
  <TotalTime>0</TotalTime>
  <ScaleCrop>false</ScaleCrop>
  <LinksUpToDate>false</LinksUpToDate>
  <CharactersWithSpaces>1635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2025-08-04T03:15:00Z</dcterms:created>
  <dc:creator>yu</dc:creator>
  <cp:lastModifiedBy>Administrator</cp:lastModifiedBy>
  <cp:lastPrinted>2026-10-15T01:28:00Z</cp:lastPrinted>
  <dcterms:modified xsi:type="dcterms:W3CDTF">2026-10-20T02:31:37Z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CBB7EAB422E04C2788AC8A02029F06FC</vt:lpwstr>
  </property>
  <property fmtid="{D5CDD505-2E9C-101B-9397-08002B2CF9AE}" pid="4" name="KSOTemplateDocerSaveRecord">
    <vt:lpwstr>eyJoZGlkIjoiMTQ4NjdmNDlhZmY5MzMyNTA4ZGU1OWE3MjU2M2QxNWUifQ==</vt:lpwstr>
  </property>
  <property fmtid="{D5CDD505-2E9C-101B-9397-08002B2CF9AE}" pid="5" name="property1">
    <vt:lpwstr>BBAAD9C20014179B94A0072836F0B97042B9B20A10322B00A0D98F30B1392BD9CB46BD3801CE7B0F229923089846F6EB89E9217A11D0DBA11BBFC2F17B6E3BD124DDC5AD5827895714902AE7630F4391DC25E4CC7C9D22D6A8EC71913CF4DCD8DA8624929E3</vt:lpwstr>
  </property>
  <property fmtid="{D5CDD505-2E9C-101B-9397-08002B2CF9AE}" pid="6" name="property2">
    <vt:lpwstr>BBAAD9C20014179B94A0072836F0BFD0E2B9B20210916BD0A5D98133B19D2BE9CB4CB83801CBFB022249260898462DEBF5E921DAB1D08B511BBFC22E7A0E36DC24DDBBAD7C2DA9B7E4B4259768FF4393B6F3E5C97450C284B8FB81955069DCA8D8A629913E3</vt:lpwstr>
  </property>
  <property fmtid="{D5CDD505-2E9C-101B-9397-08002B2CF9AE}" pid="7" name="property3">
    <vt:lpwstr>BBAAD9C20014179B94A0072836F0B6D062B9B20F15040BD0A3D98F33B1CB2B767B44BC38A1C1DB0B22092008984663EBDCE9210AB1D0BB511BBFC2EB7BAE36D824DF3DAD2022B9B794C829376E2F4E8F5943EEE17CFF0183A8DE4195FA812C68DEA6229EBE3</vt:lpwstr>
  </property>
</Properties>
</file>