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86F46C">
      <w:pPr>
        <w:keepNext w:val="0"/>
        <w:keepLines w:val="0"/>
        <w:pageBreakBefore w:val="0"/>
        <w:widowControl/>
        <w:numPr>
          <w:ilvl w:val="0"/>
          <w:numId w:val="0"/>
        </w:numPr>
        <w:kinsoku w:val="0"/>
        <w:wordWrap w:val="0"/>
        <w:overflowPunct/>
        <w:topLinePunct w:val="0"/>
        <w:autoSpaceDE w:val="0"/>
        <w:autoSpaceDN w:val="0"/>
        <w:bidi w:val="0"/>
        <w:adjustRightInd w:val="0"/>
        <w:snapToGrid w:val="0"/>
        <w:spacing w:line="560" w:lineRule="exact"/>
        <w:ind w:right="0" w:rightChars="0" w:firstLine="800" w:firstLineChars="200"/>
        <w:jc w:val="both"/>
        <w:textAlignment w:val="baseline"/>
        <w:rPr>
          <w:rFonts w:hint="eastAsia" w:ascii="方正小标宋_GBK" w:hAnsi="方正小标宋_GBK" w:eastAsia="方正小标宋_GBK" w:cs="方正小标宋_GBK"/>
          <w:b w:val="0"/>
          <w:bCs w:val="0"/>
          <w:color w:val="auto"/>
          <w:sz w:val="40"/>
          <w:szCs w:val="40"/>
          <w:highlight w:val="none"/>
        </w:rPr>
      </w:pPr>
      <w:bookmarkStart w:id="0" w:name="_GoBack"/>
      <w:r>
        <w:rPr>
          <w:rFonts w:hint="eastAsia" w:ascii="方正小标宋_GBK" w:hAnsi="方正小标宋_GBK" w:eastAsia="方正小标宋_GBK" w:cs="方正小标宋_GBK"/>
          <w:b w:val="0"/>
          <w:bCs w:val="0"/>
          <w:color w:val="auto"/>
          <w:sz w:val="40"/>
          <w:szCs w:val="40"/>
          <w:highlight w:val="none"/>
          <w:lang w:eastAsia="zh-CN"/>
        </w:rPr>
        <w:t>涞源</w:t>
      </w:r>
      <w:r>
        <w:rPr>
          <w:rFonts w:hint="eastAsia" w:ascii="方正小标宋_GBK" w:hAnsi="方正小标宋_GBK" w:eastAsia="方正小标宋_GBK" w:cs="方正小标宋_GBK"/>
          <w:b w:val="0"/>
          <w:bCs w:val="0"/>
          <w:color w:val="auto"/>
          <w:sz w:val="40"/>
          <w:szCs w:val="40"/>
          <w:highlight w:val="none"/>
        </w:rPr>
        <w:t>县城区生活垃圾处理费收费管理办法</w:t>
      </w:r>
    </w:p>
    <w:p w14:paraId="4DCD0E9C">
      <w:pPr>
        <w:keepNext w:val="0"/>
        <w:keepLines w:val="0"/>
        <w:pageBreakBefore w:val="0"/>
        <w:widowControl/>
        <w:numPr>
          <w:ilvl w:val="0"/>
          <w:numId w:val="0"/>
        </w:numPr>
        <w:kinsoku w:val="0"/>
        <w:wordWrap w:val="0"/>
        <w:overflowPunct/>
        <w:topLinePunct w:val="0"/>
        <w:autoSpaceDE w:val="0"/>
        <w:autoSpaceDN w:val="0"/>
        <w:bidi w:val="0"/>
        <w:adjustRightInd w:val="0"/>
        <w:snapToGrid w:val="0"/>
        <w:spacing w:line="560" w:lineRule="exact"/>
        <w:ind w:right="0" w:rightChars="0"/>
        <w:jc w:val="center"/>
        <w:textAlignment w:val="baseline"/>
        <w:rPr>
          <w:rFonts w:hint="eastAsia" w:eastAsia="方正小标宋_GBK"/>
          <w:color w:val="auto"/>
          <w:highlight w:val="none"/>
          <w:lang w:eastAsia="zh-CN"/>
        </w:rPr>
      </w:pPr>
      <w:r>
        <w:rPr>
          <w:rFonts w:hint="eastAsia" w:ascii="方正小标宋_GBK" w:hAnsi="方正小标宋_GBK" w:eastAsia="方正小标宋_GBK" w:cs="方正小标宋_GBK"/>
          <w:b w:val="0"/>
          <w:bCs w:val="0"/>
          <w:color w:val="auto"/>
          <w:sz w:val="40"/>
          <w:szCs w:val="40"/>
          <w:highlight w:val="none"/>
          <w:lang w:eastAsia="zh-CN"/>
        </w:rPr>
        <w:t>（征求意见稿）</w:t>
      </w:r>
      <w:bookmarkEnd w:id="0"/>
    </w:p>
    <w:p w14:paraId="633DB69A">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60" w:lineRule="exact"/>
        <w:ind w:left="0" w:leftChars="0" w:firstLine="643" w:firstLineChars="200"/>
        <w:jc w:val="both"/>
        <w:textAlignment w:val="baseline"/>
        <w:rPr>
          <w:rFonts w:hint="eastAsia" w:ascii="仿宋_GB2312" w:hAnsi="Tahoma" w:eastAsia="仿宋_GB2312" w:cs="Times New Roman"/>
          <w:b/>
          <w:bCs/>
          <w:color w:val="auto"/>
          <w:sz w:val="32"/>
          <w:szCs w:val="32"/>
          <w:highlight w:val="none"/>
          <w:lang w:val="en-US" w:eastAsia="zh-CN"/>
        </w:rPr>
      </w:pPr>
    </w:p>
    <w:p w14:paraId="64A5933C">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rPr>
      </w:pPr>
      <w:r>
        <w:rPr>
          <w:rFonts w:hint="eastAsia" w:ascii="黑体" w:hAnsi="黑体" w:eastAsia="黑体" w:cs="黑体"/>
          <w:b w:val="0"/>
          <w:bCs w:val="0"/>
          <w:color w:val="auto"/>
          <w:sz w:val="32"/>
          <w:szCs w:val="32"/>
          <w:highlight w:val="none"/>
          <w:lang w:val="en-US" w:eastAsia="zh-CN"/>
        </w:rPr>
        <w:t>第一条</w:t>
      </w:r>
      <w:r>
        <w:rPr>
          <w:rFonts w:hint="eastAsia" w:ascii="仿宋_GB2312" w:hAnsi="Tahoma" w:eastAsia="仿宋_GB2312" w:cs="Times New Roman"/>
          <w:color w:val="auto"/>
          <w:sz w:val="32"/>
          <w:szCs w:val="32"/>
          <w:highlight w:val="none"/>
          <w:lang w:val="en-US" w:eastAsia="zh-CN"/>
        </w:rPr>
        <w:t xml:space="preserve">  </w:t>
      </w:r>
      <w:r>
        <w:rPr>
          <w:rFonts w:hint="eastAsia" w:ascii="仿宋_GB2312" w:hAnsi="Tahoma" w:eastAsia="仿宋_GB2312" w:cs="Times New Roman"/>
          <w:color w:val="auto"/>
          <w:sz w:val="32"/>
          <w:szCs w:val="32"/>
          <w:highlight w:val="none"/>
        </w:rPr>
        <w:t>为完善生活垃圾处理收费制度，促进垃圾分类和减量化、资源化、无害化处理，推动形成绿色发展生产方式和生活方式，根据《中华人民共和国固体废物污染环境防治法》《城市生活垃圾管理办法》</w:t>
      </w:r>
      <w:r>
        <w:rPr>
          <w:rFonts w:hint="eastAsia" w:ascii="仿宋_GB2312" w:hAnsi="Tahoma" w:eastAsia="仿宋_GB2312" w:cs="Times New Roman"/>
          <w:color w:val="auto"/>
          <w:sz w:val="32"/>
          <w:szCs w:val="32"/>
          <w:highlight w:val="none"/>
          <w:lang w:eastAsia="zh-CN"/>
        </w:rPr>
        <w:t>（</w:t>
      </w:r>
      <w:r>
        <w:rPr>
          <w:rFonts w:hint="eastAsia" w:ascii="仿宋_GB2312" w:hAnsi="Tahoma" w:eastAsia="仿宋_GB2312" w:cs="Times New Roman"/>
          <w:color w:val="auto"/>
          <w:sz w:val="32"/>
          <w:szCs w:val="32"/>
          <w:highlight w:val="none"/>
        </w:rPr>
        <w:t>建设部令第157号</w:t>
      </w:r>
      <w:r>
        <w:rPr>
          <w:rFonts w:hint="eastAsia" w:ascii="仿宋_GB2312" w:hAnsi="Tahoma" w:eastAsia="仿宋_GB2312" w:cs="Times New Roman"/>
          <w:color w:val="auto"/>
          <w:sz w:val="32"/>
          <w:szCs w:val="32"/>
          <w:highlight w:val="none"/>
          <w:lang w:eastAsia="zh-CN"/>
        </w:rPr>
        <w:t>）、《</w:t>
      </w:r>
      <w:r>
        <w:rPr>
          <w:rFonts w:hint="eastAsia" w:ascii="仿宋_GB2312" w:hAnsi="Tahoma" w:eastAsia="仿宋_GB2312" w:cs="Times New Roman"/>
          <w:color w:val="auto"/>
          <w:sz w:val="32"/>
          <w:szCs w:val="32"/>
          <w:highlight w:val="none"/>
        </w:rPr>
        <w:t>河北省发展和改革委员会关于印发</w:t>
      </w:r>
      <w:r>
        <w:rPr>
          <w:rFonts w:hint="eastAsia" w:ascii="仿宋_GB2312" w:hAnsi="Tahoma" w:eastAsia="仿宋_GB2312" w:cs="Times New Roman"/>
          <w:color w:val="auto"/>
          <w:sz w:val="32"/>
          <w:szCs w:val="32"/>
          <w:highlight w:val="none"/>
          <w:lang w:val="en-US" w:eastAsia="zh-CN"/>
        </w:rPr>
        <w:t>〈</w:t>
      </w:r>
      <w:r>
        <w:rPr>
          <w:rFonts w:hint="eastAsia" w:ascii="仿宋_GB2312" w:hAnsi="Tahoma" w:eastAsia="仿宋_GB2312" w:cs="Times New Roman"/>
          <w:color w:val="auto"/>
          <w:sz w:val="32"/>
          <w:szCs w:val="32"/>
          <w:highlight w:val="none"/>
        </w:rPr>
        <w:t>河北省定价目录</w:t>
      </w:r>
      <w:r>
        <w:rPr>
          <w:rFonts w:hint="eastAsia" w:ascii="仿宋_GB2312" w:hAnsi="Tahoma" w:eastAsia="仿宋_GB2312" w:cs="Times New Roman"/>
          <w:color w:val="auto"/>
          <w:sz w:val="32"/>
          <w:szCs w:val="32"/>
          <w:highlight w:val="none"/>
          <w:lang w:val="en-US" w:eastAsia="zh-CN"/>
        </w:rPr>
        <w:t>〉</w:t>
      </w:r>
      <w:r>
        <w:rPr>
          <w:rFonts w:hint="eastAsia" w:ascii="仿宋_GB2312" w:hAnsi="Tahoma" w:eastAsia="仿宋_GB2312" w:cs="Times New Roman"/>
          <w:color w:val="auto"/>
          <w:sz w:val="32"/>
          <w:szCs w:val="32"/>
          <w:highlight w:val="none"/>
        </w:rPr>
        <w:t>的通知</w:t>
      </w:r>
      <w:r>
        <w:rPr>
          <w:rFonts w:hint="eastAsia" w:ascii="仿宋_GB2312" w:hAnsi="Tahoma" w:eastAsia="仿宋_GB2312" w:cs="Times New Roman"/>
          <w:color w:val="auto"/>
          <w:sz w:val="32"/>
          <w:szCs w:val="32"/>
          <w:highlight w:val="none"/>
          <w:lang w:eastAsia="zh-CN"/>
        </w:rPr>
        <w:t>》（</w:t>
      </w:r>
      <w:r>
        <w:rPr>
          <w:rFonts w:hint="eastAsia" w:ascii="仿宋_GB2312" w:hAnsi="Tahoma" w:eastAsia="仿宋_GB2312" w:cs="Times New Roman"/>
          <w:color w:val="auto"/>
          <w:sz w:val="32"/>
          <w:szCs w:val="32"/>
          <w:highlight w:val="none"/>
        </w:rPr>
        <w:t>冀发改价调〔2022〕1563号</w:t>
      </w:r>
      <w:r>
        <w:rPr>
          <w:rFonts w:hint="eastAsia" w:ascii="仿宋_GB2312" w:hAnsi="Tahoma" w:eastAsia="仿宋_GB2312" w:cs="Times New Roman"/>
          <w:color w:val="auto"/>
          <w:sz w:val="32"/>
          <w:szCs w:val="32"/>
          <w:highlight w:val="none"/>
          <w:lang w:eastAsia="zh-CN"/>
        </w:rPr>
        <w:t>）</w:t>
      </w:r>
      <w:r>
        <w:rPr>
          <w:rFonts w:hint="eastAsia" w:ascii="仿宋_GB2312" w:hAnsi="Tahoma" w:eastAsia="仿宋_GB2312" w:cs="Times New Roman"/>
          <w:color w:val="auto"/>
          <w:sz w:val="32"/>
          <w:szCs w:val="32"/>
          <w:highlight w:val="none"/>
        </w:rPr>
        <w:t>、</w:t>
      </w:r>
      <w:r>
        <w:rPr>
          <w:rFonts w:hint="eastAsia" w:ascii="仿宋_GB2312" w:hAnsi="Tahoma" w:eastAsia="仿宋_GB2312" w:cs="Times New Roman"/>
          <w:color w:val="auto"/>
          <w:sz w:val="32"/>
          <w:szCs w:val="32"/>
          <w:highlight w:val="none"/>
          <w:lang w:eastAsia="zh-CN"/>
        </w:rPr>
        <w:t>《</w:t>
      </w:r>
      <w:r>
        <w:rPr>
          <w:rFonts w:hint="eastAsia" w:ascii="仿宋_GB2312" w:hAnsi="Tahoma" w:eastAsia="仿宋_GB2312" w:cs="Times New Roman"/>
          <w:color w:val="auto"/>
          <w:sz w:val="32"/>
          <w:szCs w:val="32"/>
          <w:highlight w:val="none"/>
          <w:lang w:val="en-US" w:eastAsia="zh-CN"/>
        </w:rPr>
        <w:t>河北省生活垃圾处理收费管理办法》</w:t>
      </w:r>
      <w:r>
        <w:rPr>
          <w:rFonts w:hint="eastAsia" w:ascii="仿宋_GB2312" w:hAnsi="Tahoma" w:eastAsia="仿宋_GB2312" w:cs="Times New Roman"/>
          <w:color w:val="auto"/>
          <w:sz w:val="32"/>
          <w:szCs w:val="32"/>
          <w:highlight w:val="none"/>
        </w:rPr>
        <w:t>（冀发改公价规〔2023〕6号）</w:t>
      </w:r>
      <w:r>
        <w:rPr>
          <w:rFonts w:hint="eastAsia" w:ascii="仿宋_GB2312" w:hAnsi="Tahoma" w:eastAsia="仿宋_GB2312" w:cs="Times New Roman"/>
          <w:color w:val="auto"/>
          <w:sz w:val="32"/>
          <w:szCs w:val="32"/>
          <w:highlight w:val="none"/>
          <w:lang w:eastAsia="zh-CN"/>
        </w:rPr>
        <w:t>和</w:t>
      </w:r>
      <w:r>
        <w:rPr>
          <w:rFonts w:hint="eastAsia" w:ascii="仿宋_GB2312" w:hAnsi="Tahoma" w:eastAsia="仿宋_GB2312" w:cs="Times New Roman"/>
          <w:color w:val="auto"/>
          <w:sz w:val="32"/>
          <w:szCs w:val="32"/>
          <w:highlight w:val="none"/>
        </w:rPr>
        <w:t>河北省发展和改革委员会等四部门</w:t>
      </w:r>
      <w:r>
        <w:rPr>
          <w:rFonts w:hint="eastAsia" w:ascii="仿宋_GB2312" w:hAnsi="Tahoma" w:eastAsia="仿宋_GB2312" w:cs="Times New Roman"/>
          <w:color w:val="auto"/>
          <w:sz w:val="32"/>
          <w:szCs w:val="32"/>
          <w:highlight w:val="none"/>
          <w:lang w:eastAsia="zh-CN"/>
        </w:rPr>
        <w:t>《</w:t>
      </w:r>
      <w:r>
        <w:rPr>
          <w:rFonts w:hint="eastAsia" w:ascii="仿宋_GB2312" w:hAnsi="Tahoma" w:eastAsia="仿宋_GB2312" w:cs="Times New Roman"/>
          <w:color w:val="auto"/>
          <w:sz w:val="32"/>
          <w:szCs w:val="32"/>
          <w:highlight w:val="none"/>
        </w:rPr>
        <w:t>关于</w:t>
      </w:r>
      <w:r>
        <w:rPr>
          <w:rFonts w:hint="eastAsia" w:ascii="仿宋_GB2312" w:hAnsi="Tahoma" w:eastAsia="仿宋_GB2312" w:cs="Times New Roman"/>
          <w:color w:val="auto"/>
          <w:sz w:val="32"/>
          <w:szCs w:val="32"/>
          <w:highlight w:val="none"/>
          <w:lang w:val="en-US" w:eastAsia="zh-CN"/>
        </w:rPr>
        <w:t>进一步加强生活垃圾处理收费管理的通知</w:t>
      </w:r>
      <w:r>
        <w:rPr>
          <w:rFonts w:hint="eastAsia" w:ascii="仿宋_GB2312" w:hAnsi="Tahoma" w:eastAsia="仿宋_GB2312" w:cs="Times New Roman"/>
          <w:color w:val="auto"/>
          <w:sz w:val="32"/>
          <w:szCs w:val="32"/>
          <w:highlight w:val="none"/>
          <w:lang w:eastAsia="zh-CN"/>
        </w:rPr>
        <w:t>》（</w:t>
      </w:r>
      <w:r>
        <w:rPr>
          <w:rFonts w:hint="eastAsia" w:ascii="仿宋_GB2312" w:hAnsi="Tahoma" w:eastAsia="仿宋_GB2312" w:cs="Times New Roman"/>
          <w:color w:val="auto"/>
          <w:sz w:val="32"/>
          <w:szCs w:val="32"/>
          <w:highlight w:val="none"/>
        </w:rPr>
        <w:t>冀发改公价〔202</w:t>
      </w:r>
      <w:r>
        <w:rPr>
          <w:rFonts w:hint="eastAsia" w:ascii="仿宋_GB2312" w:hAnsi="Tahoma" w:eastAsia="仿宋_GB2312" w:cs="Times New Roman"/>
          <w:color w:val="auto"/>
          <w:sz w:val="32"/>
          <w:szCs w:val="32"/>
          <w:highlight w:val="none"/>
          <w:lang w:val="en-US" w:eastAsia="zh-CN"/>
        </w:rPr>
        <w:t>4</w:t>
      </w:r>
      <w:r>
        <w:rPr>
          <w:rFonts w:hint="eastAsia" w:ascii="仿宋_GB2312" w:hAnsi="Tahoma" w:eastAsia="仿宋_GB2312" w:cs="Times New Roman"/>
          <w:color w:val="auto"/>
          <w:sz w:val="32"/>
          <w:szCs w:val="32"/>
          <w:highlight w:val="none"/>
        </w:rPr>
        <w:t>〕395号</w:t>
      </w:r>
      <w:r>
        <w:rPr>
          <w:rFonts w:hint="eastAsia" w:ascii="仿宋_GB2312" w:hAnsi="Tahoma" w:eastAsia="仿宋_GB2312" w:cs="Times New Roman"/>
          <w:color w:val="auto"/>
          <w:sz w:val="32"/>
          <w:szCs w:val="32"/>
          <w:highlight w:val="none"/>
          <w:lang w:eastAsia="zh-CN"/>
        </w:rPr>
        <w:t>）</w:t>
      </w:r>
      <w:r>
        <w:rPr>
          <w:rFonts w:hint="eastAsia" w:ascii="仿宋_GB2312" w:hAnsi="Tahoma" w:eastAsia="仿宋_GB2312" w:cs="Times New Roman"/>
          <w:color w:val="auto"/>
          <w:sz w:val="32"/>
          <w:szCs w:val="32"/>
          <w:highlight w:val="none"/>
        </w:rPr>
        <w:t>等规定，结合我县实际情况，制定本</w:t>
      </w:r>
      <w:r>
        <w:rPr>
          <w:rFonts w:hint="eastAsia" w:ascii="仿宋_GB2312" w:hAnsi="Tahoma" w:eastAsia="仿宋_GB2312" w:cs="Times New Roman"/>
          <w:color w:val="auto"/>
          <w:sz w:val="32"/>
          <w:szCs w:val="32"/>
          <w:highlight w:val="none"/>
          <w:lang w:eastAsia="zh-CN"/>
        </w:rPr>
        <w:t>办法</w:t>
      </w:r>
      <w:r>
        <w:rPr>
          <w:rFonts w:hint="eastAsia" w:ascii="仿宋_GB2312" w:hAnsi="Tahoma" w:eastAsia="仿宋_GB2312" w:cs="Times New Roman"/>
          <w:color w:val="auto"/>
          <w:sz w:val="32"/>
          <w:szCs w:val="32"/>
          <w:highlight w:val="none"/>
        </w:rPr>
        <w:t>。</w:t>
      </w:r>
    </w:p>
    <w:p w14:paraId="0D69DF17">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eastAsia="zh-CN"/>
        </w:rPr>
        <w:t>二</w:t>
      </w:r>
      <w:r>
        <w:rPr>
          <w:rFonts w:hint="eastAsia" w:ascii="黑体" w:hAnsi="黑体" w:eastAsia="黑体" w:cs="黑体"/>
          <w:b w:val="0"/>
          <w:bCs w:val="0"/>
          <w:color w:val="auto"/>
          <w:sz w:val="32"/>
          <w:szCs w:val="32"/>
          <w:highlight w:val="none"/>
        </w:rPr>
        <w:t>条</w:t>
      </w:r>
      <w:r>
        <w:rPr>
          <w:rFonts w:hint="eastAsia" w:ascii="仿宋_GB2312" w:hAnsi="Tahoma" w:eastAsia="仿宋_GB2312" w:cs="Times New Roman"/>
          <w:color w:val="auto"/>
          <w:sz w:val="32"/>
          <w:szCs w:val="32"/>
          <w:highlight w:val="none"/>
        </w:rPr>
        <w:t xml:space="preserve"> </w:t>
      </w:r>
      <w:r>
        <w:rPr>
          <w:rFonts w:hint="eastAsia" w:ascii="仿宋_GB2312" w:hAnsi="Tahoma" w:eastAsia="仿宋_GB2312" w:cs="Times New Roman"/>
          <w:color w:val="auto"/>
          <w:sz w:val="32"/>
          <w:szCs w:val="32"/>
          <w:highlight w:val="none"/>
          <w:lang w:val="en-US" w:eastAsia="zh-CN"/>
        </w:rPr>
        <w:t xml:space="preserve"> 本办法适用于涞源县县城规划区域内生活垃圾处理收费标准的制定与调整、征收与使用及收费行为的监督管理。</w:t>
      </w:r>
    </w:p>
    <w:p w14:paraId="0FB7FF98">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eastAsia="zh-CN"/>
        </w:rPr>
        <w:t>三</w:t>
      </w:r>
      <w:r>
        <w:rPr>
          <w:rFonts w:hint="eastAsia" w:ascii="黑体" w:hAnsi="黑体" w:eastAsia="黑体" w:cs="黑体"/>
          <w:b w:val="0"/>
          <w:bCs w:val="0"/>
          <w:color w:val="auto"/>
          <w:sz w:val="32"/>
          <w:szCs w:val="32"/>
          <w:highlight w:val="none"/>
        </w:rPr>
        <w:t>条</w:t>
      </w:r>
      <w:r>
        <w:rPr>
          <w:rFonts w:hint="eastAsia" w:ascii="黑体" w:hAnsi="黑体" w:eastAsia="黑体" w:cs="黑体"/>
          <w:b w:val="0"/>
          <w:bCs w:val="0"/>
          <w:color w:val="auto"/>
          <w:sz w:val="32"/>
          <w:szCs w:val="32"/>
          <w:highlight w:val="none"/>
          <w:lang w:val="en-US" w:eastAsia="zh-CN"/>
        </w:rPr>
        <w:t xml:space="preserve">  </w:t>
      </w:r>
      <w:r>
        <w:rPr>
          <w:rFonts w:hint="eastAsia" w:ascii="仿宋_GB2312" w:hAnsi="Tahoma" w:eastAsia="仿宋_GB2312" w:cs="Times New Roman"/>
          <w:color w:val="auto"/>
          <w:sz w:val="32"/>
          <w:szCs w:val="32"/>
          <w:highlight w:val="none"/>
          <w:lang w:eastAsia="zh-CN"/>
        </w:rPr>
        <w:t>本办法</w:t>
      </w:r>
      <w:r>
        <w:rPr>
          <w:rFonts w:hint="eastAsia" w:ascii="仿宋_GB2312" w:hAnsi="Tahoma" w:eastAsia="仿宋_GB2312" w:cs="Times New Roman"/>
          <w:color w:val="auto"/>
          <w:sz w:val="32"/>
          <w:szCs w:val="32"/>
          <w:highlight w:val="none"/>
        </w:rPr>
        <w:t>生活垃圾是指在日常生活中产生</w:t>
      </w:r>
      <w:r>
        <w:rPr>
          <w:rFonts w:hint="eastAsia" w:ascii="仿宋_GB2312" w:hAnsi="Tahoma" w:eastAsia="仿宋_GB2312" w:cs="Times New Roman"/>
          <w:color w:val="auto"/>
          <w:sz w:val="32"/>
          <w:szCs w:val="32"/>
          <w:highlight w:val="none"/>
          <w:lang w:eastAsia="zh-CN"/>
        </w:rPr>
        <w:t>或者</w:t>
      </w:r>
      <w:r>
        <w:rPr>
          <w:rFonts w:hint="eastAsia" w:ascii="仿宋_GB2312" w:hAnsi="Tahoma" w:eastAsia="仿宋_GB2312" w:cs="Times New Roman"/>
          <w:color w:val="auto"/>
          <w:sz w:val="32"/>
          <w:szCs w:val="32"/>
          <w:highlight w:val="none"/>
        </w:rPr>
        <w:t>为日常生活提供服务</w:t>
      </w:r>
      <w:r>
        <w:rPr>
          <w:rFonts w:hint="eastAsia" w:ascii="仿宋_GB2312" w:hAnsi="Tahoma" w:eastAsia="仿宋_GB2312" w:cs="Times New Roman"/>
          <w:color w:val="auto"/>
          <w:sz w:val="32"/>
          <w:szCs w:val="32"/>
          <w:highlight w:val="none"/>
          <w:lang w:eastAsia="zh-CN"/>
        </w:rPr>
        <w:t>的</w:t>
      </w:r>
      <w:r>
        <w:rPr>
          <w:rFonts w:hint="eastAsia" w:ascii="仿宋_GB2312" w:hAnsi="Tahoma" w:eastAsia="仿宋_GB2312" w:cs="Times New Roman"/>
          <w:color w:val="auto"/>
          <w:sz w:val="32"/>
          <w:szCs w:val="32"/>
          <w:highlight w:val="none"/>
        </w:rPr>
        <w:t>活动</w:t>
      </w:r>
      <w:r>
        <w:rPr>
          <w:rFonts w:hint="eastAsia" w:ascii="仿宋_GB2312" w:hAnsi="Tahoma" w:eastAsia="仿宋_GB2312" w:cs="Times New Roman"/>
          <w:color w:val="auto"/>
          <w:sz w:val="32"/>
          <w:szCs w:val="32"/>
          <w:highlight w:val="none"/>
          <w:lang w:eastAsia="zh-CN"/>
        </w:rPr>
        <w:t>中</w:t>
      </w:r>
      <w:r>
        <w:rPr>
          <w:rFonts w:hint="eastAsia" w:ascii="仿宋_GB2312" w:hAnsi="Tahoma" w:eastAsia="仿宋_GB2312" w:cs="Times New Roman"/>
          <w:color w:val="auto"/>
          <w:sz w:val="32"/>
          <w:szCs w:val="32"/>
          <w:highlight w:val="none"/>
        </w:rPr>
        <w:t>产生的固体废物</w:t>
      </w:r>
      <w:r>
        <w:rPr>
          <w:rFonts w:hint="eastAsia" w:ascii="仿宋_GB2312" w:hAnsi="Tahoma" w:eastAsia="仿宋_GB2312" w:cs="Times New Roman"/>
          <w:color w:val="auto"/>
          <w:sz w:val="32"/>
          <w:szCs w:val="32"/>
          <w:highlight w:val="none"/>
          <w:lang w:val="en-US" w:eastAsia="zh-CN"/>
        </w:rPr>
        <w:t>以及法律、行政法规规定视为生活垃圾的固体废物</w:t>
      </w:r>
      <w:r>
        <w:rPr>
          <w:rFonts w:hint="eastAsia" w:ascii="仿宋_GB2312" w:hAnsi="Tahoma" w:eastAsia="仿宋_GB2312" w:cs="Times New Roman"/>
          <w:color w:val="auto"/>
          <w:sz w:val="32"/>
          <w:szCs w:val="32"/>
          <w:highlight w:val="none"/>
        </w:rPr>
        <w:t>，不包括危险废物</w:t>
      </w:r>
      <w:r>
        <w:rPr>
          <w:rFonts w:hint="eastAsia" w:ascii="仿宋_GB2312" w:hAnsi="Tahoma" w:eastAsia="仿宋_GB2312" w:cs="Times New Roman"/>
          <w:color w:val="auto"/>
          <w:sz w:val="32"/>
          <w:szCs w:val="32"/>
          <w:highlight w:val="none"/>
          <w:lang w:eastAsia="zh-CN"/>
        </w:rPr>
        <w:t>、</w:t>
      </w:r>
      <w:r>
        <w:rPr>
          <w:rFonts w:hint="eastAsia" w:ascii="仿宋_GB2312" w:hAnsi="Tahoma" w:eastAsia="仿宋_GB2312" w:cs="Times New Roman"/>
          <w:color w:val="auto"/>
          <w:sz w:val="32"/>
          <w:szCs w:val="32"/>
          <w:highlight w:val="none"/>
        </w:rPr>
        <w:t>医疗废物</w:t>
      </w:r>
      <w:r>
        <w:rPr>
          <w:rFonts w:hint="eastAsia" w:ascii="仿宋_GB2312" w:hAnsi="Tahoma" w:eastAsia="仿宋_GB2312" w:cs="Times New Roman"/>
          <w:color w:val="auto"/>
          <w:sz w:val="32"/>
          <w:szCs w:val="32"/>
          <w:highlight w:val="none"/>
          <w:lang w:eastAsia="zh-CN"/>
        </w:rPr>
        <w:t>、</w:t>
      </w:r>
      <w:r>
        <w:rPr>
          <w:rFonts w:hint="eastAsia" w:ascii="仿宋_GB2312" w:hAnsi="Tahoma" w:eastAsia="仿宋_GB2312" w:cs="Times New Roman"/>
          <w:color w:val="auto"/>
          <w:sz w:val="32"/>
          <w:szCs w:val="32"/>
          <w:highlight w:val="none"/>
        </w:rPr>
        <w:t>工业废物</w:t>
      </w:r>
      <w:r>
        <w:rPr>
          <w:rFonts w:hint="eastAsia" w:ascii="仿宋_GB2312" w:hAnsi="Tahoma" w:eastAsia="仿宋_GB2312" w:cs="Times New Roman"/>
          <w:color w:val="auto"/>
          <w:sz w:val="32"/>
          <w:szCs w:val="32"/>
          <w:highlight w:val="none"/>
          <w:lang w:eastAsia="zh-CN"/>
        </w:rPr>
        <w:t>、</w:t>
      </w:r>
      <w:r>
        <w:rPr>
          <w:rFonts w:hint="eastAsia" w:ascii="仿宋_GB2312" w:hAnsi="Tahoma" w:eastAsia="仿宋_GB2312" w:cs="Times New Roman"/>
          <w:color w:val="auto"/>
          <w:sz w:val="32"/>
          <w:szCs w:val="32"/>
          <w:highlight w:val="none"/>
        </w:rPr>
        <w:t>建筑垃圾</w:t>
      </w:r>
      <w:r>
        <w:rPr>
          <w:rFonts w:hint="eastAsia" w:ascii="仿宋_GB2312" w:hAnsi="Tahoma" w:eastAsia="仿宋_GB2312" w:cs="Times New Roman"/>
          <w:color w:val="auto"/>
          <w:sz w:val="32"/>
          <w:szCs w:val="32"/>
          <w:highlight w:val="none"/>
          <w:lang w:eastAsia="zh-CN"/>
        </w:rPr>
        <w:t>（含</w:t>
      </w:r>
      <w:r>
        <w:rPr>
          <w:rFonts w:hint="eastAsia" w:ascii="仿宋_GB2312" w:hAnsi="Tahoma" w:eastAsia="仿宋_GB2312" w:cs="Times New Roman"/>
          <w:color w:val="auto"/>
          <w:sz w:val="32"/>
          <w:szCs w:val="32"/>
          <w:highlight w:val="none"/>
        </w:rPr>
        <w:t>渣土</w:t>
      </w:r>
      <w:r>
        <w:rPr>
          <w:rFonts w:hint="eastAsia" w:ascii="仿宋_GB2312" w:hAnsi="Tahoma" w:eastAsia="仿宋_GB2312" w:cs="Times New Roman"/>
          <w:color w:val="auto"/>
          <w:sz w:val="32"/>
          <w:szCs w:val="32"/>
          <w:highlight w:val="none"/>
          <w:lang w:eastAsia="zh-CN"/>
        </w:rPr>
        <w:t>、</w:t>
      </w:r>
      <w:r>
        <w:rPr>
          <w:rFonts w:hint="eastAsia" w:ascii="仿宋_GB2312" w:hAnsi="Tahoma" w:eastAsia="仿宋_GB2312" w:cs="Times New Roman"/>
          <w:color w:val="auto"/>
          <w:sz w:val="32"/>
          <w:szCs w:val="32"/>
          <w:highlight w:val="none"/>
        </w:rPr>
        <w:t>住宅装修垃圾</w:t>
      </w:r>
      <w:r>
        <w:rPr>
          <w:rFonts w:hint="eastAsia" w:ascii="仿宋_GB2312" w:hAnsi="Tahoma" w:eastAsia="仿宋_GB2312" w:cs="Times New Roman"/>
          <w:color w:val="auto"/>
          <w:sz w:val="32"/>
          <w:szCs w:val="32"/>
          <w:highlight w:val="none"/>
          <w:lang w:eastAsia="zh-CN"/>
        </w:rPr>
        <w:t>等）、</w:t>
      </w:r>
      <w:r>
        <w:rPr>
          <w:rFonts w:hint="eastAsia" w:ascii="仿宋_GB2312" w:hAnsi="Tahoma" w:eastAsia="仿宋_GB2312" w:cs="Times New Roman"/>
          <w:color w:val="auto"/>
          <w:sz w:val="32"/>
          <w:szCs w:val="32"/>
          <w:highlight w:val="none"/>
        </w:rPr>
        <w:t>绿化作业垃圾</w:t>
      </w:r>
      <w:r>
        <w:rPr>
          <w:rFonts w:hint="eastAsia" w:ascii="仿宋_GB2312" w:hAnsi="Tahoma" w:eastAsia="仿宋_GB2312" w:cs="Times New Roman"/>
          <w:color w:val="auto"/>
          <w:sz w:val="32"/>
          <w:szCs w:val="32"/>
          <w:highlight w:val="none"/>
          <w:lang w:eastAsia="zh-CN"/>
        </w:rPr>
        <w:t>和</w:t>
      </w:r>
      <w:r>
        <w:rPr>
          <w:rFonts w:hint="eastAsia" w:ascii="仿宋_GB2312" w:hAnsi="Tahoma" w:eastAsia="仿宋_GB2312" w:cs="Times New Roman"/>
          <w:color w:val="auto"/>
          <w:sz w:val="32"/>
          <w:szCs w:val="32"/>
          <w:highlight w:val="none"/>
        </w:rPr>
        <w:t>农业生产废物。</w:t>
      </w:r>
    </w:p>
    <w:p w14:paraId="5DADDD00">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eastAsia="zh-CN"/>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eastAsia="zh-CN"/>
        </w:rPr>
        <w:t>四</w:t>
      </w:r>
      <w:r>
        <w:rPr>
          <w:rFonts w:hint="eastAsia" w:ascii="黑体" w:hAnsi="黑体" w:eastAsia="黑体" w:cs="黑体"/>
          <w:b w:val="0"/>
          <w:bCs w:val="0"/>
          <w:color w:val="auto"/>
          <w:sz w:val="32"/>
          <w:szCs w:val="32"/>
          <w:highlight w:val="none"/>
        </w:rPr>
        <w:t>条</w:t>
      </w:r>
      <w:r>
        <w:rPr>
          <w:rFonts w:hint="eastAsia" w:ascii="仿宋_GB2312" w:hAnsi="Tahoma" w:eastAsia="仿宋_GB2312" w:cs="Times New Roman"/>
          <w:color w:val="auto"/>
          <w:sz w:val="32"/>
          <w:szCs w:val="32"/>
          <w:highlight w:val="none"/>
        </w:rPr>
        <w:t xml:space="preserve"> </w:t>
      </w:r>
      <w:r>
        <w:rPr>
          <w:rFonts w:hint="eastAsia" w:ascii="仿宋_GB2312" w:hAnsi="Tahoma" w:eastAsia="仿宋_GB2312" w:cs="Times New Roman"/>
          <w:color w:val="auto"/>
          <w:sz w:val="32"/>
          <w:szCs w:val="32"/>
          <w:highlight w:val="none"/>
          <w:lang w:val="en-US" w:eastAsia="zh-CN"/>
        </w:rPr>
        <w:t xml:space="preserve"> </w:t>
      </w:r>
      <w:r>
        <w:rPr>
          <w:rFonts w:hint="eastAsia" w:ascii="仿宋_GB2312" w:hAnsi="Tahoma" w:eastAsia="仿宋_GB2312" w:cs="Times New Roman"/>
          <w:color w:val="auto"/>
          <w:sz w:val="32"/>
          <w:szCs w:val="32"/>
          <w:highlight w:val="none"/>
          <w:lang w:eastAsia="zh-CN"/>
        </w:rPr>
        <w:t>本办法城</w:t>
      </w:r>
      <w:r>
        <w:rPr>
          <w:rFonts w:hint="eastAsia" w:ascii="仿宋_GB2312" w:hAnsi="Tahoma" w:eastAsia="仿宋_GB2312" w:cs="Times New Roman"/>
          <w:color w:val="auto"/>
          <w:sz w:val="32"/>
          <w:szCs w:val="32"/>
          <w:highlight w:val="none"/>
          <w:lang w:val="en-US" w:eastAsia="zh-CN"/>
        </w:rPr>
        <w:t>区</w:t>
      </w:r>
      <w:r>
        <w:rPr>
          <w:rFonts w:hint="eastAsia" w:ascii="仿宋_GB2312" w:hAnsi="Tahoma" w:eastAsia="仿宋_GB2312" w:cs="Times New Roman"/>
          <w:color w:val="auto"/>
          <w:sz w:val="32"/>
          <w:szCs w:val="32"/>
          <w:highlight w:val="none"/>
          <w:lang w:eastAsia="zh-CN"/>
        </w:rPr>
        <w:t>生活垃圾处理费，是指向单位或个人征收的，用于将城乡规划建设的垃圾站（包括生活区内垃圾站以及生活垃圾管理部门提供的临时垃圾设施，下同）的零散垃圾收集并运输到指定的垃圾集中处理地，实行无害化集中处理过程中所产生的收集、运输（含装卸，下同）和处置的费用。</w:t>
      </w:r>
    </w:p>
    <w:p w14:paraId="4184DD6E">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第五条</w:t>
      </w:r>
      <w:r>
        <w:rPr>
          <w:rFonts w:hint="eastAsia" w:ascii="仿宋_GB2312" w:hAnsi="Tahoma" w:eastAsia="仿宋_GB2312" w:cs="Times New Roman"/>
          <w:color w:val="auto"/>
          <w:sz w:val="32"/>
          <w:szCs w:val="32"/>
          <w:highlight w:val="none"/>
          <w:lang w:val="en-US" w:eastAsia="zh-CN"/>
        </w:rPr>
        <w:t xml:space="preserve">  生活垃圾处理费的管理，应坚持“产生者付费、激励约束并重、因地分类施策、推动绿色发展”的原则。</w:t>
      </w:r>
    </w:p>
    <w:p w14:paraId="178F730C">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六</w:t>
      </w:r>
      <w:r>
        <w:rPr>
          <w:rFonts w:hint="eastAsia" w:ascii="黑体" w:hAnsi="黑体" w:eastAsia="黑体" w:cs="黑体"/>
          <w:b w:val="0"/>
          <w:bCs w:val="0"/>
          <w:color w:val="auto"/>
          <w:sz w:val="32"/>
          <w:szCs w:val="32"/>
          <w:highlight w:val="none"/>
        </w:rPr>
        <w:t>条</w:t>
      </w:r>
      <w:r>
        <w:rPr>
          <w:rFonts w:hint="eastAsia" w:ascii="仿宋_GB2312" w:hAnsi="Tahoma" w:eastAsia="仿宋_GB2312" w:cs="Times New Roman"/>
          <w:color w:val="auto"/>
          <w:sz w:val="32"/>
          <w:szCs w:val="32"/>
          <w:highlight w:val="none"/>
        </w:rPr>
        <w:t xml:space="preserve"> </w:t>
      </w:r>
      <w:r>
        <w:rPr>
          <w:rFonts w:hint="eastAsia" w:ascii="仿宋_GB2312" w:hAnsi="Tahoma" w:eastAsia="仿宋_GB2312" w:cs="Times New Roman"/>
          <w:color w:val="auto"/>
          <w:sz w:val="32"/>
          <w:szCs w:val="32"/>
          <w:highlight w:val="none"/>
          <w:lang w:val="en-US" w:eastAsia="zh-CN"/>
        </w:rPr>
        <w:t xml:space="preserve"> 在县城区内，全面推行生活垃圾处理收费制度。所有产生生活垃圾的机关、企事业单位、社会团体、个体经营者、城镇居民（含暂住人口）以及各类营运交通工具等，均应按规定缴纳生活垃圾处理费。</w:t>
      </w:r>
    </w:p>
    <w:p w14:paraId="1E8136AF">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黑体" w:hAnsi="黑体" w:eastAsia="黑体" w:cs="黑体"/>
          <w:b w:val="0"/>
          <w:bCs w:val="0"/>
          <w:color w:val="auto"/>
          <w:sz w:val="32"/>
          <w:szCs w:val="32"/>
          <w:highlight w:val="none"/>
        </w:rPr>
        <w:t>第</w:t>
      </w:r>
      <w:r>
        <w:rPr>
          <w:rFonts w:hint="eastAsia" w:ascii="黑体" w:hAnsi="黑体" w:eastAsia="黑体" w:cs="黑体"/>
          <w:b w:val="0"/>
          <w:bCs w:val="0"/>
          <w:color w:val="auto"/>
          <w:sz w:val="32"/>
          <w:szCs w:val="32"/>
          <w:highlight w:val="none"/>
          <w:lang w:val="en-US" w:eastAsia="zh-CN"/>
        </w:rPr>
        <w:t>七</w:t>
      </w:r>
      <w:r>
        <w:rPr>
          <w:rFonts w:hint="eastAsia" w:ascii="黑体" w:hAnsi="黑体" w:eastAsia="黑体" w:cs="黑体"/>
          <w:b w:val="0"/>
          <w:bCs w:val="0"/>
          <w:color w:val="auto"/>
          <w:sz w:val="32"/>
          <w:szCs w:val="32"/>
          <w:highlight w:val="none"/>
        </w:rPr>
        <w:t>条</w:t>
      </w:r>
      <w:r>
        <w:rPr>
          <w:rFonts w:hint="eastAsia" w:ascii="仿宋_GB2312" w:hAnsi="Tahoma" w:eastAsia="仿宋_GB2312" w:cs="Times New Roman"/>
          <w:color w:val="auto"/>
          <w:sz w:val="32"/>
          <w:szCs w:val="32"/>
          <w:highlight w:val="none"/>
        </w:rPr>
        <w:t xml:space="preserve"> </w:t>
      </w:r>
      <w:r>
        <w:rPr>
          <w:rFonts w:hint="eastAsia" w:ascii="仿宋_GB2312" w:hAnsi="Tahoma" w:eastAsia="仿宋_GB2312" w:cs="Times New Roman"/>
          <w:color w:val="auto"/>
          <w:sz w:val="32"/>
          <w:szCs w:val="32"/>
          <w:highlight w:val="none"/>
          <w:lang w:val="en-US" w:eastAsia="zh-CN"/>
        </w:rPr>
        <w:t xml:space="preserve"> 城区生活垃圾处理费标准。根据我县生活垃圾处理实际水平，具体征收标准为：</w:t>
      </w:r>
    </w:p>
    <w:p w14:paraId="7A0C1BFD">
      <w:pPr>
        <w:keepNext w:val="0"/>
        <w:keepLines w:val="0"/>
        <w:pageBreakBefore w:val="0"/>
        <w:widowControl w:val="0"/>
        <w:kinsoku/>
        <w:wordWrap/>
        <w:overflowPunct/>
        <w:topLinePunct w:val="0"/>
        <w:autoSpaceDE/>
        <w:autoSpaceDN/>
        <w:bidi w:val="0"/>
        <w:adjustRightInd w:val="0"/>
        <w:snapToGrid w:val="0"/>
        <w:spacing w:after="0" w:line="560" w:lineRule="exact"/>
        <w:ind w:left="0" w:leftChars="0" w:firstLine="643" w:firstLineChars="200"/>
        <w:jc w:val="both"/>
        <w:textAlignment w:val="auto"/>
        <w:rPr>
          <w:rFonts w:hint="eastAsia" w:ascii="仿宋_GB2312" w:hAnsi="Tahoma" w:eastAsia="仿宋_GB2312" w:cs="Times New Roman"/>
          <w:b/>
          <w:bCs/>
          <w:color w:val="auto"/>
          <w:sz w:val="32"/>
          <w:szCs w:val="32"/>
          <w:highlight w:val="none"/>
          <w:lang w:eastAsia="zh-CN"/>
        </w:rPr>
      </w:pPr>
      <w:r>
        <w:rPr>
          <w:rFonts w:hint="eastAsia" w:ascii="仿宋_GB2312" w:hAnsi="Tahoma" w:eastAsia="仿宋_GB2312" w:cs="Times New Roman"/>
          <w:b/>
          <w:bCs/>
          <w:color w:val="auto"/>
          <w:sz w:val="32"/>
          <w:szCs w:val="32"/>
          <w:highlight w:val="none"/>
          <w:lang w:eastAsia="zh-CN"/>
        </w:rPr>
        <w:t>（一）个人缴纳:</w:t>
      </w:r>
    </w:p>
    <w:p w14:paraId="5A5145E6">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仿宋_GB2312" w:hAnsi="Tahoma" w:eastAsia="仿宋_GB2312" w:cs="Times New Roman"/>
          <w:color w:val="auto"/>
          <w:sz w:val="32"/>
          <w:szCs w:val="32"/>
          <w:highlight w:val="none"/>
          <w:lang w:val="en-US" w:eastAsia="zh-CN"/>
        </w:rPr>
        <w:t>常住人口：3元/（户·月），暂住人口：2元/（人·月）。</w:t>
      </w:r>
    </w:p>
    <w:p w14:paraId="3E4F3134">
      <w:pPr>
        <w:keepNext w:val="0"/>
        <w:keepLines w:val="0"/>
        <w:pageBreakBefore w:val="0"/>
        <w:widowControl w:val="0"/>
        <w:numPr>
          <w:ilvl w:val="0"/>
          <w:numId w:val="2"/>
        </w:numPr>
        <w:kinsoku/>
        <w:wordWrap/>
        <w:overflowPunct/>
        <w:topLinePunct w:val="0"/>
        <w:autoSpaceDE/>
        <w:autoSpaceDN/>
        <w:bidi w:val="0"/>
        <w:adjustRightInd w:val="0"/>
        <w:snapToGrid w:val="0"/>
        <w:spacing w:after="0" w:line="560" w:lineRule="exact"/>
        <w:ind w:left="0" w:leftChars="0" w:firstLine="643" w:firstLineChars="200"/>
        <w:jc w:val="both"/>
        <w:textAlignment w:val="auto"/>
        <w:rPr>
          <w:rFonts w:hint="eastAsia" w:ascii="仿宋_GB2312" w:hAnsi="Tahoma" w:eastAsia="仿宋_GB2312" w:cs="Times New Roman"/>
          <w:b/>
          <w:bCs/>
          <w:color w:val="auto"/>
          <w:sz w:val="32"/>
          <w:szCs w:val="32"/>
          <w:highlight w:val="none"/>
          <w:lang w:eastAsia="zh-CN"/>
        </w:rPr>
      </w:pPr>
      <w:r>
        <w:rPr>
          <w:rFonts w:hint="eastAsia" w:ascii="仿宋_GB2312" w:hAnsi="Tahoma" w:eastAsia="仿宋_GB2312" w:cs="Times New Roman"/>
          <w:b/>
          <w:bCs/>
          <w:color w:val="auto"/>
          <w:sz w:val="32"/>
          <w:szCs w:val="32"/>
          <w:highlight w:val="none"/>
          <w:lang w:eastAsia="zh-CN"/>
        </w:rPr>
        <w:t>单位缴纳：</w:t>
      </w:r>
    </w:p>
    <w:p w14:paraId="0E6CD3E9">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 w:hAnsi="仿宋" w:eastAsia="仿宋" w:cs="仿宋"/>
          <w:color w:val="auto"/>
          <w:sz w:val="32"/>
          <w:szCs w:val="32"/>
          <w:highlight w:val="none"/>
        </w:rPr>
      </w:pPr>
      <w:r>
        <w:rPr>
          <w:rFonts w:hint="eastAsia" w:ascii="仿宋_GB2312" w:eastAsia="仿宋_GB2312"/>
          <w:color w:val="auto"/>
          <w:sz w:val="32"/>
          <w:szCs w:val="32"/>
          <w:highlight w:val="none"/>
        </w:rPr>
        <w:t>1.</w:t>
      </w:r>
      <w:r>
        <w:rPr>
          <w:rFonts w:hint="eastAsia" w:ascii="仿宋_GB2312" w:hAnsi="Tahoma" w:eastAsia="仿宋_GB2312" w:cs="Times New Roman"/>
          <w:color w:val="auto"/>
          <w:sz w:val="32"/>
          <w:szCs w:val="32"/>
          <w:highlight w:val="none"/>
          <w:lang w:val="en-US" w:eastAsia="zh-CN"/>
        </w:rPr>
        <w:t>国家行政机关、社会团体、企事业单位以单位实有人数收取：1.50元/（人·月），由单位支付。</w:t>
      </w:r>
    </w:p>
    <w:p w14:paraId="5096E2C6">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 w:hAnsi="仿宋" w:eastAsia="仿宋" w:cs="仿宋"/>
          <w:color w:val="auto"/>
          <w:sz w:val="32"/>
          <w:szCs w:val="32"/>
          <w:highlight w:val="none"/>
        </w:rPr>
      </w:pPr>
      <w:r>
        <w:rPr>
          <w:rFonts w:hint="eastAsia" w:ascii="仿宋_GB2312" w:eastAsia="仿宋_GB2312"/>
          <w:color w:val="auto"/>
          <w:sz w:val="32"/>
          <w:szCs w:val="32"/>
          <w:highlight w:val="none"/>
          <w:lang w:val="en-US" w:eastAsia="zh-CN"/>
        </w:rPr>
        <w:t>2.</w:t>
      </w:r>
      <w:r>
        <w:rPr>
          <w:rFonts w:hint="eastAsia" w:ascii="仿宋_GB2312" w:hAnsi="Tahoma" w:eastAsia="仿宋_GB2312" w:cs="Times New Roman"/>
          <w:color w:val="auto"/>
          <w:sz w:val="32"/>
          <w:szCs w:val="32"/>
          <w:highlight w:val="none"/>
          <w:lang w:val="en-US" w:eastAsia="zh-CN"/>
        </w:rPr>
        <w:t>各级各类学校（按在籍生数）收取：0.20元/（人·月），由校方支付。</w:t>
      </w:r>
    </w:p>
    <w:p w14:paraId="26208E85">
      <w:pPr>
        <w:keepNext w:val="0"/>
        <w:keepLines w:val="0"/>
        <w:pageBreakBefore w:val="0"/>
        <w:widowControl w:val="0"/>
        <w:kinsoku/>
        <w:wordWrap/>
        <w:overflowPunct/>
        <w:topLinePunct w:val="0"/>
        <w:autoSpaceDE/>
        <w:autoSpaceDN/>
        <w:bidi w:val="0"/>
        <w:adjustRightInd w:val="0"/>
        <w:snapToGrid w:val="0"/>
        <w:spacing w:after="0" w:line="560" w:lineRule="exact"/>
        <w:ind w:left="0" w:leftChars="0" w:firstLine="643" w:firstLineChars="200"/>
        <w:jc w:val="both"/>
        <w:textAlignment w:val="auto"/>
        <w:rPr>
          <w:rFonts w:hint="eastAsia" w:ascii="仿宋_GB2312" w:hAnsi="Tahoma" w:eastAsia="仿宋_GB2312" w:cs="Times New Roman"/>
          <w:b/>
          <w:bCs/>
          <w:color w:val="auto"/>
          <w:sz w:val="32"/>
          <w:szCs w:val="32"/>
          <w:highlight w:val="none"/>
          <w:lang w:eastAsia="zh-CN"/>
        </w:rPr>
      </w:pPr>
      <w:r>
        <w:rPr>
          <w:rFonts w:hint="eastAsia" w:ascii="仿宋_GB2312" w:hAnsi="Tahoma" w:eastAsia="仿宋_GB2312" w:cs="Times New Roman"/>
          <w:b/>
          <w:bCs/>
          <w:color w:val="auto"/>
          <w:sz w:val="32"/>
          <w:szCs w:val="32"/>
          <w:highlight w:val="none"/>
          <w:lang w:eastAsia="zh-CN"/>
        </w:rPr>
        <w:t>（三）经营者缴纳：</w:t>
      </w:r>
    </w:p>
    <w:p w14:paraId="2FBC7A5C">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 w:hAnsi="仿宋" w:eastAsia="仿宋" w:cs="仿宋"/>
          <w:color w:val="auto"/>
          <w:sz w:val="32"/>
          <w:szCs w:val="32"/>
          <w:highlight w:val="none"/>
        </w:rPr>
      </w:pPr>
      <w:r>
        <w:rPr>
          <w:rFonts w:hint="eastAsia" w:ascii="仿宋_GB2312" w:eastAsia="仿宋_GB2312"/>
          <w:color w:val="auto"/>
          <w:sz w:val="32"/>
          <w:szCs w:val="32"/>
          <w:highlight w:val="none"/>
          <w:lang w:val="en-US" w:eastAsia="zh-CN"/>
        </w:rPr>
        <w:t>1.</w:t>
      </w:r>
      <w:r>
        <w:rPr>
          <w:rFonts w:hint="eastAsia" w:ascii="仿宋_GB2312" w:hAnsi="Tahoma" w:eastAsia="仿宋_GB2312" w:cs="Times New Roman"/>
          <w:color w:val="auto"/>
          <w:sz w:val="32"/>
          <w:szCs w:val="32"/>
          <w:highlight w:val="none"/>
          <w:lang w:val="en-US" w:eastAsia="zh-CN"/>
        </w:rPr>
        <w:t>医院（不含医疗垃圾）、旅店、宾馆以床为单位收取：3元/（床·月），由经营者支付。</w:t>
      </w:r>
    </w:p>
    <w:p w14:paraId="164C14F9">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仿宋_GB2312" w:eastAsia="仿宋_GB2312"/>
          <w:color w:val="auto"/>
          <w:sz w:val="32"/>
          <w:szCs w:val="32"/>
          <w:highlight w:val="none"/>
          <w:lang w:val="en-US" w:eastAsia="zh-CN"/>
        </w:rPr>
        <w:t>2.</w:t>
      </w:r>
      <w:r>
        <w:rPr>
          <w:rFonts w:hint="eastAsia" w:ascii="仿宋_GB2312" w:hAnsi="Tahoma" w:eastAsia="仿宋_GB2312" w:cs="Times New Roman"/>
          <w:color w:val="auto"/>
          <w:sz w:val="32"/>
          <w:szCs w:val="32"/>
          <w:highlight w:val="none"/>
          <w:lang w:val="en-US" w:eastAsia="zh-CN"/>
        </w:rPr>
        <w:t>农贸、集贸市场以摊位为单位收取：5元/（摊·月）。</w:t>
      </w:r>
    </w:p>
    <w:p w14:paraId="15805AD3">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仿宋_GB2312" w:eastAsia="仿宋_GB2312"/>
          <w:color w:val="auto"/>
          <w:sz w:val="32"/>
          <w:szCs w:val="32"/>
          <w:highlight w:val="none"/>
          <w:lang w:val="en-US" w:eastAsia="zh-CN"/>
        </w:rPr>
        <w:t>3.</w:t>
      </w:r>
      <w:r>
        <w:rPr>
          <w:rFonts w:hint="eastAsia" w:ascii="仿宋_GB2312" w:hAnsi="Tahoma" w:eastAsia="仿宋_GB2312" w:cs="Times New Roman"/>
          <w:color w:val="auto"/>
          <w:sz w:val="32"/>
          <w:szCs w:val="32"/>
          <w:highlight w:val="none"/>
          <w:lang w:val="en-US" w:eastAsia="zh-CN"/>
        </w:rPr>
        <w:t>休闲娱乐场所按经营面积收取：0.50元/（㎡·月）。</w:t>
      </w:r>
    </w:p>
    <w:p w14:paraId="2EE69EEF">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仿宋_GB2312" w:eastAsia="仿宋_GB2312"/>
          <w:color w:val="auto"/>
          <w:sz w:val="32"/>
          <w:szCs w:val="32"/>
          <w:highlight w:val="none"/>
          <w:lang w:val="en-US" w:eastAsia="zh-CN"/>
        </w:rPr>
        <w:t>4.</w:t>
      </w:r>
      <w:r>
        <w:rPr>
          <w:rFonts w:hint="eastAsia" w:ascii="仿宋_GB2312" w:hAnsi="Tahoma" w:eastAsia="仿宋_GB2312" w:cs="Times New Roman"/>
          <w:color w:val="auto"/>
          <w:sz w:val="32"/>
          <w:szCs w:val="32"/>
          <w:highlight w:val="none"/>
          <w:lang w:val="en-US" w:eastAsia="zh-CN"/>
        </w:rPr>
        <w:t>商业按营业面积大小实行差额累进计收，收费标准：</w:t>
      </w:r>
    </w:p>
    <w:p w14:paraId="45EC461B">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仿宋_GB2312" w:hAnsi="Tahoma" w:eastAsia="仿宋_GB2312" w:cs="Times New Roman"/>
          <w:color w:val="auto"/>
          <w:sz w:val="32"/>
          <w:szCs w:val="32"/>
          <w:highlight w:val="none"/>
          <w:lang w:val="en-US" w:eastAsia="zh-CN"/>
        </w:rPr>
        <w:t>100（含）㎡以下          20元/（户·月）</w:t>
      </w:r>
    </w:p>
    <w:p w14:paraId="615B3315">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仿宋_GB2312" w:hAnsi="Tahoma" w:eastAsia="仿宋_GB2312" w:cs="Times New Roman"/>
          <w:color w:val="auto"/>
          <w:sz w:val="32"/>
          <w:szCs w:val="32"/>
          <w:highlight w:val="none"/>
          <w:lang w:val="en-US" w:eastAsia="zh-CN"/>
        </w:rPr>
        <w:t>100-1000（含）㎡       0.30元/（㎡·月）</w:t>
      </w:r>
    </w:p>
    <w:p w14:paraId="65A11219">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仿宋_GB2312" w:hAnsi="Tahoma" w:eastAsia="仿宋_GB2312" w:cs="Times New Roman"/>
          <w:color w:val="auto"/>
          <w:sz w:val="32"/>
          <w:szCs w:val="32"/>
          <w:highlight w:val="none"/>
          <w:lang w:val="en-US" w:eastAsia="zh-CN"/>
        </w:rPr>
        <w:t>1000-5000（含）㎡      0.25元/（㎡·月）</w:t>
      </w:r>
    </w:p>
    <w:p w14:paraId="4DD6C0B2">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仿宋_GB2312" w:hAnsi="Tahoma" w:eastAsia="仿宋_GB2312" w:cs="Times New Roman"/>
          <w:color w:val="auto"/>
          <w:sz w:val="32"/>
          <w:szCs w:val="32"/>
          <w:highlight w:val="none"/>
          <w:lang w:val="en-US" w:eastAsia="zh-CN"/>
        </w:rPr>
        <w:t>5000㎡以上             0.15元/（㎡·月）</w:t>
      </w:r>
    </w:p>
    <w:p w14:paraId="42DE0098">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仿宋_GB2312" w:eastAsia="仿宋_GB2312"/>
          <w:color w:val="auto"/>
          <w:sz w:val="32"/>
          <w:szCs w:val="32"/>
          <w:highlight w:val="none"/>
          <w:lang w:val="en-US" w:eastAsia="zh-CN"/>
        </w:rPr>
        <w:t>5.</w:t>
      </w:r>
      <w:r>
        <w:rPr>
          <w:rFonts w:hint="eastAsia" w:ascii="仿宋_GB2312" w:hAnsi="Tahoma" w:eastAsia="仿宋_GB2312" w:cs="Times New Roman"/>
          <w:color w:val="auto"/>
          <w:sz w:val="32"/>
          <w:szCs w:val="32"/>
          <w:highlight w:val="none"/>
          <w:lang w:val="en-US" w:eastAsia="zh-CN"/>
        </w:rPr>
        <w:t>餐饮业按营业面积大小实行差额累进计费，收费标准：</w:t>
      </w:r>
    </w:p>
    <w:p w14:paraId="4405FF03">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仿宋_GB2312" w:hAnsi="Tahoma" w:eastAsia="仿宋_GB2312" w:cs="Times New Roman"/>
          <w:color w:val="auto"/>
          <w:sz w:val="32"/>
          <w:szCs w:val="32"/>
          <w:highlight w:val="none"/>
          <w:lang w:val="en-US" w:eastAsia="zh-CN"/>
        </w:rPr>
        <w:t>50（含）㎡以下         20元/（户·月）</w:t>
      </w:r>
    </w:p>
    <w:p w14:paraId="14AB819F">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仿宋_GB2312" w:hAnsi="Tahoma" w:eastAsia="仿宋_GB2312" w:cs="Times New Roman"/>
          <w:color w:val="auto"/>
          <w:sz w:val="32"/>
          <w:szCs w:val="32"/>
          <w:highlight w:val="none"/>
          <w:lang w:val="en-US" w:eastAsia="zh-CN"/>
        </w:rPr>
        <w:t>50-100（含）㎡         0.50元/（㎡·月）</w:t>
      </w:r>
    </w:p>
    <w:p w14:paraId="0B6C88C2">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仿宋_GB2312" w:hAnsi="Tahoma" w:eastAsia="仿宋_GB2312" w:cs="Times New Roman"/>
          <w:color w:val="auto"/>
          <w:sz w:val="32"/>
          <w:szCs w:val="32"/>
          <w:highlight w:val="none"/>
          <w:lang w:val="en-US" w:eastAsia="zh-CN"/>
        </w:rPr>
        <w:t>100-500（含）㎡        0.35元/（㎡·月）</w:t>
      </w:r>
    </w:p>
    <w:p w14:paraId="005B877F">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仿宋_GB2312" w:hAnsi="Tahoma" w:eastAsia="仿宋_GB2312" w:cs="Times New Roman"/>
          <w:color w:val="auto"/>
          <w:sz w:val="32"/>
          <w:szCs w:val="32"/>
          <w:highlight w:val="none"/>
          <w:lang w:val="en-US" w:eastAsia="zh-CN"/>
        </w:rPr>
        <w:t>500㎡以上              0.25元/（㎡·月）</w:t>
      </w:r>
    </w:p>
    <w:p w14:paraId="09F4A214">
      <w:pPr>
        <w:keepNext w:val="0"/>
        <w:keepLines w:val="0"/>
        <w:pageBreakBefore w:val="0"/>
        <w:widowControl w:val="0"/>
        <w:numPr>
          <w:ilvl w:val="0"/>
          <w:numId w:val="3"/>
        </w:numPr>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仿宋_GB2312" w:hAnsi="Tahoma" w:eastAsia="仿宋_GB2312" w:cs="Times New Roman"/>
          <w:color w:val="auto"/>
          <w:sz w:val="32"/>
          <w:szCs w:val="32"/>
          <w:highlight w:val="none"/>
          <w:lang w:val="en-US" w:eastAsia="zh-CN"/>
        </w:rPr>
        <w:t>交通运输业：出租车、公交车1元/（车·月）；客运车辆2元/（车·月）。</w:t>
      </w:r>
    </w:p>
    <w:p w14:paraId="584E74CE">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420" w:firstLineChars="200"/>
        <w:jc w:val="both"/>
        <w:textAlignment w:val="baseline"/>
        <w:rPr>
          <w:rFonts w:hint="default"/>
          <w:highlight w:val="none"/>
          <w:lang w:val="en-US" w:eastAsia="zh-CN"/>
        </w:rPr>
      </w:pPr>
      <w:r>
        <w:rPr>
          <w:rFonts w:hint="eastAsia"/>
          <w:highlight w:val="none"/>
          <w:lang w:val="en-US" w:eastAsia="zh-CN"/>
        </w:rPr>
        <w:t xml:space="preserve">  </w:t>
      </w:r>
      <w:r>
        <w:rPr>
          <w:rFonts w:hint="eastAsia" w:ascii="黑体" w:hAnsi="黑体" w:eastAsia="黑体" w:cs="黑体"/>
          <w:b w:val="0"/>
          <w:bCs w:val="0"/>
          <w:color w:val="auto"/>
          <w:sz w:val="32"/>
          <w:szCs w:val="32"/>
          <w:highlight w:val="none"/>
          <w:lang w:val="en-US" w:eastAsia="zh-CN"/>
        </w:rPr>
        <w:t xml:space="preserve">第八条  </w:t>
      </w:r>
      <w:r>
        <w:rPr>
          <w:rFonts w:hint="eastAsia" w:ascii="仿宋_GB2312" w:hAnsi="Tahoma" w:eastAsia="仿宋_GB2312" w:cs="Times New Roman"/>
          <w:color w:val="auto"/>
          <w:sz w:val="32"/>
          <w:szCs w:val="32"/>
          <w:highlight w:val="none"/>
          <w:lang w:val="en-US" w:eastAsia="zh-CN"/>
        </w:rPr>
        <w:t>各项减免政策，严格按照市、县（市、区）相关政策执行。对民政部门管理的重点优抚对象、最低生活保障对象和特困人员、工会管理的特困职工、经认定的停产半停产企业在停产期间、学校在寒暑假期间，予以免交。</w:t>
      </w:r>
    </w:p>
    <w:p w14:paraId="6F8E2048">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第九条</w:t>
      </w:r>
      <w:r>
        <w:rPr>
          <w:rFonts w:hint="eastAsia" w:ascii="仿宋_GB2312" w:hAnsi="Tahoma" w:eastAsia="仿宋_GB2312" w:cs="Times New Roman"/>
          <w:color w:val="auto"/>
          <w:sz w:val="32"/>
          <w:szCs w:val="32"/>
          <w:highlight w:val="none"/>
          <w:lang w:val="en-US" w:eastAsia="zh-CN"/>
        </w:rPr>
        <w:t xml:space="preserve">  生活垃圾处理费按行政事业性收费管理，由县住房和城乡建设局认真核定缴费金额等应征信息并推送至税务部门，由县税务局按照属地原则征收入库。</w:t>
      </w:r>
    </w:p>
    <w:p w14:paraId="01E2D03A">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第十条</w:t>
      </w:r>
      <w:r>
        <w:rPr>
          <w:rFonts w:hint="eastAsia" w:ascii="仿宋_GB2312" w:hAnsi="Tahoma" w:eastAsia="仿宋_GB2312" w:cs="Times New Roman"/>
          <w:color w:val="auto"/>
          <w:sz w:val="32"/>
          <w:szCs w:val="32"/>
          <w:highlight w:val="none"/>
          <w:lang w:val="en-US" w:eastAsia="zh-CN"/>
        </w:rPr>
        <w:t xml:space="preserve">  生活垃圾处理费实行按年征收，缴费</w:t>
      </w:r>
      <w:r>
        <w:rPr>
          <w:rFonts w:hint="eastAsia" w:ascii="仿宋_GB2312" w:hAnsi="Tahoma" w:eastAsia="仿宋_GB2312" w:cs="Times New Roman"/>
          <w:color w:val="auto"/>
          <w:sz w:val="32"/>
          <w:szCs w:val="32"/>
          <w:highlight w:val="none"/>
          <w:lang w:eastAsia="zh-CN"/>
        </w:rPr>
        <w:t>单位或个人</w:t>
      </w:r>
      <w:r>
        <w:rPr>
          <w:rFonts w:hint="eastAsia" w:ascii="仿宋_GB2312" w:hAnsi="Tahoma" w:eastAsia="仿宋_GB2312" w:cs="Times New Roman"/>
          <w:color w:val="auto"/>
          <w:sz w:val="32"/>
          <w:szCs w:val="32"/>
          <w:highlight w:val="none"/>
          <w:lang w:val="en-US" w:eastAsia="zh-CN"/>
        </w:rPr>
        <w:t>应于每年12月31日前，足额缴纳本年度生活垃圾处理费。未按时缴纳的由税务部门通过电话、电子税务局电子送达《税务事项通知书》等方式催缴。</w:t>
      </w:r>
    </w:p>
    <w:p w14:paraId="545AE899">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第十一条</w:t>
      </w:r>
      <w:r>
        <w:rPr>
          <w:rFonts w:hint="eastAsia" w:ascii="仿宋_GB2312" w:hAnsi="Tahoma" w:eastAsia="仿宋_GB2312" w:cs="Times New Roman"/>
          <w:color w:val="auto"/>
          <w:sz w:val="32"/>
          <w:szCs w:val="32"/>
          <w:highlight w:val="none"/>
          <w:lang w:val="en-US" w:eastAsia="zh-CN"/>
        </w:rPr>
        <w:t xml:space="preserve">  生活垃圾处理费征收按照提高收缴率、降低征收成本、方便缴费的原则，可以委托供水、供电、供气等单位代收生活垃圾处理费，受托代收单位无代收手续费；受托代收单位根据委托代收代缴协议或委托书，及时、足额收缴费款后，定期向主管税务机关申报缴纳。</w:t>
      </w:r>
    </w:p>
    <w:p w14:paraId="1386D60A">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highlight w:val="none"/>
          <w:lang w:val="en-US" w:eastAsia="zh-CN"/>
        </w:rPr>
      </w:pPr>
      <w:r>
        <w:rPr>
          <w:rFonts w:hint="eastAsia" w:ascii="黑体" w:hAnsi="黑体" w:eastAsia="黑体" w:cs="黑体"/>
          <w:b w:val="0"/>
          <w:bCs w:val="0"/>
          <w:color w:val="auto"/>
          <w:sz w:val="32"/>
          <w:szCs w:val="32"/>
          <w:highlight w:val="none"/>
          <w:lang w:val="en-US" w:eastAsia="zh-CN"/>
        </w:rPr>
        <w:t>第十二条</w:t>
      </w:r>
      <w:r>
        <w:rPr>
          <w:rFonts w:hint="eastAsia" w:ascii="仿宋_GB2312" w:hAnsi="Tahoma" w:eastAsia="仿宋_GB2312" w:cs="Times New Roman"/>
          <w:color w:val="auto"/>
          <w:sz w:val="32"/>
          <w:szCs w:val="32"/>
          <w:highlight w:val="none"/>
          <w:lang w:val="en-US" w:eastAsia="zh-CN"/>
        </w:rPr>
        <w:t xml:space="preserve">  受托代收单位应严格履行代收职责，在其办公场所公布代收生活垃圾处理费的文件依据、收费项目、收费标准，并出具合法的收费票据，不得扩大范围和提高标准收费，也不得擅自减免收费。</w:t>
      </w:r>
    </w:p>
    <w:p w14:paraId="2FCD4970">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第十三条</w:t>
      </w:r>
      <w:r>
        <w:rPr>
          <w:rFonts w:hint="eastAsia" w:ascii="仿宋_GB2312" w:hAnsi="Tahoma" w:eastAsia="仿宋_GB2312" w:cs="Times New Roman"/>
          <w:color w:val="auto"/>
          <w:sz w:val="32"/>
          <w:szCs w:val="32"/>
          <w:highlight w:val="none"/>
          <w:lang w:val="en-US" w:eastAsia="zh-CN"/>
        </w:rPr>
        <w:t xml:space="preserve">  依照本办法征收的生活垃圾处理费，应当及时、足额缴纳入库，实行“收支两条线”管理。任何单位和个人不得截留、挤占、挪用垃圾处理费。</w:t>
      </w:r>
    </w:p>
    <w:p w14:paraId="39ED8BA0">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第十四条</w:t>
      </w:r>
      <w:r>
        <w:rPr>
          <w:rFonts w:hint="eastAsia" w:ascii="仿宋_GB2312" w:hAnsi="Tahoma" w:eastAsia="仿宋_GB2312" w:cs="Times New Roman"/>
          <w:color w:val="auto"/>
          <w:sz w:val="32"/>
          <w:szCs w:val="32"/>
          <w:highlight w:val="none"/>
          <w:lang w:val="en-US" w:eastAsia="zh-CN"/>
        </w:rPr>
        <w:t xml:space="preserve">  县住房和城乡建设局、县发展和科学技术局、县财政局、县税务局和其他相关部门要按照各自职责加强对生活垃圾处理费征收、使用、管理等监督检查。</w:t>
      </w:r>
    </w:p>
    <w:p w14:paraId="47C58ECB">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第十五条</w:t>
      </w:r>
      <w:r>
        <w:rPr>
          <w:rFonts w:hint="eastAsia" w:ascii="仿宋_GB2312" w:hAnsi="Tahoma" w:eastAsia="仿宋_GB2312" w:cs="Times New Roman"/>
          <w:color w:val="auto"/>
          <w:sz w:val="32"/>
          <w:szCs w:val="32"/>
          <w:highlight w:val="none"/>
          <w:lang w:val="en-US" w:eastAsia="zh-CN"/>
        </w:rPr>
        <w:t xml:space="preserve">  单位和个人应按规定缴纳垃圾处理费。对拒缴、欠缴、漏缴生活垃圾处理费的单位或个人，由县住房和城乡建设局</w:t>
      </w:r>
      <w:r>
        <w:rPr>
          <w:rFonts w:hint="eastAsia" w:ascii="仿宋_GB2312" w:hAnsi="Tahoma" w:eastAsia="仿宋_GB2312" w:cs="Times New Roman"/>
          <w:color w:val="auto"/>
          <w:sz w:val="32"/>
          <w:szCs w:val="32"/>
          <w:highlight w:val="none"/>
          <w:shd w:val="clear" w:color="auto" w:fill="auto"/>
          <w:lang w:val="en-US" w:eastAsia="zh-CN"/>
        </w:rPr>
        <w:t>责令限期改正，逾期不改正的，可依据相关法</w:t>
      </w:r>
      <w:r>
        <w:rPr>
          <w:rFonts w:hint="eastAsia" w:ascii="仿宋_GB2312" w:hAnsi="Tahoma" w:eastAsia="仿宋_GB2312" w:cs="Times New Roman"/>
          <w:color w:val="auto"/>
          <w:sz w:val="32"/>
          <w:szCs w:val="32"/>
          <w:highlight w:val="none"/>
          <w:lang w:val="en-US" w:eastAsia="zh-CN"/>
        </w:rPr>
        <w:t>律法规规定的处罚标准予以处罚。</w:t>
      </w:r>
    </w:p>
    <w:p w14:paraId="53D03F37">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第十六条</w:t>
      </w:r>
      <w:r>
        <w:rPr>
          <w:rFonts w:hint="eastAsia" w:ascii="仿宋_GB2312" w:hAnsi="Tahoma" w:eastAsia="仿宋_GB2312" w:cs="Times New Roman"/>
          <w:color w:val="auto"/>
          <w:sz w:val="32"/>
          <w:szCs w:val="32"/>
          <w:highlight w:val="none"/>
          <w:lang w:val="en-US" w:eastAsia="zh-CN"/>
        </w:rPr>
        <w:t xml:space="preserve">  本办法由涞源县人民政府负责解释。</w:t>
      </w:r>
    </w:p>
    <w:p w14:paraId="02D1A905">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default" w:ascii="仿宋_GB2312" w:hAnsi="Tahoma" w:eastAsia="仿宋_GB2312" w:cs="Times New Roman"/>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第十七条</w:t>
      </w:r>
      <w:r>
        <w:rPr>
          <w:rFonts w:hint="eastAsia" w:ascii="仿宋_GB2312" w:hAnsi="Tahoma" w:eastAsia="仿宋_GB2312" w:cs="Times New Roman"/>
          <w:color w:val="auto"/>
          <w:sz w:val="32"/>
          <w:szCs w:val="32"/>
          <w:highlight w:val="none"/>
          <w:lang w:val="en-US" w:eastAsia="zh-CN"/>
        </w:rPr>
        <w:t xml:space="preserve">  本办法自印发之日起执行，有效期5年。</w:t>
      </w:r>
    </w:p>
    <w:p w14:paraId="5E0076EA">
      <w:pPr>
        <w:keepNext w:val="0"/>
        <w:keepLines w:val="0"/>
        <w:pageBreakBefore w:val="0"/>
        <w:widowControl w:val="0"/>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_GB2312" w:hAnsi="Tahoma" w:eastAsia="仿宋_GB2312" w:cs="Times New Roman"/>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第十八条</w:t>
      </w:r>
      <w:r>
        <w:rPr>
          <w:rFonts w:hint="eastAsia" w:ascii="仿宋_GB2312" w:hAnsi="Tahoma" w:eastAsia="仿宋_GB2312" w:cs="Times New Roman"/>
          <w:color w:val="auto"/>
          <w:sz w:val="32"/>
          <w:szCs w:val="32"/>
          <w:highlight w:val="none"/>
          <w:lang w:val="en-US" w:eastAsia="zh-CN"/>
        </w:rPr>
        <w:t xml:space="preserve">  本办法实施期间，法律法规及国家政策有新规定的，按新规定执行。</w:t>
      </w:r>
    </w:p>
    <w:p w14:paraId="733AB6E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_GB2312" w:hAnsi="仿宋_GB2312" w:eastAsia="仿宋_GB2312" w:cs="仿宋_GB2312"/>
          <w:sz w:val="28"/>
          <w:szCs w:val="28"/>
          <w:highlight w:val="none"/>
        </w:rPr>
      </w:pPr>
    </w:p>
    <w:p w14:paraId="67B7EF55">
      <w:pPr>
        <w:pStyle w:val="9"/>
        <w:keepNext w:val="0"/>
        <w:keepLines w:val="0"/>
        <w:pageBreakBefore w:val="0"/>
        <w:widowControl w:val="0"/>
        <w:kinsoku/>
        <w:wordWrap/>
        <w:overflowPunct/>
        <w:topLinePunct w:val="0"/>
        <w:autoSpaceDE/>
        <w:autoSpaceDN/>
        <w:bidi w:val="0"/>
        <w:adjustRightInd/>
        <w:snapToGrid/>
        <w:spacing w:before="0" w:after="0" w:line="560" w:lineRule="exact"/>
        <w:jc w:val="both"/>
        <w:textAlignment w:val="auto"/>
        <w:rPr>
          <w:rFonts w:hint="eastAsia" w:ascii="仿宋_GB2312" w:hAnsi="仿宋" w:eastAsia="仿宋_GB2312"/>
          <w:b w:val="0"/>
          <w:bCs/>
          <w:color w:val="auto"/>
          <w:sz w:val="32"/>
          <w:szCs w:val="32"/>
          <w:highlight w:val="none"/>
          <w:lang w:val="en-US" w:eastAsia="zh-CN"/>
        </w:rPr>
      </w:pPr>
      <w:r>
        <w:rPr>
          <w:rFonts w:hint="eastAsia" w:ascii="仿宋_GB2312" w:hAnsi="仿宋" w:eastAsia="仿宋_GB2312"/>
          <w:color w:val="auto"/>
          <w:sz w:val="32"/>
          <w:szCs w:val="32"/>
          <w:highlight w:val="none"/>
          <w:lang w:val="en-US" w:eastAsia="zh-CN"/>
        </w:rPr>
        <w:t xml:space="preserve">                                </w:t>
      </w:r>
      <w:r>
        <w:rPr>
          <w:rFonts w:hint="eastAsia" w:ascii="仿宋_GB2312" w:hAnsi="仿宋" w:eastAsia="仿宋_GB2312"/>
          <w:b w:val="0"/>
          <w:bCs/>
          <w:color w:val="auto"/>
          <w:sz w:val="32"/>
          <w:szCs w:val="32"/>
          <w:highlight w:val="none"/>
          <w:lang w:val="en-US" w:eastAsia="zh-CN"/>
        </w:rPr>
        <w:t xml:space="preserve"> </w:t>
      </w:r>
    </w:p>
    <w:p w14:paraId="2FBF286C">
      <w:pPr>
        <w:pStyle w:val="9"/>
        <w:keepNext w:val="0"/>
        <w:keepLines w:val="0"/>
        <w:pageBreakBefore w:val="0"/>
        <w:widowControl w:val="0"/>
        <w:kinsoku/>
        <w:wordWrap/>
        <w:overflowPunct/>
        <w:topLinePunct w:val="0"/>
        <w:autoSpaceDE/>
        <w:autoSpaceDN/>
        <w:bidi w:val="0"/>
        <w:adjustRightInd/>
        <w:snapToGrid/>
        <w:spacing w:before="0" w:after="0" w:line="560" w:lineRule="exact"/>
        <w:ind w:firstLine="5120" w:firstLineChars="1600"/>
        <w:jc w:val="both"/>
        <w:textAlignment w:val="auto"/>
        <w:rPr>
          <w:rFonts w:hint="eastAsia" w:ascii="仿宋_GB2312" w:hAnsi="仿宋" w:eastAsia="仿宋_GB2312"/>
          <w:b w:val="0"/>
          <w:bCs/>
          <w:color w:val="auto"/>
          <w:sz w:val="32"/>
          <w:szCs w:val="32"/>
          <w:highlight w:val="none"/>
          <w:lang w:val="en-US" w:eastAsia="zh-CN"/>
        </w:rPr>
      </w:pPr>
      <w:r>
        <w:rPr>
          <w:rFonts w:hint="eastAsia" w:ascii="仿宋_GB2312" w:hAnsi="仿宋" w:eastAsia="仿宋_GB2312"/>
          <w:b w:val="0"/>
          <w:bCs/>
          <w:color w:val="auto"/>
          <w:sz w:val="32"/>
          <w:szCs w:val="32"/>
          <w:highlight w:val="none"/>
          <w:lang w:val="en-US" w:eastAsia="zh-CN"/>
        </w:rPr>
        <w:t>涞源县人民政府办公室</w:t>
      </w:r>
    </w:p>
    <w:p w14:paraId="282C4CA9">
      <w:pPr>
        <w:pStyle w:val="9"/>
        <w:keepNext w:val="0"/>
        <w:keepLines w:val="0"/>
        <w:pageBreakBefore w:val="0"/>
        <w:widowControl w:val="0"/>
        <w:kinsoku/>
        <w:wordWrap/>
        <w:overflowPunct/>
        <w:topLinePunct w:val="0"/>
        <w:autoSpaceDE/>
        <w:autoSpaceDN/>
        <w:bidi w:val="0"/>
        <w:adjustRightInd/>
        <w:snapToGrid/>
        <w:spacing w:before="0" w:after="0" w:line="560" w:lineRule="exact"/>
        <w:jc w:val="both"/>
        <w:textAlignment w:val="auto"/>
        <w:rPr>
          <w:rFonts w:hint="eastAsia" w:ascii="仿宋_GB2312" w:hAnsi="仿宋" w:eastAsia="仿宋_GB2312"/>
          <w:b w:val="0"/>
          <w:bCs/>
          <w:color w:val="auto"/>
          <w:sz w:val="32"/>
          <w:szCs w:val="32"/>
          <w:highlight w:val="none"/>
          <w:lang w:val="en-US" w:eastAsia="zh-CN"/>
        </w:rPr>
      </w:pPr>
      <w:r>
        <w:rPr>
          <w:rFonts w:hint="eastAsia" w:ascii="仿宋_GB2312" w:hAnsi="仿宋" w:eastAsia="仿宋_GB2312"/>
          <w:b w:val="0"/>
          <w:bCs/>
          <w:color w:val="auto"/>
          <w:sz w:val="32"/>
          <w:szCs w:val="32"/>
          <w:highlight w:val="none"/>
          <w:lang w:val="en-US" w:eastAsia="zh-CN"/>
        </w:rPr>
        <w:t xml:space="preserve">                                   2025年12月1日</w:t>
      </w:r>
    </w:p>
    <w:p w14:paraId="73853BFF">
      <w:pPr>
        <w:pStyle w:val="9"/>
        <w:keepNext w:val="0"/>
        <w:keepLines w:val="0"/>
        <w:pageBreakBefore w:val="0"/>
        <w:widowControl w:val="0"/>
        <w:kinsoku/>
        <w:wordWrap/>
        <w:overflowPunct/>
        <w:topLinePunct w:val="0"/>
        <w:autoSpaceDE/>
        <w:autoSpaceDN/>
        <w:bidi w:val="0"/>
        <w:adjustRightInd/>
        <w:snapToGrid/>
        <w:spacing w:before="0" w:after="0" w:line="560" w:lineRule="exact"/>
        <w:jc w:val="both"/>
        <w:textAlignment w:val="auto"/>
        <w:rPr>
          <w:rFonts w:hint="eastAsia" w:ascii="仿宋_GB2312" w:hAnsi="仿宋" w:eastAsia="仿宋_GB2312"/>
          <w:b w:val="0"/>
          <w:bCs/>
          <w:color w:val="auto"/>
          <w:sz w:val="32"/>
          <w:szCs w:val="32"/>
          <w:highlight w:val="none"/>
          <w:lang w:val="en-US" w:eastAsia="zh-CN"/>
        </w:rPr>
      </w:pPr>
    </w:p>
    <w:p w14:paraId="2D0CC33D">
      <w:pPr>
        <w:pStyle w:val="9"/>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 w:eastAsia="仿宋_GB2312"/>
          <w:color w:val="auto"/>
          <w:sz w:val="32"/>
          <w:szCs w:val="32"/>
          <w:highlight w:val="none"/>
          <w:u w:val="single"/>
          <w:lang w:val="en-US" w:eastAsia="zh-CN"/>
        </w:rPr>
      </w:pPr>
      <w:r>
        <w:rPr>
          <w:rFonts w:hint="eastAsia" w:ascii="仿宋_GB2312" w:hAnsi="仿宋" w:eastAsia="仿宋_GB2312"/>
          <w:color w:val="auto"/>
          <w:sz w:val="32"/>
          <w:szCs w:val="32"/>
          <w:highlight w:val="none"/>
          <w:u w:val="single"/>
          <w:lang w:val="en-US" w:eastAsia="zh-CN"/>
        </w:rPr>
        <w:t xml:space="preserve">                                                       </w:t>
      </w:r>
    </w:p>
    <w:p w14:paraId="5F2DA26D">
      <w:pPr>
        <w:pStyle w:val="9"/>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方正小标宋_GBK" w:hAnsi="方正小标宋_GBK" w:eastAsia="方正小标宋_GBK" w:cs="方正小标宋_GBK"/>
          <w:sz w:val="32"/>
          <w:szCs w:val="32"/>
          <w:highlight w:val="none"/>
          <w:lang w:val="en-US" w:eastAsia="zh-CN"/>
        </w:rPr>
      </w:pPr>
      <w:r>
        <w:rPr>
          <w:rFonts w:hint="eastAsia" w:ascii="仿宋_GB2312" w:hAnsi="仿宋" w:eastAsia="仿宋_GB2312"/>
          <w:b w:val="0"/>
          <w:bCs/>
          <w:color w:val="auto"/>
          <w:sz w:val="32"/>
          <w:szCs w:val="32"/>
          <w:highlight w:val="none"/>
          <w:u w:val="single"/>
          <w:lang w:val="en-US" w:eastAsia="zh-CN"/>
        </w:rPr>
        <w:t>涞源县人民政府办公室               2025年12月1日印发</w:t>
      </w:r>
    </w:p>
    <w:sectPr>
      <w:headerReference r:id="rId3" w:type="default"/>
      <w:footerReference r:id="rId4" w:type="default"/>
      <w:pgSz w:w="11906" w:h="16838"/>
      <w:pgMar w:top="2098" w:right="1531" w:bottom="1985"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BD3C7">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9496E5">
                          <w:pPr>
                            <w:pStyle w:val="5"/>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  \* MERGEFORMAT </w:instrText>
                          </w:r>
                          <w:r>
                            <w:rPr>
                              <w:rFonts w:hint="eastAsia" w:ascii="仿宋" w:hAnsi="仿宋" w:eastAsia="仿宋" w:cs="仿宋"/>
                              <w:sz w:val="28"/>
                              <w:szCs w:val="28"/>
                            </w:rPr>
                            <w:fldChar w:fldCharType="separate"/>
                          </w:r>
                          <w:r>
                            <w:rPr>
                              <w:rFonts w:hint="eastAsia" w:ascii="仿宋" w:hAnsi="仿宋" w:eastAsia="仿宋" w:cs="仿宋"/>
                              <w:sz w:val="28"/>
                              <w:szCs w:val="28"/>
                            </w:rPr>
                            <w:t>11</w:t>
                          </w:r>
                          <w:r>
                            <w:rPr>
                              <w:rFonts w:hint="eastAsia" w:ascii="仿宋" w:hAnsi="仿宋" w:eastAsia="仿宋" w:cs="仿宋"/>
                              <w:sz w:val="28"/>
                              <w:szCs w:val="28"/>
                            </w:rPr>
                            <w:fldChar w:fldCharType="end"/>
                          </w:r>
                          <w:r>
                            <w:rPr>
                              <w:rFonts w:hint="eastAsia" w:ascii="仿宋" w:hAnsi="仿宋" w:eastAsia="仿宋" w:cs="仿宋"/>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29496E5">
                    <w:pPr>
                      <w:pStyle w:val="5"/>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  \* MERGEFORMAT </w:instrText>
                    </w:r>
                    <w:r>
                      <w:rPr>
                        <w:rFonts w:hint="eastAsia" w:ascii="仿宋" w:hAnsi="仿宋" w:eastAsia="仿宋" w:cs="仿宋"/>
                        <w:sz w:val="28"/>
                        <w:szCs w:val="28"/>
                      </w:rPr>
                      <w:fldChar w:fldCharType="separate"/>
                    </w:r>
                    <w:r>
                      <w:rPr>
                        <w:rFonts w:hint="eastAsia" w:ascii="仿宋" w:hAnsi="仿宋" w:eastAsia="仿宋" w:cs="仿宋"/>
                        <w:sz w:val="28"/>
                        <w:szCs w:val="28"/>
                      </w:rPr>
                      <w:t>11</w:t>
                    </w:r>
                    <w:r>
                      <w:rPr>
                        <w:rFonts w:hint="eastAsia" w:ascii="仿宋" w:hAnsi="仿宋" w:eastAsia="仿宋" w:cs="仿宋"/>
                        <w:sz w:val="28"/>
                        <w:szCs w:val="28"/>
                      </w:rPr>
                      <w:fldChar w:fldCharType="end"/>
                    </w:r>
                    <w:r>
                      <w:rPr>
                        <w:rFonts w:hint="eastAsia" w:ascii="仿宋" w:hAnsi="仿宋" w:eastAsia="仿宋" w:cs="仿宋"/>
                        <w:sz w:val="28"/>
                        <w:szCs w:val="28"/>
                      </w:rPr>
                      <w:t xml:space="preserve"> —</w:t>
                    </w:r>
                  </w:p>
                </w:txbxContent>
              </v:textbox>
            </v:shape>
          </w:pict>
        </mc:Fallback>
      </mc:AlternateContent>
    </w:r>
    <w:sdt>
      <w:sdtPr>
        <w:id w:val="-803621630"/>
      </w:sdtPr>
      <w:sdtContent/>
    </w:sdt>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9A0AE">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F69AC3"/>
    <w:multiLevelType w:val="singleLevel"/>
    <w:tmpl w:val="BFF69AC3"/>
    <w:lvl w:ilvl="0" w:tentative="0">
      <w:start w:val="2"/>
      <w:numFmt w:val="chineseCounting"/>
      <w:suff w:val="nothing"/>
      <w:lvlText w:val="（%1）"/>
      <w:lvlJc w:val="left"/>
      <w:rPr>
        <w:rFonts w:hint="eastAsia"/>
      </w:rPr>
    </w:lvl>
  </w:abstractNum>
  <w:abstractNum w:abstractNumId="1">
    <w:nsid w:val="493BDCD3"/>
    <w:multiLevelType w:val="singleLevel"/>
    <w:tmpl w:val="493BDCD3"/>
    <w:lvl w:ilvl="0" w:tentative="0">
      <w:start w:val="6"/>
      <w:numFmt w:val="decimal"/>
      <w:lvlText w:val="%1."/>
      <w:lvlJc w:val="left"/>
      <w:pPr>
        <w:tabs>
          <w:tab w:val="left" w:pos="312"/>
        </w:tabs>
      </w:pPr>
    </w:lvl>
  </w:abstractNum>
  <w:abstractNum w:abstractNumId="2">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24"/>
      <w:suff w:val="nothing"/>
      <w:lvlText w:val="%1%2　"/>
      <w:lvlJc w:val="left"/>
      <w:pPr>
        <w:ind w:left="141" w:firstLine="0"/>
      </w:pPr>
      <w:rPr>
        <w:rFonts w:hint="eastAsia" w:ascii="黑体" w:hAnsi="Times New Roman" w:eastAsia="黑体"/>
        <w:b w:val="0"/>
        <w:i w:val="0"/>
        <w:sz w:val="21"/>
      </w:rPr>
    </w:lvl>
    <w:lvl w:ilvl="2" w:tentative="0">
      <w:start w:val="1"/>
      <w:numFmt w:val="decimal"/>
      <w:pStyle w:val="25"/>
      <w:suff w:val="nothing"/>
      <w:lvlText w:val="%1%2.%3　"/>
      <w:lvlJc w:val="left"/>
      <w:pPr>
        <w:ind w:left="21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iNjMwZDg4NWFlYjBhNzZiNzU4NDVmNjc0ZWEyMzEifQ=="/>
  </w:docVars>
  <w:rsids>
    <w:rsidRoot w:val="00B26FD0"/>
    <w:rsid w:val="0000182C"/>
    <w:rsid w:val="00002259"/>
    <w:rsid w:val="00003591"/>
    <w:rsid w:val="000107C9"/>
    <w:rsid w:val="000507ED"/>
    <w:rsid w:val="00057B64"/>
    <w:rsid w:val="00084BE3"/>
    <w:rsid w:val="00085257"/>
    <w:rsid w:val="000A2E75"/>
    <w:rsid w:val="000C1C33"/>
    <w:rsid w:val="000D523F"/>
    <w:rsid w:val="000D5788"/>
    <w:rsid w:val="000E0584"/>
    <w:rsid w:val="000E6410"/>
    <w:rsid w:val="000F6014"/>
    <w:rsid w:val="000F70F0"/>
    <w:rsid w:val="001075B5"/>
    <w:rsid w:val="001427C7"/>
    <w:rsid w:val="00161A9F"/>
    <w:rsid w:val="00184DCE"/>
    <w:rsid w:val="00192EBE"/>
    <w:rsid w:val="00192FDC"/>
    <w:rsid w:val="001951A9"/>
    <w:rsid w:val="001A367D"/>
    <w:rsid w:val="001C6173"/>
    <w:rsid w:val="001C6E38"/>
    <w:rsid w:val="001E3847"/>
    <w:rsid w:val="001F107F"/>
    <w:rsid w:val="001F4781"/>
    <w:rsid w:val="00224D8B"/>
    <w:rsid w:val="002363BB"/>
    <w:rsid w:val="0024259B"/>
    <w:rsid w:val="00280828"/>
    <w:rsid w:val="00294F20"/>
    <w:rsid w:val="0029538D"/>
    <w:rsid w:val="002B3F1A"/>
    <w:rsid w:val="002E235F"/>
    <w:rsid w:val="002F2DAA"/>
    <w:rsid w:val="002F6F0F"/>
    <w:rsid w:val="0031628A"/>
    <w:rsid w:val="00350E60"/>
    <w:rsid w:val="0037534F"/>
    <w:rsid w:val="00385825"/>
    <w:rsid w:val="0039166F"/>
    <w:rsid w:val="003B7ACB"/>
    <w:rsid w:val="003E264E"/>
    <w:rsid w:val="003E6707"/>
    <w:rsid w:val="003F7500"/>
    <w:rsid w:val="004130DE"/>
    <w:rsid w:val="004145C7"/>
    <w:rsid w:val="0043206E"/>
    <w:rsid w:val="00444C90"/>
    <w:rsid w:val="0045736F"/>
    <w:rsid w:val="00464319"/>
    <w:rsid w:val="004672B9"/>
    <w:rsid w:val="004A189B"/>
    <w:rsid w:val="004B0D73"/>
    <w:rsid w:val="004D3889"/>
    <w:rsid w:val="00522C1C"/>
    <w:rsid w:val="005751EE"/>
    <w:rsid w:val="00582190"/>
    <w:rsid w:val="005B31F5"/>
    <w:rsid w:val="005C1EBE"/>
    <w:rsid w:val="005C764E"/>
    <w:rsid w:val="005D1035"/>
    <w:rsid w:val="005D3AE1"/>
    <w:rsid w:val="005F774A"/>
    <w:rsid w:val="00620CD3"/>
    <w:rsid w:val="00625A63"/>
    <w:rsid w:val="00675D62"/>
    <w:rsid w:val="006950DE"/>
    <w:rsid w:val="006958D2"/>
    <w:rsid w:val="006971AE"/>
    <w:rsid w:val="00697CCB"/>
    <w:rsid w:val="006C3EC7"/>
    <w:rsid w:val="006F266E"/>
    <w:rsid w:val="006F4638"/>
    <w:rsid w:val="006F47F9"/>
    <w:rsid w:val="00704A73"/>
    <w:rsid w:val="0072231A"/>
    <w:rsid w:val="00724A07"/>
    <w:rsid w:val="00725571"/>
    <w:rsid w:val="00731D7C"/>
    <w:rsid w:val="00752D26"/>
    <w:rsid w:val="00757444"/>
    <w:rsid w:val="00782197"/>
    <w:rsid w:val="007A7D46"/>
    <w:rsid w:val="007B3C37"/>
    <w:rsid w:val="007C12A2"/>
    <w:rsid w:val="007C7E29"/>
    <w:rsid w:val="007D05E8"/>
    <w:rsid w:val="007D1D6A"/>
    <w:rsid w:val="007D521C"/>
    <w:rsid w:val="007F427C"/>
    <w:rsid w:val="007F78EE"/>
    <w:rsid w:val="00816B47"/>
    <w:rsid w:val="00830B2B"/>
    <w:rsid w:val="00853297"/>
    <w:rsid w:val="00867649"/>
    <w:rsid w:val="008963F8"/>
    <w:rsid w:val="008B10E2"/>
    <w:rsid w:val="008E2392"/>
    <w:rsid w:val="00913657"/>
    <w:rsid w:val="0091595B"/>
    <w:rsid w:val="00947D52"/>
    <w:rsid w:val="00951E0F"/>
    <w:rsid w:val="0097450A"/>
    <w:rsid w:val="00991B38"/>
    <w:rsid w:val="00A07C27"/>
    <w:rsid w:val="00A15D10"/>
    <w:rsid w:val="00A22986"/>
    <w:rsid w:val="00A25D37"/>
    <w:rsid w:val="00A313FD"/>
    <w:rsid w:val="00A33F82"/>
    <w:rsid w:val="00A342A8"/>
    <w:rsid w:val="00A46677"/>
    <w:rsid w:val="00A60E41"/>
    <w:rsid w:val="00A613F5"/>
    <w:rsid w:val="00A91A9B"/>
    <w:rsid w:val="00A92C74"/>
    <w:rsid w:val="00AA1520"/>
    <w:rsid w:val="00AA29BB"/>
    <w:rsid w:val="00AA7AD3"/>
    <w:rsid w:val="00AD272F"/>
    <w:rsid w:val="00AD39F8"/>
    <w:rsid w:val="00AD4444"/>
    <w:rsid w:val="00AF6D5F"/>
    <w:rsid w:val="00B138EB"/>
    <w:rsid w:val="00B26FD0"/>
    <w:rsid w:val="00B354F3"/>
    <w:rsid w:val="00B52F6B"/>
    <w:rsid w:val="00B60286"/>
    <w:rsid w:val="00B756B7"/>
    <w:rsid w:val="00B93140"/>
    <w:rsid w:val="00BD187E"/>
    <w:rsid w:val="00BD4FB9"/>
    <w:rsid w:val="00BD56BF"/>
    <w:rsid w:val="00BD688F"/>
    <w:rsid w:val="00BF20DD"/>
    <w:rsid w:val="00BF706B"/>
    <w:rsid w:val="00C05A07"/>
    <w:rsid w:val="00C53FC3"/>
    <w:rsid w:val="00CA0225"/>
    <w:rsid w:val="00CB58FE"/>
    <w:rsid w:val="00CC26E1"/>
    <w:rsid w:val="00CC54A8"/>
    <w:rsid w:val="00CC57CB"/>
    <w:rsid w:val="00CD0921"/>
    <w:rsid w:val="00D024AC"/>
    <w:rsid w:val="00D049A5"/>
    <w:rsid w:val="00D061A5"/>
    <w:rsid w:val="00D24C10"/>
    <w:rsid w:val="00D43718"/>
    <w:rsid w:val="00D76603"/>
    <w:rsid w:val="00D83FFD"/>
    <w:rsid w:val="00D94287"/>
    <w:rsid w:val="00DA278C"/>
    <w:rsid w:val="00DD1A82"/>
    <w:rsid w:val="00DD4E9C"/>
    <w:rsid w:val="00DF048B"/>
    <w:rsid w:val="00E0431A"/>
    <w:rsid w:val="00E43EAE"/>
    <w:rsid w:val="00E53B70"/>
    <w:rsid w:val="00E774E7"/>
    <w:rsid w:val="00E82DCC"/>
    <w:rsid w:val="00EA3A8F"/>
    <w:rsid w:val="00EA3CDB"/>
    <w:rsid w:val="00EB1DC4"/>
    <w:rsid w:val="00EB6381"/>
    <w:rsid w:val="00ED08E6"/>
    <w:rsid w:val="00F0358C"/>
    <w:rsid w:val="00F34596"/>
    <w:rsid w:val="00F65C46"/>
    <w:rsid w:val="00F67A77"/>
    <w:rsid w:val="00F760A2"/>
    <w:rsid w:val="00F76691"/>
    <w:rsid w:val="00F90E4C"/>
    <w:rsid w:val="00FB6DE9"/>
    <w:rsid w:val="00FC721C"/>
    <w:rsid w:val="00FD5B43"/>
    <w:rsid w:val="00FD75DA"/>
    <w:rsid w:val="00FE191F"/>
    <w:rsid w:val="00FE1F55"/>
    <w:rsid w:val="010D66B0"/>
    <w:rsid w:val="01162237"/>
    <w:rsid w:val="01534073"/>
    <w:rsid w:val="0159126E"/>
    <w:rsid w:val="01761E20"/>
    <w:rsid w:val="017E0CD4"/>
    <w:rsid w:val="01C77DCE"/>
    <w:rsid w:val="01F571E8"/>
    <w:rsid w:val="02133A5A"/>
    <w:rsid w:val="022C24DE"/>
    <w:rsid w:val="022D32BC"/>
    <w:rsid w:val="024B1B0D"/>
    <w:rsid w:val="02E01C47"/>
    <w:rsid w:val="02E12D65"/>
    <w:rsid w:val="0308180C"/>
    <w:rsid w:val="03240870"/>
    <w:rsid w:val="03315E11"/>
    <w:rsid w:val="03345AEF"/>
    <w:rsid w:val="03386CD7"/>
    <w:rsid w:val="03422F68"/>
    <w:rsid w:val="0343607D"/>
    <w:rsid w:val="03A367D0"/>
    <w:rsid w:val="03F45F4E"/>
    <w:rsid w:val="04134A25"/>
    <w:rsid w:val="04267B2D"/>
    <w:rsid w:val="04455AD9"/>
    <w:rsid w:val="045D1075"/>
    <w:rsid w:val="04883175"/>
    <w:rsid w:val="04A03782"/>
    <w:rsid w:val="04AE514F"/>
    <w:rsid w:val="05121E5F"/>
    <w:rsid w:val="053242B0"/>
    <w:rsid w:val="05845F29"/>
    <w:rsid w:val="05937B57"/>
    <w:rsid w:val="05C70E9C"/>
    <w:rsid w:val="05CC3CDE"/>
    <w:rsid w:val="05D20635"/>
    <w:rsid w:val="05F11A75"/>
    <w:rsid w:val="060E76BD"/>
    <w:rsid w:val="06110369"/>
    <w:rsid w:val="06224324"/>
    <w:rsid w:val="063A78C0"/>
    <w:rsid w:val="064424ED"/>
    <w:rsid w:val="066F5090"/>
    <w:rsid w:val="0676346C"/>
    <w:rsid w:val="06824DC3"/>
    <w:rsid w:val="06C43929"/>
    <w:rsid w:val="07347FFB"/>
    <w:rsid w:val="074A1D85"/>
    <w:rsid w:val="075826D6"/>
    <w:rsid w:val="07794418"/>
    <w:rsid w:val="07882DD0"/>
    <w:rsid w:val="07A42E2C"/>
    <w:rsid w:val="07BE62CF"/>
    <w:rsid w:val="07CC079B"/>
    <w:rsid w:val="07E900D0"/>
    <w:rsid w:val="08096ED2"/>
    <w:rsid w:val="08253C58"/>
    <w:rsid w:val="08896BA5"/>
    <w:rsid w:val="08B84ACC"/>
    <w:rsid w:val="08C571E9"/>
    <w:rsid w:val="08C94C09"/>
    <w:rsid w:val="08D55DA9"/>
    <w:rsid w:val="08DA35B4"/>
    <w:rsid w:val="09652EA6"/>
    <w:rsid w:val="099D4C43"/>
    <w:rsid w:val="09A60DC8"/>
    <w:rsid w:val="09B72FD5"/>
    <w:rsid w:val="09CD45A7"/>
    <w:rsid w:val="09D65B51"/>
    <w:rsid w:val="09FB7366"/>
    <w:rsid w:val="0A0A57FB"/>
    <w:rsid w:val="0A187F18"/>
    <w:rsid w:val="0A1B17B6"/>
    <w:rsid w:val="0A3058D5"/>
    <w:rsid w:val="0A5E51A8"/>
    <w:rsid w:val="0A67258E"/>
    <w:rsid w:val="0AFF4C34"/>
    <w:rsid w:val="0B073AE9"/>
    <w:rsid w:val="0B2428ED"/>
    <w:rsid w:val="0B293A5F"/>
    <w:rsid w:val="0B5B4A08"/>
    <w:rsid w:val="0B867103"/>
    <w:rsid w:val="0C01678A"/>
    <w:rsid w:val="0C080313"/>
    <w:rsid w:val="0C112E71"/>
    <w:rsid w:val="0C2F2114"/>
    <w:rsid w:val="0C360B29"/>
    <w:rsid w:val="0C4423F4"/>
    <w:rsid w:val="0C637445"/>
    <w:rsid w:val="0C711B61"/>
    <w:rsid w:val="0C801662"/>
    <w:rsid w:val="0C9B4D23"/>
    <w:rsid w:val="0C9E7DA8"/>
    <w:rsid w:val="0CC25F19"/>
    <w:rsid w:val="0CED50AF"/>
    <w:rsid w:val="0CFD33F5"/>
    <w:rsid w:val="0D0430D5"/>
    <w:rsid w:val="0D051CD8"/>
    <w:rsid w:val="0D3D7C96"/>
    <w:rsid w:val="0D5F003B"/>
    <w:rsid w:val="0D782A7C"/>
    <w:rsid w:val="0D7D4536"/>
    <w:rsid w:val="0D817B82"/>
    <w:rsid w:val="0D9C676A"/>
    <w:rsid w:val="0D9F625A"/>
    <w:rsid w:val="0DCF4D92"/>
    <w:rsid w:val="0E121122"/>
    <w:rsid w:val="0E2D66C5"/>
    <w:rsid w:val="0E3754C4"/>
    <w:rsid w:val="0ED974DB"/>
    <w:rsid w:val="0EF645A0"/>
    <w:rsid w:val="0F2B269B"/>
    <w:rsid w:val="0F3375A2"/>
    <w:rsid w:val="0F477811"/>
    <w:rsid w:val="0FAF0FD5"/>
    <w:rsid w:val="0FEB1BDA"/>
    <w:rsid w:val="10294501"/>
    <w:rsid w:val="103233B6"/>
    <w:rsid w:val="105B4ACA"/>
    <w:rsid w:val="10703EDE"/>
    <w:rsid w:val="10806817"/>
    <w:rsid w:val="1114620C"/>
    <w:rsid w:val="11254DDF"/>
    <w:rsid w:val="112E1DCF"/>
    <w:rsid w:val="115F2B3C"/>
    <w:rsid w:val="11647C30"/>
    <w:rsid w:val="117F0FDB"/>
    <w:rsid w:val="11875983"/>
    <w:rsid w:val="118F0A79"/>
    <w:rsid w:val="126712A3"/>
    <w:rsid w:val="12A10CC7"/>
    <w:rsid w:val="12CD73C6"/>
    <w:rsid w:val="12DE15D3"/>
    <w:rsid w:val="12E806A4"/>
    <w:rsid w:val="12F31522"/>
    <w:rsid w:val="132536A6"/>
    <w:rsid w:val="133B4615"/>
    <w:rsid w:val="13637AEA"/>
    <w:rsid w:val="13867665"/>
    <w:rsid w:val="139A1803"/>
    <w:rsid w:val="13B660AC"/>
    <w:rsid w:val="140B63F8"/>
    <w:rsid w:val="142179C9"/>
    <w:rsid w:val="14587163"/>
    <w:rsid w:val="14C56D8B"/>
    <w:rsid w:val="14D94748"/>
    <w:rsid w:val="14DF1632"/>
    <w:rsid w:val="14F055ED"/>
    <w:rsid w:val="151B6B0E"/>
    <w:rsid w:val="15747D95"/>
    <w:rsid w:val="159F68D8"/>
    <w:rsid w:val="15A10F61"/>
    <w:rsid w:val="15A32CBC"/>
    <w:rsid w:val="15B00A32"/>
    <w:rsid w:val="15D62A35"/>
    <w:rsid w:val="16225C7A"/>
    <w:rsid w:val="162639BD"/>
    <w:rsid w:val="162E0DAB"/>
    <w:rsid w:val="165B0C11"/>
    <w:rsid w:val="166218FF"/>
    <w:rsid w:val="16A14DF1"/>
    <w:rsid w:val="16C42F29"/>
    <w:rsid w:val="17245C97"/>
    <w:rsid w:val="17544559"/>
    <w:rsid w:val="176127D3"/>
    <w:rsid w:val="17797B1C"/>
    <w:rsid w:val="178C784F"/>
    <w:rsid w:val="179130B8"/>
    <w:rsid w:val="17B55118"/>
    <w:rsid w:val="17DB39A2"/>
    <w:rsid w:val="17DF2075"/>
    <w:rsid w:val="17FD24FB"/>
    <w:rsid w:val="181547BE"/>
    <w:rsid w:val="181603B3"/>
    <w:rsid w:val="18247FD1"/>
    <w:rsid w:val="18523097"/>
    <w:rsid w:val="185372B7"/>
    <w:rsid w:val="18C00A3C"/>
    <w:rsid w:val="18D92F68"/>
    <w:rsid w:val="18FC6C57"/>
    <w:rsid w:val="19066D08"/>
    <w:rsid w:val="19874772"/>
    <w:rsid w:val="19882298"/>
    <w:rsid w:val="19C03C83"/>
    <w:rsid w:val="1A0D279E"/>
    <w:rsid w:val="1A372F56"/>
    <w:rsid w:val="1A3C5571"/>
    <w:rsid w:val="1A622137"/>
    <w:rsid w:val="1A8011C2"/>
    <w:rsid w:val="1A85097A"/>
    <w:rsid w:val="1A9133CF"/>
    <w:rsid w:val="1AB772D9"/>
    <w:rsid w:val="1AE45BF4"/>
    <w:rsid w:val="1B0A52E6"/>
    <w:rsid w:val="1B1069E9"/>
    <w:rsid w:val="1B3611A1"/>
    <w:rsid w:val="1B561F58"/>
    <w:rsid w:val="1B5B5EB7"/>
    <w:rsid w:val="1B85279C"/>
    <w:rsid w:val="1BA10535"/>
    <w:rsid w:val="1BCD6688"/>
    <w:rsid w:val="1BE614F8"/>
    <w:rsid w:val="1BE929B3"/>
    <w:rsid w:val="1C185B56"/>
    <w:rsid w:val="1C1E0C92"/>
    <w:rsid w:val="1C2D69B9"/>
    <w:rsid w:val="1C2E35CB"/>
    <w:rsid w:val="1C3B7A96"/>
    <w:rsid w:val="1C40099F"/>
    <w:rsid w:val="1C406E5A"/>
    <w:rsid w:val="1C472109"/>
    <w:rsid w:val="1C5E17F0"/>
    <w:rsid w:val="1C64337C"/>
    <w:rsid w:val="1C9A2A0F"/>
    <w:rsid w:val="1C9C6787"/>
    <w:rsid w:val="1CA23671"/>
    <w:rsid w:val="1CA53161"/>
    <w:rsid w:val="1CAE64BA"/>
    <w:rsid w:val="1CBA4E5F"/>
    <w:rsid w:val="1CBB4733"/>
    <w:rsid w:val="1CD972E2"/>
    <w:rsid w:val="1CE65C54"/>
    <w:rsid w:val="1D04257E"/>
    <w:rsid w:val="1D0936F0"/>
    <w:rsid w:val="1D217820"/>
    <w:rsid w:val="1D3913FB"/>
    <w:rsid w:val="1D622333"/>
    <w:rsid w:val="1D6628F1"/>
    <w:rsid w:val="1D7758B3"/>
    <w:rsid w:val="1D8611E5"/>
    <w:rsid w:val="1DB95116"/>
    <w:rsid w:val="1DBB0E8E"/>
    <w:rsid w:val="1DE92955"/>
    <w:rsid w:val="1DEB1048"/>
    <w:rsid w:val="1E23051F"/>
    <w:rsid w:val="1E2C7696"/>
    <w:rsid w:val="1E432C32"/>
    <w:rsid w:val="1E467004"/>
    <w:rsid w:val="1E480248"/>
    <w:rsid w:val="1E5D497D"/>
    <w:rsid w:val="1E74706F"/>
    <w:rsid w:val="1EC93137"/>
    <w:rsid w:val="1F2A47F0"/>
    <w:rsid w:val="1F5C6D68"/>
    <w:rsid w:val="1F8B2AE2"/>
    <w:rsid w:val="1F947BE9"/>
    <w:rsid w:val="1FBF278C"/>
    <w:rsid w:val="1FDB5818"/>
    <w:rsid w:val="1FDD6387"/>
    <w:rsid w:val="1FF06CE7"/>
    <w:rsid w:val="1FFB1A16"/>
    <w:rsid w:val="200932AB"/>
    <w:rsid w:val="201605FE"/>
    <w:rsid w:val="20315438"/>
    <w:rsid w:val="209C472E"/>
    <w:rsid w:val="20C0056A"/>
    <w:rsid w:val="210C358C"/>
    <w:rsid w:val="21115269"/>
    <w:rsid w:val="212C5BFF"/>
    <w:rsid w:val="219F63D1"/>
    <w:rsid w:val="21AC1386"/>
    <w:rsid w:val="21BE0F4D"/>
    <w:rsid w:val="21FF0A99"/>
    <w:rsid w:val="22244B28"/>
    <w:rsid w:val="22280ABD"/>
    <w:rsid w:val="224C47AB"/>
    <w:rsid w:val="229121BE"/>
    <w:rsid w:val="229C2497"/>
    <w:rsid w:val="22A03E2C"/>
    <w:rsid w:val="22B77A4F"/>
    <w:rsid w:val="22E70030"/>
    <w:rsid w:val="22EF5136"/>
    <w:rsid w:val="23024E6A"/>
    <w:rsid w:val="23164DB9"/>
    <w:rsid w:val="23353491"/>
    <w:rsid w:val="23414823"/>
    <w:rsid w:val="235C0A1E"/>
    <w:rsid w:val="23713D9D"/>
    <w:rsid w:val="23743EFF"/>
    <w:rsid w:val="23D15BD0"/>
    <w:rsid w:val="23F21382"/>
    <w:rsid w:val="241A3F6A"/>
    <w:rsid w:val="245060A9"/>
    <w:rsid w:val="245C5FE8"/>
    <w:rsid w:val="24657F2A"/>
    <w:rsid w:val="2519649B"/>
    <w:rsid w:val="25203CCD"/>
    <w:rsid w:val="25370D30"/>
    <w:rsid w:val="25423C43"/>
    <w:rsid w:val="254A2AF8"/>
    <w:rsid w:val="25B34B41"/>
    <w:rsid w:val="25B918F1"/>
    <w:rsid w:val="26094761"/>
    <w:rsid w:val="261F0001"/>
    <w:rsid w:val="26551754"/>
    <w:rsid w:val="26683397"/>
    <w:rsid w:val="268D5392"/>
    <w:rsid w:val="269009DE"/>
    <w:rsid w:val="269F2E5B"/>
    <w:rsid w:val="26B63154"/>
    <w:rsid w:val="26D66D39"/>
    <w:rsid w:val="26D7485F"/>
    <w:rsid w:val="26DD1E76"/>
    <w:rsid w:val="26FB22FC"/>
    <w:rsid w:val="27147861"/>
    <w:rsid w:val="27174C5C"/>
    <w:rsid w:val="27182EAE"/>
    <w:rsid w:val="271B0BF0"/>
    <w:rsid w:val="272C0399"/>
    <w:rsid w:val="27726710"/>
    <w:rsid w:val="2818663E"/>
    <w:rsid w:val="28377363"/>
    <w:rsid w:val="284952E9"/>
    <w:rsid w:val="286D547B"/>
    <w:rsid w:val="287F0D0A"/>
    <w:rsid w:val="28A349F9"/>
    <w:rsid w:val="28AB1AFF"/>
    <w:rsid w:val="28DB0637"/>
    <w:rsid w:val="295977AD"/>
    <w:rsid w:val="29683A3B"/>
    <w:rsid w:val="29734942"/>
    <w:rsid w:val="29C76A37"/>
    <w:rsid w:val="29DB01C2"/>
    <w:rsid w:val="29DB6414"/>
    <w:rsid w:val="29DD3F3B"/>
    <w:rsid w:val="29F0536A"/>
    <w:rsid w:val="2A375D41"/>
    <w:rsid w:val="2AC94A34"/>
    <w:rsid w:val="2AF43C32"/>
    <w:rsid w:val="2B125E66"/>
    <w:rsid w:val="2B44557B"/>
    <w:rsid w:val="2B964CE9"/>
    <w:rsid w:val="2BAC1E16"/>
    <w:rsid w:val="2BCC61CD"/>
    <w:rsid w:val="2BD971EE"/>
    <w:rsid w:val="2BE617CC"/>
    <w:rsid w:val="2BE772F2"/>
    <w:rsid w:val="2C167BD8"/>
    <w:rsid w:val="2C3879C7"/>
    <w:rsid w:val="2C5E0268"/>
    <w:rsid w:val="2C656218"/>
    <w:rsid w:val="2C6E531E"/>
    <w:rsid w:val="2C815051"/>
    <w:rsid w:val="2C934D84"/>
    <w:rsid w:val="2CA06D47"/>
    <w:rsid w:val="2D242FE4"/>
    <w:rsid w:val="2D4C45A1"/>
    <w:rsid w:val="2DCC49F2"/>
    <w:rsid w:val="2DDD6BFF"/>
    <w:rsid w:val="2DF83A39"/>
    <w:rsid w:val="2E0C4DEE"/>
    <w:rsid w:val="2E235D72"/>
    <w:rsid w:val="2E6266D9"/>
    <w:rsid w:val="2E8E614B"/>
    <w:rsid w:val="2E9D6798"/>
    <w:rsid w:val="2EA66FF1"/>
    <w:rsid w:val="2EC102CF"/>
    <w:rsid w:val="2ED87D74"/>
    <w:rsid w:val="2EF73789"/>
    <w:rsid w:val="2EFA733D"/>
    <w:rsid w:val="2F4C4A3D"/>
    <w:rsid w:val="2F7B047E"/>
    <w:rsid w:val="2FA55564"/>
    <w:rsid w:val="2FCA68CB"/>
    <w:rsid w:val="2FE73D65"/>
    <w:rsid w:val="2FEA73B1"/>
    <w:rsid w:val="30406FD1"/>
    <w:rsid w:val="30427FB4"/>
    <w:rsid w:val="305331A8"/>
    <w:rsid w:val="308E41E1"/>
    <w:rsid w:val="30E3277E"/>
    <w:rsid w:val="30F27E9F"/>
    <w:rsid w:val="30FE1366"/>
    <w:rsid w:val="312132A7"/>
    <w:rsid w:val="32075FF9"/>
    <w:rsid w:val="32230959"/>
    <w:rsid w:val="32285F6F"/>
    <w:rsid w:val="32747406"/>
    <w:rsid w:val="32C50561"/>
    <w:rsid w:val="33375CF9"/>
    <w:rsid w:val="336175DA"/>
    <w:rsid w:val="33763EEB"/>
    <w:rsid w:val="33D0554B"/>
    <w:rsid w:val="33EF6DC7"/>
    <w:rsid w:val="34050C5E"/>
    <w:rsid w:val="341A3E69"/>
    <w:rsid w:val="341D1EA9"/>
    <w:rsid w:val="34761214"/>
    <w:rsid w:val="34AF4725"/>
    <w:rsid w:val="34BE34B7"/>
    <w:rsid w:val="34CE2DFE"/>
    <w:rsid w:val="34CF3B60"/>
    <w:rsid w:val="34E215B4"/>
    <w:rsid w:val="34FC581F"/>
    <w:rsid w:val="356A2BDE"/>
    <w:rsid w:val="3572372C"/>
    <w:rsid w:val="359027A9"/>
    <w:rsid w:val="35B51E9E"/>
    <w:rsid w:val="35B725D9"/>
    <w:rsid w:val="35DB7EC8"/>
    <w:rsid w:val="35F920FC"/>
    <w:rsid w:val="36176A26"/>
    <w:rsid w:val="361C5DEB"/>
    <w:rsid w:val="365A3BCD"/>
    <w:rsid w:val="36837358"/>
    <w:rsid w:val="369D07A4"/>
    <w:rsid w:val="36C3091C"/>
    <w:rsid w:val="36E57BC7"/>
    <w:rsid w:val="37310652"/>
    <w:rsid w:val="37A34A15"/>
    <w:rsid w:val="37C149E5"/>
    <w:rsid w:val="37D050DF"/>
    <w:rsid w:val="37E000EA"/>
    <w:rsid w:val="37F731B1"/>
    <w:rsid w:val="38682206"/>
    <w:rsid w:val="389E6A5F"/>
    <w:rsid w:val="38CA4114"/>
    <w:rsid w:val="390857A4"/>
    <w:rsid w:val="392C0A3B"/>
    <w:rsid w:val="39400042"/>
    <w:rsid w:val="396226AE"/>
    <w:rsid w:val="39833215"/>
    <w:rsid w:val="39BC3B6C"/>
    <w:rsid w:val="39CB2002"/>
    <w:rsid w:val="3A184B1B"/>
    <w:rsid w:val="3A2D4A6A"/>
    <w:rsid w:val="3A3F02FA"/>
    <w:rsid w:val="3A6F0BDF"/>
    <w:rsid w:val="3A9B7C26"/>
    <w:rsid w:val="3AA71851"/>
    <w:rsid w:val="3AD35612"/>
    <w:rsid w:val="3AE42F0A"/>
    <w:rsid w:val="3B0338C7"/>
    <w:rsid w:val="3B2C4D22"/>
    <w:rsid w:val="3B555172"/>
    <w:rsid w:val="3B72609F"/>
    <w:rsid w:val="3B7568CF"/>
    <w:rsid w:val="3B762441"/>
    <w:rsid w:val="3BDA29D0"/>
    <w:rsid w:val="3C2105FF"/>
    <w:rsid w:val="3C2B322B"/>
    <w:rsid w:val="3C340332"/>
    <w:rsid w:val="3C3B10F1"/>
    <w:rsid w:val="3C3E4487"/>
    <w:rsid w:val="3C41557B"/>
    <w:rsid w:val="3C477B9C"/>
    <w:rsid w:val="3C6E2421"/>
    <w:rsid w:val="3CA01523"/>
    <w:rsid w:val="3CA8487C"/>
    <w:rsid w:val="3CC01BC6"/>
    <w:rsid w:val="3CE97620"/>
    <w:rsid w:val="3D22462E"/>
    <w:rsid w:val="3D2A703F"/>
    <w:rsid w:val="3D347EBE"/>
    <w:rsid w:val="3DAE1A1E"/>
    <w:rsid w:val="3DC2196D"/>
    <w:rsid w:val="3DE90CA8"/>
    <w:rsid w:val="3E0F072B"/>
    <w:rsid w:val="3E726EF0"/>
    <w:rsid w:val="3E761E45"/>
    <w:rsid w:val="3ED96226"/>
    <w:rsid w:val="3F0044FB"/>
    <w:rsid w:val="3F021A95"/>
    <w:rsid w:val="3F161F71"/>
    <w:rsid w:val="3F415034"/>
    <w:rsid w:val="3F836EDA"/>
    <w:rsid w:val="3F854A01"/>
    <w:rsid w:val="3F9410E8"/>
    <w:rsid w:val="3FC52E7A"/>
    <w:rsid w:val="3FC92B3F"/>
    <w:rsid w:val="3FD12FE2"/>
    <w:rsid w:val="400B75FC"/>
    <w:rsid w:val="40156D36"/>
    <w:rsid w:val="401955E6"/>
    <w:rsid w:val="401C5051"/>
    <w:rsid w:val="40A93F7F"/>
    <w:rsid w:val="40EB1A51"/>
    <w:rsid w:val="41013204"/>
    <w:rsid w:val="41131791"/>
    <w:rsid w:val="41171FD0"/>
    <w:rsid w:val="412172E6"/>
    <w:rsid w:val="413E60ED"/>
    <w:rsid w:val="414508EB"/>
    <w:rsid w:val="41495ECC"/>
    <w:rsid w:val="418A6210"/>
    <w:rsid w:val="41B5786D"/>
    <w:rsid w:val="41DD55C0"/>
    <w:rsid w:val="41FA16D6"/>
    <w:rsid w:val="42033E85"/>
    <w:rsid w:val="4283791D"/>
    <w:rsid w:val="42BA70B7"/>
    <w:rsid w:val="42BF647C"/>
    <w:rsid w:val="42C92FAC"/>
    <w:rsid w:val="42CB4E20"/>
    <w:rsid w:val="42DA7C60"/>
    <w:rsid w:val="42E61C5A"/>
    <w:rsid w:val="42EE1CE3"/>
    <w:rsid w:val="43975501"/>
    <w:rsid w:val="43C82C5B"/>
    <w:rsid w:val="43E643B8"/>
    <w:rsid w:val="43F25B95"/>
    <w:rsid w:val="44226CC2"/>
    <w:rsid w:val="442C0469"/>
    <w:rsid w:val="44853A81"/>
    <w:rsid w:val="44E02C92"/>
    <w:rsid w:val="45093F53"/>
    <w:rsid w:val="452026D3"/>
    <w:rsid w:val="453E256B"/>
    <w:rsid w:val="45701CAF"/>
    <w:rsid w:val="459736E0"/>
    <w:rsid w:val="45AD2F03"/>
    <w:rsid w:val="45C85647"/>
    <w:rsid w:val="45D35409"/>
    <w:rsid w:val="45EE26B5"/>
    <w:rsid w:val="45FE439C"/>
    <w:rsid w:val="46195EA3"/>
    <w:rsid w:val="46266221"/>
    <w:rsid w:val="462705C0"/>
    <w:rsid w:val="4654512D"/>
    <w:rsid w:val="4662321E"/>
    <w:rsid w:val="4662784A"/>
    <w:rsid w:val="466D2AE0"/>
    <w:rsid w:val="46E66C23"/>
    <w:rsid w:val="46E83D20"/>
    <w:rsid w:val="470D602C"/>
    <w:rsid w:val="474D4056"/>
    <w:rsid w:val="476B6BD2"/>
    <w:rsid w:val="47775577"/>
    <w:rsid w:val="47D93B3C"/>
    <w:rsid w:val="47E250E6"/>
    <w:rsid w:val="4858697B"/>
    <w:rsid w:val="485E2293"/>
    <w:rsid w:val="488D59E5"/>
    <w:rsid w:val="489E2A27"/>
    <w:rsid w:val="48A71E8C"/>
    <w:rsid w:val="48AF2AEE"/>
    <w:rsid w:val="48BA57B8"/>
    <w:rsid w:val="48ED3EEC"/>
    <w:rsid w:val="48F33775"/>
    <w:rsid w:val="48F5325B"/>
    <w:rsid w:val="492D715F"/>
    <w:rsid w:val="4957070D"/>
    <w:rsid w:val="495E76CE"/>
    <w:rsid w:val="49675177"/>
    <w:rsid w:val="49995C78"/>
    <w:rsid w:val="49AD1A18"/>
    <w:rsid w:val="49AE2AD5"/>
    <w:rsid w:val="49B760FE"/>
    <w:rsid w:val="49CE0A3C"/>
    <w:rsid w:val="49F64E79"/>
    <w:rsid w:val="4A7F4E6E"/>
    <w:rsid w:val="4A8226AB"/>
    <w:rsid w:val="4A857FAB"/>
    <w:rsid w:val="4A883031"/>
    <w:rsid w:val="4AC654C8"/>
    <w:rsid w:val="4AD8457E"/>
    <w:rsid w:val="4AFA2747"/>
    <w:rsid w:val="4B054C48"/>
    <w:rsid w:val="4B094034"/>
    <w:rsid w:val="4B9009B5"/>
    <w:rsid w:val="4CE745C6"/>
    <w:rsid w:val="4CE74FE6"/>
    <w:rsid w:val="4D037CA3"/>
    <w:rsid w:val="4D2B5227"/>
    <w:rsid w:val="4D615AD5"/>
    <w:rsid w:val="4D64034B"/>
    <w:rsid w:val="4D9549A9"/>
    <w:rsid w:val="4DED6593"/>
    <w:rsid w:val="4E10402F"/>
    <w:rsid w:val="4E112AEA"/>
    <w:rsid w:val="4E191136"/>
    <w:rsid w:val="4E256A97"/>
    <w:rsid w:val="4E8011B5"/>
    <w:rsid w:val="4E843787"/>
    <w:rsid w:val="4EA36C51"/>
    <w:rsid w:val="4ED96B17"/>
    <w:rsid w:val="4EDE412D"/>
    <w:rsid w:val="4EF91081"/>
    <w:rsid w:val="4F5F701C"/>
    <w:rsid w:val="4F6E3703"/>
    <w:rsid w:val="4F7608F2"/>
    <w:rsid w:val="4F8D7E6C"/>
    <w:rsid w:val="50125E3D"/>
    <w:rsid w:val="50233325"/>
    <w:rsid w:val="502A0ED0"/>
    <w:rsid w:val="50371D47"/>
    <w:rsid w:val="503A35E5"/>
    <w:rsid w:val="50502E09"/>
    <w:rsid w:val="506B379F"/>
    <w:rsid w:val="509727E6"/>
    <w:rsid w:val="50C25AB5"/>
    <w:rsid w:val="50D22CE6"/>
    <w:rsid w:val="50E01A70"/>
    <w:rsid w:val="51287C66"/>
    <w:rsid w:val="51622F72"/>
    <w:rsid w:val="51695F30"/>
    <w:rsid w:val="517A5E45"/>
    <w:rsid w:val="519C4558"/>
    <w:rsid w:val="51F31C9E"/>
    <w:rsid w:val="51FD247F"/>
    <w:rsid w:val="52AB2578"/>
    <w:rsid w:val="52BC4786"/>
    <w:rsid w:val="52CC26B0"/>
    <w:rsid w:val="52EF6909"/>
    <w:rsid w:val="530E4B18"/>
    <w:rsid w:val="531B76FE"/>
    <w:rsid w:val="53397B84"/>
    <w:rsid w:val="53511309"/>
    <w:rsid w:val="5358437A"/>
    <w:rsid w:val="53711E90"/>
    <w:rsid w:val="53C9715A"/>
    <w:rsid w:val="53CA1459"/>
    <w:rsid w:val="53E5798E"/>
    <w:rsid w:val="540E5CEA"/>
    <w:rsid w:val="541C1980"/>
    <w:rsid w:val="54260108"/>
    <w:rsid w:val="5482232F"/>
    <w:rsid w:val="548D0188"/>
    <w:rsid w:val="54946CCA"/>
    <w:rsid w:val="54B75204"/>
    <w:rsid w:val="553E1482"/>
    <w:rsid w:val="554A2A3D"/>
    <w:rsid w:val="555D2250"/>
    <w:rsid w:val="555E5AFC"/>
    <w:rsid w:val="55825812"/>
    <w:rsid w:val="558274BC"/>
    <w:rsid w:val="558275C0"/>
    <w:rsid w:val="5587381A"/>
    <w:rsid w:val="55A0038E"/>
    <w:rsid w:val="55B7290F"/>
    <w:rsid w:val="55D87B28"/>
    <w:rsid w:val="55DA38A0"/>
    <w:rsid w:val="55DB4F23"/>
    <w:rsid w:val="55FC773E"/>
    <w:rsid w:val="565363E0"/>
    <w:rsid w:val="56671944"/>
    <w:rsid w:val="56847685"/>
    <w:rsid w:val="56C34335"/>
    <w:rsid w:val="56D61FB3"/>
    <w:rsid w:val="56F37CBE"/>
    <w:rsid w:val="57460AC2"/>
    <w:rsid w:val="5751666A"/>
    <w:rsid w:val="575F3ED4"/>
    <w:rsid w:val="57715B3F"/>
    <w:rsid w:val="579E6BC1"/>
    <w:rsid w:val="57D65506"/>
    <w:rsid w:val="57D9040A"/>
    <w:rsid w:val="57DC7EF9"/>
    <w:rsid w:val="57DD1426"/>
    <w:rsid w:val="57E83927"/>
    <w:rsid w:val="58031FCA"/>
    <w:rsid w:val="581B0A7B"/>
    <w:rsid w:val="581F0842"/>
    <w:rsid w:val="5826591F"/>
    <w:rsid w:val="582E57DE"/>
    <w:rsid w:val="58391F30"/>
    <w:rsid w:val="586C27AA"/>
    <w:rsid w:val="588673C8"/>
    <w:rsid w:val="58BD6B62"/>
    <w:rsid w:val="58D13F64"/>
    <w:rsid w:val="58F92290"/>
    <w:rsid w:val="59187AED"/>
    <w:rsid w:val="59301A29"/>
    <w:rsid w:val="59347F9F"/>
    <w:rsid w:val="598C0A1F"/>
    <w:rsid w:val="598E2EF7"/>
    <w:rsid w:val="59943D66"/>
    <w:rsid w:val="59D436F2"/>
    <w:rsid w:val="5A094754"/>
    <w:rsid w:val="5A4973A3"/>
    <w:rsid w:val="5A7723FC"/>
    <w:rsid w:val="5A8738CB"/>
    <w:rsid w:val="5AC2782E"/>
    <w:rsid w:val="5AC643F3"/>
    <w:rsid w:val="5AEC2D3D"/>
    <w:rsid w:val="5AF35AF3"/>
    <w:rsid w:val="5AFE1E47"/>
    <w:rsid w:val="5B0C7D7F"/>
    <w:rsid w:val="5B0D3DD0"/>
    <w:rsid w:val="5B1E5FDD"/>
    <w:rsid w:val="5B523ED9"/>
    <w:rsid w:val="5B885B4D"/>
    <w:rsid w:val="5B9F3D1D"/>
    <w:rsid w:val="5BAC2B01"/>
    <w:rsid w:val="5BD3166C"/>
    <w:rsid w:val="5BFB00CD"/>
    <w:rsid w:val="5C367644"/>
    <w:rsid w:val="5C3F26AF"/>
    <w:rsid w:val="5C69772C"/>
    <w:rsid w:val="5C9347A9"/>
    <w:rsid w:val="5CA507A5"/>
    <w:rsid w:val="5D1E0517"/>
    <w:rsid w:val="5D211DB5"/>
    <w:rsid w:val="5D302478"/>
    <w:rsid w:val="5D3513BC"/>
    <w:rsid w:val="5D441918"/>
    <w:rsid w:val="5D5061F6"/>
    <w:rsid w:val="5D5139CE"/>
    <w:rsid w:val="5D635F29"/>
    <w:rsid w:val="5D700646"/>
    <w:rsid w:val="5DA0717E"/>
    <w:rsid w:val="5DC6470A"/>
    <w:rsid w:val="5DCC20E0"/>
    <w:rsid w:val="5DE66B5A"/>
    <w:rsid w:val="5DE90A53"/>
    <w:rsid w:val="5DEF3C61"/>
    <w:rsid w:val="5E23174B"/>
    <w:rsid w:val="5E251431"/>
    <w:rsid w:val="5E287173"/>
    <w:rsid w:val="5E587A58"/>
    <w:rsid w:val="5E59732C"/>
    <w:rsid w:val="5E696CD5"/>
    <w:rsid w:val="5E7208F5"/>
    <w:rsid w:val="5E9218F9"/>
    <w:rsid w:val="5EA61FE8"/>
    <w:rsid w:val="5EAF519E"/>
    <w:rsid w:val="5EC02FE3"/>
    <w:rsid w:val="5EE25B43"/>
    <w:rsid w:val="5F072DFD"/>
    <w:rsid w:val="5F323D34"/>
    <w:rsid w:val="5F3C1128"/>
    <w:rsid w:val="5F8D1984"/>
    <w:rsid w:val="5FF90C40"/>
    <w:rsid w:val="600357A2"/>
    <w:rsid w:val="60235E44"/>
    <w:rsid w:val="609603C4"/>
    <w:rsid w:val="60A01243"/>
    <w:rsid w:val="60AB15AD"/>
    <w:rsid w:val="60B041BC"/>
    <w:rsid w:val="60F5158E"/>
    <w:rsid w:val="6119480C"/>
    <w:rsid w:val="61453B98"/>
    <w:rsid w:val="614E0C9F"/>
    <w:rsid w:val="61707857"/>
    <w:rsid w:val="61756DB7"/>
    <w:rsid w:val="61AF21CC"/>
    <w:rsid w:val="61B721ED"/>
    <w:rsid w:val="61FC06FB"/>
    <w:rsid w:val="62051CA5"/>
    <w:rsid w:val="620A72BB"/>
    <w:rsid w:val="622163B3"/>
    <w:rsid w:val="62A82630"/>
    <w:rsid w:val="62CA6A4B"/>
    <w:rsid w:val="62D61476"/>
    <w:rsid w:val="62E33669"/>
    <w:rsid w:val="63041F5D"/>
    <w:rsid w:val="6312257A"/>
    <w:rsid w:val="63350A04"/>
    <w:rsid w:val="63365E8E"/>
    <w:rsid w:val="63622586"/>
    <w:rsid w:val="636C7B02"/>
    <w:rsid w:val="63824E0A"/>
    <w:rsid w:val="638E391B"/>
    <w:rsid w:val="63A43607"/>
    <w:rsid w:val="63A4729C"/>
    <w:rsid w:val="63B219B9"/>
    <w:rsid w:val="63C70247"/>
    <w:rsid w:val="63D2491F"/>
    <w:rsid w:val="6421269A"/>
    <w:rsid w:val="6457430E"/>
    <w:rsid w:val="647C5B23"/>
    <w:rsid w:val="648A6492"/>
    <w:rsid w:val="648F1CFA"/>
    <w:rsid w:val="64B61035"/>
    <w:rsid w:val="64E53CCD"/>
    <w:rsid w:val="65444892"/>
    <w:rsid w:val="65C92FEA"/>
    <w:rsid w:val="65F20792"/>
    <w:rsid w:val="660F30F2"/>
    <w:rsid w:val="661C136B"/>
    <w:rsid w:val="662B5F3B"/>
    <w:rsid w:val="66B27F22"/>
    <w:rsid w:val="66C832A1"/>
    <w:rsid w:val="66EC6F0C"/>
    <w:rsid w:val="66EC6F90"/>
    <w:rsid w:val="67256946"/>
    <w:rsid w:val="67801DCE"/>
    <w:rsid w:val="6787315C"/>
    <w:rsid w:val="67944795"/>
    <w:rsid w:val="67A06BB2"/>
    <w:rsid w:val="67B2503E"/>
    <w:rsid w:val="67B83316"/>
    <w:rsid w:val="67FA57C3"/>
    <w:rsid w:val="680E2F36"/>
    <w:rsid w:val="681C742F"/>
    <w:rsid w:val="682D329D"/>
    <w:rsid w:val="685E210F"/>
    <w:rsid w:val="689478DF"/>
    <w:rsid w:val="689E69AF"/>
    <w:rsid w:val="68B63CF9"/>
    <w:rsid w:val="68C2564E"/>
    <w:rsid w:val="68C70E66"/>
    <w:rsid w:val="68CA50AF"/>
    <w:rsid w:val="68DC1286"/>
    <w:rsid w:val="68E934F8"/>
    <w:rsid w:val="68EC06AA"/>
    <w:rsid w:val="68EC14C9"/>
    <w:rsid w:val="68F4037D"/>
    <w:rsid w:val="69037B3F"/>
    <w:rsid w:val="690B6C84"/>
    <w:rsid w:val="694C1F68"/>
    <w:rsid w:val="695A598B"/>
    <w:rsid w:val="69603C65"/>
    <w:rsid w:val="697D65C5"/>
    <w:rsid w:val="69A47FF6"/>
    <w:rsid w:val="6A415844"/>
    <w:rsid w:val="6A617C95"/>
    <w:rsid w:val="6A696B49"/>
    <w:rsid w:val="6A841BD5"/>
    <w:rsid w:val="6AD232EE"/>
    <w:rsid w:val="6B621344"/>
    <w:rsid w:val="6B8E3CEF"/>
    <w:rsid w:val="6BCC3834"/>
    <w:rsid w:val="6BFD1C3F"/>
    <w:rsid w:val="6C0528A2"/>
    <w:rsid w:val="6C150D37"/>
    <w:rsid w:val="6C5506F2"/>
    <w:rsid w:val="6C5F1FB2"/>
    <w:rsid w:val="6C7E3F42"/>
    <w:rsid w:val="6CA36342"/>
    <w:rsid w:val="6CAD0F6F"/>
    <w:rsid w:val="6CD40BF2"/>
    <w:rsid w:val="6CF46B9E"/>
    <w:rsid w:val="6D0A6210"/>
    <w:rsid w:val="6D2A0812"/>
    <w:rsid w:val="6DAC3706"/>
    <w:rsid w:val="6DBB76BC"/>
    <w:rsid w:val="6DCD73EF"/>
    <w:rsid w:val="6E05302D"/>
    <w:rsid w:val="6E167A51"/>
    <w:rsid w:val="6E645FA5"/>
    <w:rsid w:val="6E6B7334"/>
    <w:rsid w:val="6E833BD7"/>
    <w:rsid w:val="6E963C85"/>
    <w:rsid w:val="6EC5219D"/>
    <w:rsid w:val="6EDC3D8E"/>
    <w:rsid w:val="6EFA4214"/>
    <w:rsid w:val="6F26325B"/>
    <w:rsid w:val="6F343BCA"/>
    <w:rsid w:val="6F4436E1"/>
    <w:rsid w:val="6F543924"/>
    <w:rsid w:val="6F6873CF"/>
    <w:rsid w:val="6F6C3363"/>
    <w:rsid w:val="6FA57F83"/>
    <w:rsid w:val="6FC00FB9"/>
    <w:rsid w:val="700370F8"/>
    <w:rsid w:val="701632CF"/>
    <w:rsid w:val="703616DA"/>
    <w:rsid w:val="7073162E"/>
    <w:rsid w:val="70820965"/>
    <w:rsid w:val="70B34FC2"/>
    <w:rsid w:val="70C1148D"/>
    <w:rsid w:val="711200BC"/>
    <w:rsid w:val="71500A63"/>
    <w:rsid w:val="7179796D"/>
    <w:rsid w:val="717D0512"/>
    <w:rsid w:val="71AB4205"/>
    <w:rsid w:val="71E52F59"/>
    <w:rsid w:val="72165809"/>
    <w:rsid w:val="721D0945"/>
    <w:rsid w:val="722113C6"/>
    <w:rsid w:val="72211FE4"/>
    <w:rsid w:val="723A416E"/>
    <w:rsid w:val="7289422C"/>
    <w:rsid w:val="728D72D4"/>
    <w:rsid w:val="72A76461"/>
    <w:rsid w:val="732E5CC1"/>
    <w:rsid w:val="7346211D"/>
    <w:rsid w:val="735A7977"/>
    <w:rsid w:val="7386251A"/>
    <w:rsid w:val="738C39AA"/>
    <w:rsid w:val="73972979"/>
    <w:rsid w:val="73A155A6"/>
    <w:rsid w:val="73AA6208"/>
    <w:rsid w:val="73FC458A"/>
    <w:rsid w:val="74095259"/>
    <w:rsid w:val="741E09A4"/>
    <w:rsid w:val="743E0803"/>
    <w:rsid w:val="74432EEC"/>
    <w:rsid w:val="74542618"/>
    <w:rsid w:val="74856C75"/>
    <w:rsid w:val="74C210AD"/>
    <w:rsid w:val="74D6302D"/>
    <w:rsid w:val="74DF5002"/>
    <w:rsid w:val="74F71921"/>
    <w:rsid w:val="75073BBA"/>
    <w:rsid w:val="752C5111"/>
    <w:rsid w:val="75306BE1"/>
    <w:rsid w:val="753E3C49"/>
    <w:rsid w:val="75495400"/>
    <w:rsid w:val="754C32EF"/>
    <w:rsid w:val="755723C0"/>
    <w:rsid w:val="75942ECA"/>
    <w:rsid w:val="75E35A02"/>
    <w:rsid w:val="761379D1"/>
    <w:rsid w:val="764861AD"/>
    <w:rsid w:val="76AF2108"/>
    <w:rsid w:val="77C33A56"/>
    <w:rsid w:val="77C74255"/>
    <w:rsid w:val="77D9530E"/>
    <w:rsid w:val="77EE068E"/>
    <w:rsid w:val="78232A2D"/>
    <w:rsid w:val="7831514A"/>
    <w:rsid w:val="78A7540C"/>
    <w:rsid w:val="791800B8"/>
    <w:rsid w:val="79BC0732"/>
    <w:rsid w:val="79E41D48"/>
    <w:rsid w:val="79F93A46"/>
    <w:rsid w:val="7A15284A"/>
    <w:rsid w:val="7A3D7130"/>
    <w:rsid w:val="7A9C6AE1"/>
    <w:rsid w:val="7AA5597C"/>
    <w:rsid w:val="7AD93877"/>
    <w:rsid w:val="7AE904E6"/>
    <w:rsid w:val="7B160627"/>
    <w:rsid w:val="7B3665D4"/>
    <w:rsid w:val="7B533C4E"/>
    <w:rsid w:val="7B7D2454"/>
    <w:rsid w:val="7B960858"/>
    <w:rsid w:val="7BA23C69"/>
    <w:rsid w:val="7BBC11CF"/>
    <w:rsid w:val="7BC7213D"/>
    <w:rsid w:val="7C354ADD"/>
    <w:rsid w:val="7C4B2553"/>
    <w:rsid w:val="7C804A6D"/>
    <w:rsid w:val="7C8B6DF3"/>
    <w:rsid w:val="7CA46BC3"/>
    <w:rsid w:val="7CAF2AE1"/>
    <w:rsid w:val="7CB974BC"/>
    <w:rsid w:val="7D083FA0"/>
    <w:rsid w:val="7D087E4B"/>
    <w:rsid w:val="7D0F17D2"/>
    <w:rsid w:val="7D0F6CCF"/>
    <w:rsid w:val="7D126BCC"/>
    <w:rsid w:val="7D225061"/>
    <w:rsid w:val="7DB475EC"/>
    <w:rsid w:val="7E063173"/>
    <w:rsid w:val="7E115FD3"/>
    <w:rsid w:val="7E2272E3"/>
    <w:rsid w:val="7E895EFA"/>
    <w:rsid w:val="7E9C52E7"/>
    <w:rsid w:val="7EED5B43"/>
    <w:rsid w:val="7F1B445E"/>
    <w:rsid w:val="7F286B7B"/>
    <w:rsid w:val="7F435763"/>
    <w:rsid w:val="7F4C0ABC"/>
    <w:rsid w:val="7F5F3C77"/>
    <w:rsid w:val="7F8244DD"/>
    <w:rsid w:val="7F85511F"/>
    <w:rsid w:val="7FA94D61"/>
    <w:rsid w:val="7FAE6377"/>
    <w:rsid w:val="7FAF3B14"/>
    <w:rsid w:val="7FB65F35"/>
    <w:rsid w:val="7FC56178"/>
    <w:rsid w:val="7FE64A6C"/>
    <w:rsid w:val="7FEE5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nhideWhenUsed="0" w:uiPriority="0" w:semiHidden="0"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Plain Text"/>
    <w:basedOn w:val="1"/>
    <w:next w:val="3"/>
    <w:autoRedefine/>
    <w:qFormat/>
    <w:uiPriority w:val="99"/>
    <w:rPr>
      <w:rFonts w:ascii="宋体" w:hAnsi="Courier New" w:cs="Courier New"/>
      <w:szCs w:val="21"/>
    </w:rPr>
  </w:style>
  <w:style w:type="paragraph" w:styleId="3">
    <w:name w:val="index 9"/>
    <w:basedOn w:val="1"/>
    <w:next w:val="1"/>
    <w:autoRedefine/>
    <w:qFormat/>
    <w:uiPriority w:val="0"/>
    <w:pPr>
      <w:ind w:left="1600" w:leftChars="1600"/>
    </w:pPr>
  </w:style>
  <w:style w:type="paragraph" w:styleId="4">
    <w:name w:val="Body Text"/>
    <w:basedOn w:val="1"/>
    <w:autoRedefine/>
    <w:qFormat/>
    <w:uiPriority w:val="0"/>
  </w:style>
  <w:style w:type="paragraph" w:styleId="5">
    <w:name w:val="footer"/>
    <w:basedOn w:val="1"/>
    <w:link w:val="18"/>
    <w:autoRedefine/>
    <w:unhideWhenUsed/>
    <w:qFormat/>
    <w:uiPriority w:val="99"/>
    <w:pPr>
      <w:tabs>
        <w:tab w:val="center" w:pos="4153"/>
        <w:tab w:val="right" w:pos="8306"/>
      </w:tabs>
      <w:snapToGrid w:val="0"/>
      <w:jc w:val="left"/>
    </w:pPr>
    <w:rPr>
      <w:sz w:val="18"/>
      <w:szCs w:val="18"/>
    </w:rPr>
  </w:style>
  <w:style w:type="paragraph" w:styleId="6">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autoRedefine/>
    <w:qFormat/>
    <w:uiPriority w:val="0"/>
    <w:pPr>
      <w:widowControl w:val="0"/>
      <w:spacing w:before="100" w:beforeAutospacing="1" w:after="100" w:afterAutospacing="1"/>
      <w:ind w:left="200" w:leftChars="200"/>
      <w:jc w:val="both"/>
    </w:pPr>
    <w:rPr>
      <w:rFonts w:ascii="Calibri" w:hAnsi="Calibri" w:eastAsia="宋体" w:cs="Times New Roman"/>
      <w:kern w:val="2"/>
      <w:sz w:val="21"/>
      <w:szCs w:val="24"/>
      <w:lang w:val="en-US" w:eastAsia="zh-CN" w:bidi="ar-SA"/>
    </w:rPr>
  </w:style>
  <w:style w:type="paragraph" w:styleId="8">
    <w:name w:val="Normal (Web)"/>
    <w:basedOn w:val="1"/>
    <w:autoRedefine/>
    <w:semiHidden/>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9">
    <w:name w:val="Title"/>
    <w:basedOn w:val="1"/>
    <w:autoRedefine/>
    <w:qFormat/>
    <w:uiPriority w:val="0"/>
    <w:pPr>
      <w:spacing w:before="240" w:beforeLines="0" w:beforeAutospacing="0" w:after="60" w:afterLines="0" w:afterAutospacing="0"/>
      <w:jc w:val="center"/>
      <w:outlineLvl w:val="0"/>
    </w:pPr>
    <w:rPr>
      <w:rFonts w:ascii="Arial" w:hAnsi="Arial"/>
      <w:b/>
      <w:sz w:val="32"/>
    </w:rPr>
  </w:style>
  <w:style w:type="table" w:styleId="11">
    <w:name w:val="Table Grid"/>
    <w:basedOn w:val="10"/>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3">
    <w:name w:val="FollowedHyperlink"/>
    <w:basedOn w:val="12"/>
    <w:autoRedefine/>
    <w:semiHidden/>
    <w:unhideWhenUsed/>
    <w:qFormat/>
    <w:uiPriority w:val="99"/>
    <w:rPr>
      <w:color w:val="800080"/>
      <w:u w:val="none"/>
    </w:rPr>
  </w:style>
  <w:style w:type="character" w:styleId="14">
    <w:name w:val="Emphasis"/>
    <w:basedOn w:val="12"/>
    <w:autoRedefine/>
    <w:qFormat/>
    <w:uiPriority w:val="20"/>
  </w:style>
  <w:style w:type="character" w:styleId="15">
    <w:name w:val="Hyperlink"/>
    <w:basedOn w:val="12"/>
    <w:autoRedefine/>
    <w:unhideWhenUsed/>
    <w:qFormat/>
    <w:uiPriority w:val="99"/>
    <w:rPr>
      <w:color w:val="0563C1" w:themeColor="hyperlink"/>
      <w:u w:val="single"/>
      <w14:textFill>
        <w14:solidFill>
          <w14:schemeClr w14:val="hlink"/>
        </w14:solidFill>
      </w14:textFill>
    </w:rPr>
  </w:style>
  <w:style w:type="paragraph" w:styleId="16">
    <w:name w:val="List Paragraph"/>
    <w:basedOn w:val="1"/>
    <w:autoRedefine/>
    <w:qFormat/>
    <w:uiPriority w:val="34"/>
    <w:pPr>
      <w:ind w:firstLine="420" w:firstLineChars="200"/>
    </w:pPr>
  </w:style>
  <w:style w:type="character" w:customStyle="1" w:styleId="17">
    <w:name w:val="页眉 字符"/>
    <w:basedOn w:val="12"/>
    <w:link w:val="6"/>
    <w:autoRedefine/>
    <w:qFormat/>
    <w:uiPriority w:val="99"/>
    <w:rPr>
      <w:sz w:val="18"/>
      <w:szCs w:val="18"/>
    </w:rPr>
  </w:style>
  <w:style w:type="character" w:customStyle="1" w:styleId="18">
    <w:name w:val="页脚 字符"/>
    <w:basedOn w:val="12"/>
    <w:link w:val="5"/>
    <w:autoRedefine/>
    <w:qFormat/>
    <w:uiPriority w:val="99"/>
    <w:rPr>
      <w:sz w:val="18"/>
      <w:szCs w:val="18"/>
    </w:rPr>
  </w:style>
  <w:style w:type="character" w:customStyle="1" w:styleId="19">
    <w:name w:val="index-module_accountauthentication_3bwix"/>
    <w:basedOn w:val="12"/>
    <w:autoRedefine/>
    <w:qFormat/>
    <w:uiPriority w:val="0"/>
  </w:style>
  <w:style w:type="paragraph" w:customStyle="1" w:styleId="20">
    <w:name w:val="UserStyle_0"/>
    <w:basedOn w:val="1"/>
    <w:next w:val="21"/>
    <w:autoRedefine/>
    <w:qFormat/>
    <w:uiPriority w:val="0"/>
    <w:pPr>
      <w:ind w:firstLine="560"/>
      <w:jc w:val="both"/>
      <w:textAlignment w:val="baseline"/>
    </w:pPr>
    <w:rPr>
      <w:rFonts w:ascii="宋体" w:hAnsi="宋体" w:eastAsia="宋体"/>
      <w:kern w:val="2"/>
      <w:sz w:val="21"/>
      <w:szCs w:val="20"/>
      <w:lang w:val="en-US" w:eastAsia="zh-CN" w:bidi="ar-SA"/>
    </w:rPr>
  </w:style>
  <w:style w:type="paragraph" w:customStyle="1" w:styleId="21">
    <w:name w:val="UserStyle_1"/>
    <w:basedOn w:val="1"/>
    <w:autoRedefine/>
    <w:qFormat/>
    <w:uiPriority w:val="0"/>
    <w:pPr>
      <w:snapToGrid w:val="0"/>
      <w:spacing w:line="324" w:lineRule="auto"/>
      <w:ind w:firstLine="600"/>
      <w:jc w:val="both"/>
      <w:textAlignment w:val="baseline"/>
    </w:pPr>
    <w:rPr>
      <w:rFonts w:ascii="Calibri" w:hAnsi="宋体" w:eastAsia="宋体"/>
      <w:kern w:val="2"/>
      <w:sz w:val="28"/>
      <w:szCs w:val="20"/>
      <w:lang w:val="en-US" w:eastAsia="zh-CN" w:bidi="ar-SA"/>
    </w:rPr>
  </w:style>
  <w:style w:type="character" w:customStyle="1" w:styleId="22">
    <w:name w:val="font11"/>
    <w:basedOn w:val="12"/>
    <w:autoRedefine/>
    <w:qFormat/>
    <w:uiPriority w:val="0"/>
    <w:rPr>
      <w:rFonts w:hint="eastAsia" w:ascii="仿宋" w:hAnsi="仿宋" w:eastAsia="仿宋" w:cs="仿宋"/>
      <w:color w:val="000000"/>
      <w:sz w:val="24"/>
      <w:szCs w:val="24"/>
      <w:u w:val="none"/>
    </w:rPr>
  </w:style>
  <w:style w:type="paragraph" w:customStyle="1" w:styleId="2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4">
    <w:name w:val="章标题"/>
    <w:next w:val="23"/>
    <w:qFormat/>
    <w:uiPriority w:val="0"/>
    <w:pPr>
      <w:numPr>
        <w:ilvl w:val="1"/>
        <w:numId w:val="1"/>
      </w:numPr>
      <w:spacing w:before="50" w:beforeLines="50" w:after="50" w:afterLines="50"/>
      <w:jc w:val="both"/>
      <w:outlineLvl w:val="1"/>
    </w:pPr>
    <w:rPr>
      <w:rFonts w:ascii="黑体" w:hAnsi="Times New Roman" w:eastAsia="黑体" w:cs="Times New Roman"/>
      <w:sz w:val="21"/>
      <w:lang w:val="en-US" w:eastAsia="zh-CN" w:bidi="ar-SA"/>
    </w:rPr>
  </w:style>
  <w:style w:type="paragraph" w:customStyle="1" w:styleId="25">
    <w:name w:val="一级条标题"/>
    <w:next w:val="23"/>
    <w:qFormat/>
    <w:uiPriority w:val="0"/>
    <w:pPr>
      <w:numPr>
        <w:ilvl w:val="2"/>
        <w:numId w:val="1"/>
      </w:numPr>
      <w:outlineLvl w:val="2"/>
    </w:pPr>
    <w:rPr>
      <w:rFonts w:ascii="Times New Roman" w:hAnsi="Times New Roman" w:eastAsia="黑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26FD1F-A215-480A-8BF7-4235599B0B73}">
  <ds:schemaRefs/>
</ds:datastoreItem>
</file>

<file path=docProps/app.xml><?xml version="1.0" encoding="utf-8"?>
<Properties xmlns="http://schemas.openxmlformats.org/officeDocument/2006/extended-properties" xmlns:vt="http://schemas.openxmlformats.org/officeDocument/2006/docPropsVTypes">
  <Template>Normal</Template>
  <Pages>5</Pages>
  <Words>1981</Words>
  <Characters>2079</Characters>
  <Lines>88</Lines>
  <Paragraphs>24</Paragraphs>
  <TotalTime>18</TotalTime>
  <ScaleCrop>false</ScaleCrop>
  <LinksUpToDate>false</LinksUpToDate>
  <CharactersWithSpaces>2331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2021-08-09T03:21:00Z</dcterms:created>
  <dc:creator>Windows 用户</dc:creator>
  <cp:lastModifiedBy>A因为爱嫁衣涞源店13483785715</cp:lastModifiedBy>
  <cp:lastPrinted>2025-12-23T06:14:00Z</cp:lastPrinted>
  <dcterms:modified xsi:type="dcterms:W3CDTF">2025-12-30T06:49:08Z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2F18BC97199645B98BF7413B44808A75_13</vt:lpwstr>
  </property>
  <property fmtid="{D5CDD505-2E9C-101B-9397-08002B2CF9AE}" pid="4" name="commondata">
    <vt:lpwstr>eyJoZGlkIjoiMmM1ZTg0MDNhNGU3M2EwN2M1NWM3ZDY2ZmM0YWI2ZWEifQ==</vt:lpwstr>
  </property>
  <property fmtid="{D5CDD505-2E9C-101B-9397-08002B2CF9AE}" pid="5" name="KSOTemplateDocerSaveRecord">
    <vt:lpwstr>eyJoZGlkIjoiNTMxOGQyZmI1OGU3YzlkODQ2YTg5MTEwMDQ4MWRhNWIiLCJ1c2VySWQiOiI3NDAxNTM0NzYifQ==</vt:lpwstr>
  </property>
</Properties>
</file>