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5000" w:type="pct"/>
        <w:tblCellSpacing w:w="0" w:type="dxa"/>
        <w:tblInd w:w="15" w:type="dxa"/>
        <w:tblBorders>
          <w:top w:val="single" w:color="D8D6D6" w:sz="6" w:space="0"/>
          <w:left w:val="single" w:color="D8D6D6" w:sz="6" w:space="0"/>
          <w:bottom w:val="single" w:color="D8D6D6" w:sz="6" w:space="0"/>
          <w:right w:val="single" w:color="D8D6D6" w:sz="6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987"/>
      </w:tblGrid>
      <w:tr>
        <w:tblPrEx>
          <w:tblBorders>
            <w:top w:val="single" w:color="D8D6D6" w:sz="6" w:space="0"/>
            <w:left w:val="single" w:color="D8D6D6" w:sz="6" w:space="0"/>
            <w:bottom w:val="single" w:color="D8D6D6" w:sz="6" w:space="0"/>
            <w:right w:val="single" w:color="D8D6D6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0" w:hRule="atLeast"/>
          <w:tblCellSpacing w:w="0" w:type="dxa"/>
        </w:trPr>
        <w:tc>
          <w:tcPr>
            <w:tcW w:w="0" w:type="auto"/>
            <w:tcBorders>
              <w:top w:val="dotted" w:color="D3D3D3" w:sz="6" w:space="0"/>
              <w:left w:val="dotted" w:color="D3D3D3" w:sz="6" w:space="0"/>
              <w:bottom w:val="dotted" w:color="D3D3D3" w:sz="6" w:space="0"/>
              <w:right w:val="dotted" w:color="D3D3D3" w:sz="6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tbl>
            <w:tblPr>
              <w:tblStyle w:val="3"/>
              <w:tblpPr w:leftFromText="180" w:rightFromText="180" w:vertAnchor="text" w:horzAnchor="page" w:tblpX="18" w:tblpY="922"/>
              <w:tblOverlap w:val="never"/>
              <w:tblW w:w="5000" w:type="pct"/>
              <w:tblCellSpacing w:w="0" w:type="dxa"/>
              <w:tblInd w:w="0" w:type="dxa"/>
              <w:tblBorders>
                <w:top w:val="dotted" w:color="D3D3D3" w:sz="6" w:space="0"/>
                <w:left w:val="dotted" w:color="D3D3D3" w:sz="6" w:space="0"/>
                <w:bottom w:val="dotted" w:color="D3D3D3" w:sz="6" w:space="0"/>
                <w:right w:val="dotted" w:color="D3D3D3" w:sz="6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942"/>
            </w:tblGrid>
            <w:tr>
              <w:tblPrEx>
                <w:tblBorders>
                  <w:top w:val="dotted" w:color="D3D3D3" w:sz="6" w:space="0"/>
                  <w:left w:val="dotted" w:color="D3D3D3" w:sz="6" w:space="0"/>
                  <w:bottom w:val="dotted" w:color="D3D3D3" w:sz="6" w:space="0"/>
                  <w:right w:val="dotted" w:color="D3D3D3" w:sz="6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5" w:hRule="atLeast"/>
                <w:tblCellSpacing w:w="0" w:type="dxa"/>
              </w:trPr>
              <w:tc>
                <w:tcPr>
                  <w:tcW w:w="0" w:type="auto"/>
                  <w:tcBorders>
                    <w:top w:val="dotted" w:color="D3D3D3" w:sz="6" w:space="0"/>
                    <w:left w:val="dotted" w:color="D3D3D3" w:sz="6" w:space="0"/>
                    <w:bottom w:val="dotted" w:color="D3D3D3" w:sz="6" w:space="0"/>
                    <w:right w:val="dotted" w:color="D3D3D3" w:sz="6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Verdana" w:hAnsi="Verdana" w:cs="Verdana"/>
                      <w:sz w:val="18"/>
                      <w:szCs w:val="18"/>
                    </w:rPr>
                  </w:pP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/>
              <w:ind w:left="0" w:right="0"/>
              <w:jc w:val="center"/>
              <w:rPr>
                <w:rFonts w:ascii="Verdana" w:hAnsi="Verdana" w:eastAsia="Verdana" w:cs="Verdana"/>
                <w:b/>
                <w:bCs/>
                <w:caps w:val="0"/>
                <w:color w:val="BA0707"/>
                <w:spacing w:val="0"/>
                <w:sz w:val="39"/>
                <w:szCs w:val="39"/>
              </w:rPr>
            </w:pPr>
          </w:p>
        </w:tc>
      </w:tr>
      <w:tr>
        <w:tblPrEx>
          <w:tblBorders>
            <w:top w:val="single" w:color="D8D6D6" w:sz="6" w:space="0"/>
            <w:left w:val="single" w:color="D8D6D6" w:sz="6" w:space="0"/>
            <w:bottom w:val="single" w:color="D8D6D6" w:sz="6" w:space="0"/>
            <w:right w:val="single" w:color="D8D6D6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tcBorders>
              <w:top w:val="dotted" w:color="D3D3D3" w:sz="6" w:space="0"/>
              <w:left w:val="dotted" w:color="D3D3D3" w:sz="6" w:space="0"/>
              <w:bottom w:val="dotted" w:color="D3D3D3" w:sz="6" w:space="0"/>
              <w:right w:val="dotted" w:color="D3D3D3" w:sz="6" w:space="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Verdana" w:hAnsi="Verdana" w:eastAsia="Verdana" w:cs="Verdana"/>
                <w:caps w:val="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single" w:color="D8D6D6" w:sz="6" w:space="0"/>
            <w:left w:val="single" w:color="D8D6D6" w:sz="6" w:space="0"/>
            <w:bottom w:val="single" w:color="D8D6D6" w:sz="6" w:space="0"/>
            <w:right w:val="single" w:color="D8D6D6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1" w:hRule="atLeast"/>
          <w:tblCellSpacing w:w="0" w:type="dxa"/>
        </w:trPr>
        <w:tc>
          <w:tcPr>
            <w:tcW w:w="0" w:type="auto"/>
            <w:tcBorders>
              <w:top w:val="dotted" w:color="D3D3D3" w:sz="6" w:space="0"/>
              <w:left w:val="dotted" w:color="D3D3D3" w:sz="6" w:space="0"/>
              <w:bottom w:val="dotted" w:color="D3D3D3" w:sz="6" w:space="0"/>
              <w:right w:val="dotted" w:color="D3D3D3" w:sz="6" w:space="0"/>
            </w:tcBorders>
            <w:shd w:val="clear" w:color="auto" w:fill="auto"/>
            <w:tcMar>
              <w:top w:w="525" w:type="dxa"/>
              <w:left w:w="0" w:type="dxa"/>
              <w:bottom w:w="375" w:type="dxa"/>
              <w:right w:w="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</w:pPr>
            <w:r>
              <w:rPr>
                <w:rFonts w:hint="default" w:ascii="Verdana" w:hAnsi="Verdana" w:eastAsia="Verdana" w:cs="Verdana"/>
                <w:caps w:val="0"/>
                <w:color w:val="484747"/>
                <w:spacing w:val="0"/>
                <w:sz w:val="21"/>
                <w:szCs w:val="21"/>
              </w:rPr>
              <w:t> </w:t>
            </w:r>
            <w:r>
              <w:rPr>
                <w:rFonts w:hint="eastAsia" w:ascii="宋体" w:hAnsi="宋体" w:eastAsia="宋体" w:cs="宋体"/>
                <w:caps w:val="0"/>
                <w:color w:val="484747"/>
                <w:spacing w:val="0"/>
                <w:sz w:val="44"/>
                <w:szCs w:val="44"/>
              </w:rPr>
              <w:t>涞源县2024年</w:t>
            </w:r>
            <w:r>
              <w:rPr>
                <w:rFonts w:hint="eastAsia" w:ascii="宋体" w:hAnsi="宋体" w:eastAsia="宋体" w:cs="宋体"/>
                <w:caps w:val="0"/>
                <w:color w:val="484747"/>
                <w:spacing w:val="0"/>
                <w:sz w:val="44"/>
                <w:szCs w:val="4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aps w:val="0"/>
                <w:color w:val="484747"/>
                <w:spacing w:val="0"/>
                <w:sz w:val="44"/>
                <w:szCs w:val="44"/>
              </w:rPr>
              <w:t>月招商引资签约项目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center"/>
            </w:pPr>
            <w:r>
              <w:rPr>
                <w:rFonts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现将涞源县</w:t>
            </w: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2024年3月招商引资签约项目公布如下：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3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一、签约项目清单</w:t>
            </w:r>
          </w:p>
          <w:tbl>
            <w:tblPr>
              <w:tblStyle w:val="3"/>
              <w:tblW w:w="8957" w:type="dxa"/>
              <w:tblInd w:w="-1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48"/>
              <w:gridCol w:w="1049"/>
              <w:gridCol w:w="1456"/>
              <w:gridCol w:w="1890"/>
              <w:gridCol w:w="2261"/>
              <w:gridCol w:w="1553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951" w:hRule="atLeast"/>
              </w:trPr>
              <w:tc>
                <w:tcPr>
                  <w:tcW w:w="748" w:type="dxa"/>
                  <w:tcBorders>
                    <w:top w:val="single" w:color="000000" w:sz="8" w:space="0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1049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项目 名称</w:t>
                  </w:r>
                </w:p>
              </w:tc>
              <w:tc>
                <w:tcPr>
                  <w:tcW w:w="1456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省内签约方</w:t>
                  </w:r>
                </w:p>
              </w:tc>
              <w:tc>
                <w:tcPr>
                  <w:tcW w:w="1890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省外签约方</w:t>
                  </w:r>
                </w:p>
              </w:tc>
              <w:tc>
                <w:tcPr>
                  <w:tcW w:w="2261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项目建设内容及规模</w:t>
                  </w:r>
                </w:p>
              </w:tc>
              <w:tc>
                <w:tcPr>
                  <w:tcW w:w="1553" w:type="dxa"/>
                  <w:tcBorders>
                    <w:top w:val="single" w:color="000000" w:sz="8" w:space="0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计划投资额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698" w:hRule="atLeast"/>
              </w:trPr>
              <w:tc>
                <w:tcPr>
                  <w:tcW w:w="748" w:type="dxa"/>
                  <w:tcBorders>
                    <w:top w:val="nil"/>
                    <w:left w:val="single" w:color="000000" w:sz="8" w:space="0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noWrap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1049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default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涞源县润田环境科技有限公司生产餐厨垃圾处理设备项目</w:t>
                  </w: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涞源县人民政府</w:t>
                  </w:r>
                </w:p>
              </w:tc>
              <w:tc>
                <w:tcPr>
                  <w:tcW w:w="1890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  <w:rPr>
                      <w:rFonts w:hint="default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天津润田环境集团有限公司</w:t>
                  </w:r>
                </w:p>
              </w:tc>
              <w:tc>
                <w:tcPr>
                  <w:tcW w:w="2261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left"/>
                    <w:textAlignment w:val="center"/>
                    <w:rPr>
                      <w:rFonts w:hint="default"/>
                      <w:lang w:val="en-US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sz w:val="28"/>
                      <w:szCs w:val="28"/>
                      <w:lang w:val="en-US" w:eastAsia="zh-CN"/>
                    </w:rPr>
                    <w:t>本项目生产餐厨垃圾处理设备300套、垃圾磁化热解设备100套、大型餐厨垃圾设备20套。</w:t>
                  </w:r>
                </w:p>
              </w:tc>
              <w:tc>
                <w:tcPr>
                  <w:tcW w:w="1553" w:type="dxa"/>
                  <w:tcBorders>
                    <w:top w:val="nil"/>
                    <w:left w:val="nil"/>
                    <w:bottom w:val="single" w:color="000000" w:sz="8" w:space="0"/>
                    <w:right w:val="single" w:color="000000" w:sz="8" w:space="0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/>
                    <w:ind w:left="0" w:right="0"/>
                    <w:jc w:val="center"/>
                    <w:textAlignment w:val="center"/>
                  </w:pPr>
                  <w:r>
                    <w:rPr>
                      <w:rFonts w:hint="eastAsia" w:ascii="宋体" w:hAnsi="宋体" w:eastAsia="宋体" w:cs="宋体"/>
                      <w:kern w:val="0"/>
                      <w:sz w:val="24"/>
                      <w:szCs w:val="24"/>
                      <w:lang w:val="en-US" w:eastAsia="zh-CN" w:bidi="ar"/>
                    </w:rPr>
                    <w:t>1.5亿元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3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二、受理方式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单位和个人可通过邮件、来电等形式反应上述项目有关情况和问题。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保定市受理联系方式:座机: 0312-331081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手机: 13603224099    邮箱: swjtcc@126.com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省商务厅受理联系方式:座机: 0311-87909512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64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手机: 18303388323    邮箱: hbtcj322@163.com                                                  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/>
              <w:jc w:val="both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left"/>
            </w:pPr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涞源县人民政府                                                2024年3月28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aps w:val="0"/>
                <w:color w:val="484747"/>
                <w:spacing w:val="0"/>
                <w:kern w:val="0"/>
                <w:sz w:val="32"/>
                <w:szCs w:val="32"/>
                <w:lang w:val="en-US" w:eastAsia="zh-CN" w:bidi="ar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2NGI0YTY5YmIyNzVmZWM2MGY0OTYxZDFlOTJhMDMifQ=="/>
  </w:docVars>
  <w:rsids>
    <w:rsidRoot w:val="6036072C"/>
    <w:rsid w:val="1A9C7202"/>
    <w:rsid w:val="294855A0"/>
    <w:rsid w:val="42A012DD"/>
    <w:rsid w:val="44B378BB"/>
    <w:rsid w:val="6036072C"/>
    <w:rsid w:val="6AEA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2024-03-08T08:40:00Z</dcterms:created>
  <dc:creator>A逆光（联大步行街啵啵鱼）</dc:creator>
  <cp:lastModifiedBy>A逆光（联大步行街啵啵鱼）</cp:lastModifiedBy>
  <dcterms:modified xsi:type="dcterms:W3CDTF">2024-03-28T00:55:13Z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1388620DE8F9414796395FB27D73CCE8_13</vt:lpwstr>
  </property>
</Properties>
</file>