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pPr>
        <w:keepNext w:val="0"/>
        <w:keepLines w:val="0"/>
        <w:pageBreakBefore w:val="0"/>
        <w:kinsoku/>
        <w:wordWrap/>
        <w:overflowPunct/>
        <w:topLinePunct w:val="0"/>
        <w:bidi w:val="0"/>
        <w:spacing w:line="560" w:lineRule="exact"/>
        <w:textAlignment w:val="auto"/>
        <w:rPr>
          <w:rFonts w:ascii="仿宋_GB2312" w:hAnsi="宋体" w:eastAsia="仿宋_GB2312"/>
          <w:color w:val="auto"/>
          <w:highlight w:val="none"/>
        </w:rPr>
      </w:pPr>
    </w:p>
    <w:p>
      <w:pPr>
        <w:keepNext w:val="0"/>
        <w:keepLines w:val="0"/>
        <w:pageBreakBefore w:val="0"/>
        <w:kinsoku/>
        <w:wordWrap/>
        <w:overflowPunct/>
        <w:topLinePunct w:val="0"/>
        <w:bidi w:val="0"/>
        <w:spacing w:line="560" w:lineRule="exact"/>
        <w:textAlignment w:val="auto"/>
        <w:rPr>
          <w:rFonts w:ascii="仿宋_GB2312" w:hAnsi="宋体" w:eastAsia="仿宋_GB2312" w:cs="宋体"/>
          <w:color w:val="auto"/>
          <w:highlight w:val="none"/>
        </w:rPr>
      </w:pPr>
    </w:p>
    <w:p>
      <w:pPr>
        <w:pStyle w:val="5"/>
        <w:keepNext w:val="0"/>
        <w:keepLines w:val="0"/>
        <w:pageBreakBefore w:val="0"/>
        <w:kinsoku/>
        <w:wordWrap/>
        <w:overflowPunct/>
        <w:topLinePunct w:val="0"/>
        <w:bidi w:val="0"/>
        <w:spacing w:line="560" w:lineRule="exact"/>
        <w:ind w:firstLine="31680"/>
        <w:textAlignment w:val="auto"/>
        <w:rPr>
          <w:color w:val="auto"/>
          <w:highlight w:val="none"/>
        </w:rPr>
      </w:pPr>
    </w:p>
    <w:p>
      <w:pPr>
        <w:keepNext w:val="0"/>
        <w:keepLines w:val="0"/>
        <w:pageBreakBefore w:val="0"/>
        <w:kinsoku/>
        <w:wordWrap/>
        <w:overflowPunct/>
        <w:topLinePunct w:val="0"/>
        <w:bidi w:val="0"/>
        <w:spacing w:line="560" w:lineRule="exact"/>
        <w:textAlignment w:val="auto"/>
        <w:rPr>
          <w:rFonts w:ascii="仿宋_GB2312" w:hAnsi="宋体" w:eastAsia="仿宋_GB2312" w:cs="宋体"/>
          <w:color w:val="auto"/>
          <w:sz w:val="32"/>
          <w:szCs w:val="32"/>
          <w:highlight w:val="none"/>
        </w:rPr>
      </w:pPr>
    </w:p>
    <w:p>
      <w:pPr>
        <w:keepNext w:val="0"/>
        <w:keepLines w:val="0"/>
        <w:pageBreakBefore w:val="0"/>
        <w:kinsoku/>
        <w:wordWrap/>
        <w:overflowPunct/>
        <w:topLinePunct w:val="0"/>
        <w:bidi w:val="0"/>
        <w:spacing w:line="560" w:lineRule="exact"/>
        <w:jc w:val="center"/>
        <w:textAlignment w:val="auto"/>
        <w:rPr>
          <w:rFonts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涞政办</w:t>
      </w:r>
      <w:r>
        <w:rPr>
          <w:rFonts w:hint="eastAsia" w:ascii="仿宋_GB2312" w:hAnsi="仿宋" w:eastAsia="仿宋_GB2312" w:cs="仿宋_GB2312"/>
          <w:color w:val="auto"/>
          <w:sz w:val="32"/>
          <w:szCs w:val="32"/>
          <w:highlight w:val="none"/>
        </w:rPr>
        <w:t>〔</w:t>
      </w:r>
      <w:r>
        <w:rPr>
          <w:rFonts w:ascii="仿宋_GB2312" w:hAnsi="仿宋" w:eastAsia="仿宋_GB2312" w:cs="仿宋_GB2312"/>
          <w:color w:val="auto"/>
          <w:sz w:val="32"/>
          <w:szCs w:val="32"/>
          <w:highlight w:val="none"/>
        </w:rPr>
        <w:t>202</w:t>
      </w:r>
      <w:r>
        <w:rPr>
          <w:rFonts w:hint="eastAsia" w:ascii="仿宋_GB2312" w:hAnsi="仿宋" w:eastAsia="仿宋_GB2312" w:cs="仿宋_GB2312"/>
          <w:color w:val="auto"/>
          <w:sz w:val="32"/>
          <w:szCs w:val="32"/>
          <w:highlight w:val="none"/>
          <w:lang w:val="en-US" w:eastAsia="zh-CN"/>
        </w:rPr>
        <w:t>4</w:t>
      </w:r>
      <w:r>
        <w:rPr>
          <w:rFonts w:hint="eastAsia" w:ascii="仿宋_GB2312" w:hAnsi="仿宋" w:eastAsia="仿宋_GB2312" w:cs="仿宋_GB2312"/>
          <w:color w:val="auto"/>
          <w:sz w:val="32"/>
          <w:szCs w:val="32"/>
          <w:highlight w:val="none"/>
        </w:rPr>
        <w:t>〕</w:t>
      </w:r>
      <w:r>
        <w:rPr>
          <w:rFonts w:hint="eastAsia" w:ascii="仿宋_GB2312" w:hAnsi="仿宋" w:eastAsia="仿宋_GB2312" w:cs="仿宋_GB2312"/>
          <w:color w:val="auto"/>
          <w:sz w:val="32"/>
          <w:szCs w:val="32"/>
          <w:highlight w:val="none"/>
          <w:lang w:val="en-US" w:eastAsia="zh-CN"/>
        </w:rPr>
        <w:t>xx</w:t>
      </w:r>
      <w:r>
        <w:rPr>
          <w:rFonts w:hint="eastAsia" w:ascii="仿宋_GB2312" w:hAnsi="仿宋" w:eastAsia="仿宋_GB2312" w:cs="宋体"/>
          <w:color w:val="auto"/>
          <w:sz w:val="32"/>
          <w:szCs w:val="32"/>
          <w:highlight w:val="none"/>
        </w:rPr>
        <w:t>号</w:t>
      </w:r>
    </w:p>
    <w:p>
      <w:pPr>
        <w:keepNext w:val="0"/>
        <w:keepLines w:val="0"/>
        <w:pageBreakBefore w:val="0"/>
        <w:kinsoku/>
        <w:wordWrap/>
        <w:overflowPunct/>
        <w:topLinePunct w:val="0"/>
        <w:bidi w:val="0"/>
        <w:spacing w:line="560" w:lineRule="exact"/>
        <w:jc w:val="center"/>
        <w:textAlignment w:val="auto"/>
        <w:rPr>
          <w:rFonts w:ascii="仿宋_GB2312" w:hAnsi="仿宋" w:eastAsia="仿宋_GB2312" w:cs="宋体"/>
          <w:b/>
          <w:bCs/>
          <w:color w:val="auto"/>
          <w:sz w:val="44"/>
          <w:szCs w:val="44"/>
          <w:highlight w:val="none"/>
        </w:rPr>
      </w:pPr>
    </w:p>
    <w:p>
      <w:pPr>
        <w:pStyle w:val="19"/>
        <w:keepNext w:val="0"/>
        <w:keepLines w:val="0"/>
        <w:pageBreakBefore w:val="0"/>
        <w:kinsoku/>
        <w:wordWrap/>
        <w:overflowPunct/>
        <w:topLinePunct w:val="0"/>
        <w:bidi w:val="0"/>
        <w:spacing w:line="560" w:lineRule="exact"/>
        <w:textAlignment w:val="auto"/>
        <w:rPr>
          <w:color w:val="auto"/>
          <w:highlight w:val="none"/>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涞源县人民政府办公室</w:t>
      </w: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关于印发《涞源县2024年度财政衔接资金项目计划》的通知</w:t>
      </w: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p>
    <w:p>
      <w:pPr>
        <w:keepNext w:val="0"/>
        <w:keepLines w:val="0"/>
        <w:pageBreakBefore w:val="0"/>
        <w:kinsoku/>
        <w:wordWrap/>
        <w:overflowPunct/>
        <w:topLinePunct w:val="0"/>
        <w:autoSpaceDE/>
        <w:autoSpaceDN/>
        <w:bidi w:val="0"/>
        <w:adjustRightInd/>
        <w:snapToGrid/>
        <w:spacing w:line="560" w:lineRule="exact"/>
        <w:textAlignment w:val="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各乡（镇）人民政府、县直有关部门：</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color w:val="auto"/>
          <w:sz w:val="32"/>
          <w:szCs w:val="32"/>
          <w:highlight w:val="none"/>
        </w:rPr>
      </w:pPr>
      <w:r>
        <w:rPr>
          <w:rFonts w:hint="eastAsia" w:ascii="仿宋_GB2312" w:hAnsi="仿宋" w:eastAsia="仿宋_GB2312" w:cs="仿宋"/>
          <w:color w:val="auto"/>
          <w:sz w:val="32"/>
          <w:szCs w:val="32"/>
          <w:highlight w:val="none"/>
        </w:rPr>
        <w:t>《涞源县2024年度财政衔接资金项目计划》已经县政府专题会议研究同意，现印发给你们，请结合实际，认真抓好落实。</w:t>
      </w:r>
      <w:r>
        <w:rPr>
          <w:rFonts w:ascii="仿宋_GB2312" w:eastAsia="仿宋_GB2312"/>
          <w:color w:val="auto"/>
          <w:sz w:val="32"/>
          <w:szCs w:val="32"/>
          <w:highlight w:val="none"/>
        </w:rPr>
        <w:tab/>
      </w:r>
      <w:r>
        <w:rPr>
          <w:rFonts w:ascii="仿宋_GB2312" w:eastAsia="仿宋_GB2312"/>
          <w:color w:val="auto"/>
          <w:sz w:val="32"/>
          <w:szCs w:val="32"/>
          <w:highlight w:val="none"/>
        </w:rPr>
        <w:tab/>
      </w:r>
    </w:p>
    <w:p>
      <w:pPr>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sz w:val="32"/>
          <w:szCs w:val="32"/>
          <w:highlight w:val="none"/>
        </w:rPr>
      </w:pPr>
    </w:p>
    <w:p>
      <w:pPr>
        <w:keepNext w:val="0"/>
        <w:keepLines w:val="0"/>
        <w:pageBreakBefore w:val="0"/>
        <w:kinsoku/>
        <w:wordWrap/>
        <w:overflowPunct/>
        <w:topLinePunct w:val="0"/>
        <w:autoSpaceDE/>
        <w:autoSpaceDN/>
        <w:bidi w:val="0"/>
        <w:adjustRightInd/>
        <w:snapToGrid/>
        <w:spacing w:line="560" w:lineRule="exact"/>
        <w:ind w:firstLine="4480" w:firstLineChars="1400"/>
        <w:textAlignment w:val="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涞源县人民政府办公室</w:t>
      </w:r>
    </w:p>
    <w:p>
      <w:pPr>
        <w:keepNext w:val="0"/>
        <w:keepLines w:val="0"/>
        <w:pageBreakBefore w:val="0"/>
        <w:kinsoku/>
        <w:wordWrap/>
        <w:overflowPunct/>
        <w:topLinePunct w:val="0"/>
        <w:autoSpaceDE/>
        <w:autoSpaceDN/>
        <w:bidi w:val="0"/>
        <w:adjustRightInd/>
        <w:snapToGrid/>
        <w:spacing w:line="560" w:lineRule="exact"/>
        <w:ind w:firstLine="5120" w:firstLineChars="1600"/>
        <w:textAlignment w:val="auto"/>
        <w:rPr>
          <w:rFonts w:ascii="仿宋_GB2312" w:eastAsia="仿宋_GB2312"/>
          <w:color w:val="auto"/>
          <w:sz w:val="32"/>
          <w:szCs w:val="32"/>
          <w:highlight w:val="none"/>
        </w:rPr>
      </w:pPr>
      <w:r>
        <w:rPr>
          <w:rFonts w:ascii="仿宋_GB2312" w:hAnsi="仿宋" w:eastAsia="仿宋_GB2312" w:cs="仿宋"/>
          <w:color w:val="auto"/>
          <w:sz w:val="32"/>
          <w:szCs w:val="32"/>
          <w:highlight w:val="none"/>
        </w:rPr>
        <w:t>202</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年</w:t>
      </w:r>
      <w:r>
        <w:rPr>
          <w:rFonts w:hint="eastAsia" w:ascii="仿宋_GB2312" w:hAnsi="仿宋" w:eastAsia="仿宋_GB2312" w:cs="仿宋"/>
          <w:color w:val="auto"/>
          <w:sz w:val="32"/>
          <w:szCs w:val="32"/>
          <w:highlight w:val="none"/>
          <w:lang w:val="en-US" w:eastAsia="zh-CN"/>
        </w:rPr>
        <w:t>3</w:t>
      </w:r>
      <w:r>
        <w:rPr>
          <w:rFonts w:hint="eastAsia" w:ascii="仿宋_GB2312" w:hAnsi="仿宋" w:eastAsia="仿宋_GB2312" w:cs="仿宋"/>
          <w:color w:val="auto"/>
          <w:sz w:val="32"/>
          <w:szCs w:val="32"/>
          <w:highlight w:val="none"/>
        </w:rPr>
        <w:t>月</w:t>
      </w:r>
      <w:r>
        <w:rPr>
          <w:rFonts w:hint="eastAsia" w:ascii="仿宋_GB2312" w:hAnsi="仿宋" w:eastAsia="仿宋_GB2312" w:cs="仿宋"/>
          <w:color w:val="auto"/>
          <w:sz w:val="32"/>
          <w:szCs w:val="32"/>
          <w:highlight w:val="none"/>
          <w:lang w:val="en-US" w:eastAsia="zh-CN"/>
        </w:rPr>
        <w:t>xx</w:t>
      </w:r>
      <w:r>
        <w:rPr>
          <w:rFonts w:hint="eastAsia" w:ascii="仿宋_GB2312" w:hAnsi="仿宋" w:eastAsia="仿宋_GB2312" w:cs="仿宋"/>
          <w:color w:val="auto"/>
          <w:sz w:val="32"/>
          <w:szCs w:val="32"/>
          <w:highlight w:val="none"/>
        </w:rPr>
        <w:t>日</w:t>
      </w: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宋体"/>
          <w:b/>
          <w:color w:val="auto"/>
          <w:sz w:val="44"/>
          <w:szCs w:val="44"/>
          <w:highlight w:val="none"/>
        </w:rPr>
      </w:pPr>
    </w:p>
    <w:p>
      <w:pPr>
        <w:pStyle w:val="2"/>
        <w:rPr>
          <w:rFonts w:ascii="宋体"/>
          <w:b/>
          <w:color w:val="auto"/>
          <w:sz w:val="44"/>
          <w:szCs w:val="44"/>
          <w:highlight w:val="none"/>
        </w:rPr>
      </w:pPr>
    </w:p>
    <w:p>
      <w:pPr>
        <w:rPr>
          <w:rFonts w:ascii="宋体"/>
          <w:b/>
          <w:color w:val="auto"/>
          <w:sz w:val="44"/>
          <w:szCs w:val="44"/>
          <w:highlight w:val="none"/>
        </w:rPr>
      </w:pPr>
    </w:p>
    <w:p>
      <w:pPr>
        <w:pStyle w:val="2"/>
      </w:pP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涞源县2024年度财政衔接资金</w:t>
      </w: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项目计划</w:t>
      </w:r>
    </w:p>
    <w:p>
      <w:pPr>
        <w:pStyle w:val="2"/>
        <w:keepNext w:val="0"/>
        <w:keepLines w:val="0"/>
        <w:pageBreakBefore w:val="0"/>
        <w:kinsoku/>
        <w:wordWrap/>
        <w:overflowPunct/>
        <w:topLinePunct w:val="0"/>
        <w:autoSpaceDE/>
        <w:autoSpaceDN/>
        <w:bidi w:val="0"/>
        <w:adjustRightInd/>
        <w:snapToGrid/>
        <w:spacing w:line="560" w:lineRule="exact"/>
        <w:textAlignment w:val="auto"/>
        <w:rPr>
          <w:color w:val="auto"/>
          <w:highlight w:val="none"/>
        </w:rPr>
      </w:pP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olor w:val="auto"/>
          <w:sz w:val="32"/>
          <w:szCs w:val="32"/>
          <w:highlight w:val="none"/>
          <w:lang w:eastAsia="zh-CN"/>
        </w:rPr>
      </w:pPr>
      <w:r>
        <w:rPr>
          <w:rFonts w:hint="eastAsia" w:ascii="仿宋_GB2312" w:hAnsi="仿宋" w:eastAsia="仿宋_GB2312"/>
          <w:color w:val="auto"/>
          <w:sz w:val="32"/>
          <w:szCs w:val="32"/>
          <w:highlight w:val="none"/>
        </w:rPr>
        <w:t>为认真贯彻落实《河北省财政厅等六部门关于印发</w:t>
      </w:r>
      <w:r>
        <w:rPr>
          <w:rFonts w:ascii="仿宋_GB2312" w:hAnsi="仿宋" w:eastAsia="仿宋_GB2312"/>
          <w:color w:val="auto"/>
          <w:sz w:val="32"/>
          <w:szCs w:val="32"/>
          <w:highlight w:val="none"/>
        </w:rPr>
        <w:t>&lt;</w:t>
      </w:r>
      <w:r>
        <w:rPr>
          <w:rFonts w:hint="eastAsia" w:ascii="仿宋_GB2312" w:hAnsi="仿宋" w:eastAsia="仿宋_GB2312"/>
          <w:color w:val="auto"/>
          <w:sz w:val="32"/>
          <w:szCs w:val="32"/>
          <w:highlight w:val="none"/>
        </w:rPr>
        <w:t>河北省财政衔接推进乡村振兴补助资金管理办法</w:t>
      </w:r>
      <w:r>
        <w:rPr>
          <w:rFonts w:ascii="仿宋_GB2312" w:hAnsi="仿宋" w:eastAsia="仿宋_GB2312"/>
          <w:color w:val="auto"/>
          <w:sz w:val="32"/>
          <w:szCs w:val="32"/>
          <w:highlight w:val="none"/>
        </w:rPr>
        <w:t>&gt;</w:t>
      </w:r>
      <w:r>
        <w:rPr>
          <w:rFonts w:hint="eastAsia" w:ascii="仿宋_GB2312" w:hAnsi="仿宋" w:eastAsia="仿宋_GB2312"/>
          <w:color w:val="auto"/>
          <w:sz w:val="32"/>
          <w:szCs w:val="32"/>
          <w:highlight w:val="none"/>
        </w:rPr>
        <w:t>的通知》（冀财农【</w:t>
      </w:r>
      <w:r>
        <w:rPr>
          <w:rFonts w:ascii="仿宋_GB2312" w:eastAsia="仿宋_GB2312"/>
          <w:color w:val="auto"/>
          <w:sz w:val="32"/>
          <w:szCs w:val="32"/>
          <w:highlight w:val="none"/>
        </w:rPr>
        <w:t>2023</w:t>
      </w:r>
      <w:r>
        <w:rPr>
          <w:rFonts w:hint="eastAsia" w:ascii="仿宋_GB2312" w:hAnsi="仿宋" w:eastAsia="仿宋_GB2312"/>
          <w:color w:val="auto"/>
          <w:sz w:val="32"/>
          <w:szCs w:val="32"/>
          <w:highlight w:val="none"/>
        </w:rPr>
        <w:t>】</w:t>
      </w:r>
      <w:r>
        <w:rPr>
          <w:rFonts w:ascii="仿宋_GB2312" w:eastAsia="仿宋_GB2312"/>
          <w:color w:val="auto"/>
          <w:sz w:val="32"/>
          <w:szCs w:val="32"/>
          <w:highlight w:val="none"/>
        </w:rPr>
        <w:t>34</w:t>
      </w:r>
      <w:r>
        <w:rPr>
          <w:rFonts w:hint="eastAsia" w:ascii="仿宋_GB2312" w:hAnsi="仿宋" w:eastAsia="仿宋_GB2312"/>
          <w:color w:val="auto"/>
          <w:sz w:val="32"/>
          <w:szCs w:val="32"/>
          <w:highlight w:val="none"/>
        </w:rPr>
        <w:t>号）精神，切实加强和规范</w:t>
      </w:r>
      <w:r>
        <w:rPr>
          <w:rFonts w:hint="eastAsia" w:ascii="仿宋_GB2312" w:hAnsi="仿宋" w:eastAsia="仿宋_GB2312"/>
          <w:color w:val="auto"/>
          <w:sz w:val="32"/>
          <w:szCs w:val="32"/>
          <w:highlight w:val="none"/>
          <w:lang w:eastAsia="zh-CN"/>
        </w:rPr>
        <w:t>衔接</w:t>
      </w:r>
      <w:r>
        <w:rPr>
          <w:rFonts w:hint="eastAsia" w:ascii="仿宋_GB2312" w:hAnsi="仿宋" w:eastAsia="仿宋_GB2312"/>
          <w:color w:val="auto"/>
          <w:sz w:val="32"/>
          <w:szCs w:val="32"/>
          <w:highlight w:val="none"/>
        </w:rPr>
        <w:t>资金使用管理，结合我县巩固拓展脱贫攻坚成果和乡村振兴工作任务，2024年度财政衔接资金项目</w:t>
      </w:r>
      <w:r>
        <w:rPr>
          <w:rFonts w:hint="eastAsia" w:ascii="仿宋_GB2312" w:hAnsi="仿宋" w:eastAsia="仿宋_GB2312"/>
          <w:color w:val="auto"/>
          <w:sz w:val="32"/>
          <w:szCs w:val="32"/>
          <w:highlight w:val="none"/>
          <w:lang w:eastAsia="zh-CN"/>
        </w:rPr>
        <w:t>安排如下。</w:t>
      </w:r>
    </w:p>
    <w:p>
      <w:pPr>
        <w:pStyle w:val="18"/>
        <w:keepNext w:val="0"/>
        <w:keepLines w:val="0"/>
        <w:pageBreakBefore w:val="0"/>
        <w:numPr>
          <w:ilvl w:val="0"/>
          <w:numId w:val="1"/>
        </w:numPr>
        <w:kinsoku/>
        <w:wordWrap/>
        <w:overflowPunct/>
        <w:topLinePunct w:val="0"/>
        <w:autoSpaceDE/>
        <w:autoSpaceDN/>
        <w:bidi w:val="0"/>
        <w:adjustRightInd/>
        <w:snapToGrid/>
        <w:spacing w:line="560" w:lineRule="exact"/>
        <w:ind w:firstLine="31680"/>
        <w:textAlignment w:val="auto"/>
        <w:rPr>
          <w:rFonts w:ascii="黑体" w:hAnsi="黑体" w:eastAsia="黑体"/>
          <w:color w:val="auto"/>
          <w:sz w:val="32"/>
          <w:highlight w:val="none"/>
        </w:rPr>
      </w:pPr>
      <w:r>
        <w:rPr>
          <w:rFonts w:hint="eastAsia" w:ascii="黑体" w:hAnsi="黑体" w:eastAsia="黑体"/>
          <w:color w:val="auto"/>
          <w:sz w:val="32"/>
          <w:highlight w:val="none"/>
        </w:rPr>
        <w:t>总体要求</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（一）指导思想</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仿宋_GB2312" w:hAnsi="仿宋" w:eastAsia="仿宋_GB2312"/>
          <w:color w:val="auto"/>
          <w:sz w:val="32"/>
          <w:szCs w:val="32"/>
          <w:highlight w:val="none"/>
        </w:rPr>
      </w:pPr>
      <w:r>
        <w:rPr>
          <w:rFonts w:hint="eastAsia" w:ascii="仿宋_GB2312" w:hAnsi="仿宋" w:eastAsia="仿宋_GB2312" w:cs="仿宋"/>
          <w:color w:val="auto"/>
          <w:sz w:val="32"/>
          <w:szCs w:val="32"/>
          <w:highlight w:val="none"/>
        </w:rPr>
        <w:t>以习近平新时代中国特色社会主义思想为指导，全面落实中央、省关于</w:t>
      </w:r>
      <w:r>
        <w:rPr>
          <w:rFonts w:hint="eastAsia" w:ascii="仿宋_GB2312" w:hAnsi="仿宋" w:eastAsia="仿宋_GB2312"/>
          <w:color w:val="auto"/>
          <w:sz w:val="32"/>
          <w:szCs w:val="32"/>
          <w:highlight w:val="none"/>
        </w:rPr>
        <w:t>巩固拓展脱贫攻坚成果同乡村振兴有效衔接</w:t>
      </w:r>
      <w:r>
        <w:rPr>
          <w:rFonts w:hint="eastAsia" w:ascii="仿宋_GB2312" w:hAnsi="仿宋" w:eastAsia="仿宋_GB2312" w:cs="仿宋"/>
          <w:color w:val="auto"/>
          <w:sz w:val="32"/>
          <w:szCs w:val="32"/>
          <w:highlight w:val="none"/>
        </w:rPr>
        <w:t>的决策部署，</w:t>
      </w:r>
      <w:r>
        <w:rPr>
          <w:rFonts w:hint="eastAsia" w:ascii="仿宋_GB2312" w:hAnsi="仿宋" w:eastAsia="仿宋_GB2312"/>
          <w:color w:val="auto"/>
          <w:sz w:val="32"/>
          <w:szCs w:val="32"/>
          <w:highlight w:val="none"/>
        </w:rPr>
        <w:t>全面落实中央、省、市、县相关会议精神。以“十四五”乡村振兴规划为引领</w:t>
      </w:r>
      <w:r>
        <w:rPr>
          <w:rFonts w:hint="eastAsia" w:ascii="仿宋_GB2312" w:hAnsi="仿宋" w:eastAsia="仿宋_GB2312"/>
          <w:color w:val="auto"/>
          <w:sz w:val="32"/>
          <w:szCs w:val="32"/>
          <w:highlight w:val="none"/>
          <w:lang w:eastAsia="zh-CN"/>
        </w:rPr>
        <w:t>，</w:t>
      </w:r>
      <w:r>
        <w:rPr>
          <w:rFonts w:hint="eastAsia" w:ascii="仿宋_GB2312" w:hAnsi="仿宋" w:eastAsia="仿宋_GB2312"/>
          <w:color w:val="auto"/>
          <w:sz w:val="32"/>
          <w:szCs w:val="32"/>
          <w:highlight w:val="none"/>
        </w:rPr>
        <w:t>以巩固拓展脱贫攻坚成果同乡村振兴有效衔接为目标，以提高</w:t>
      </w:r>
      <w:r>
        <w:rPr>
          <w:rFonts w:hint="eastAsia" w:ascii="仿宋_GB2312" w:hAnsi="仿宋" w:eastAsia="仿宋_GB2312"/>
          <w:color w:val="auto"/>
          <w:sz w:val="32"/>
          <w:szCs w:val="32"/>
          <w:highlight w:val="none"/>
          <w:lang w:eastAsia="zh-CN"/>
        </w:rPr>
        <w:t>衔接</w:t>
      </w:r>
      <w:r>
        <w:rPr>
          <w:rFonts w:hint="eastAsia" w:ascii="仿宋_GB2312" w:hAnsi="仿宋" w:eastAsia="仿宋_GB2312"/>
          <w:color w:val="auto"/>
          <w:sz w:val="32"/>
          <w:szCs w:val="32"/>
          <w:highlight w:val="none"/>
        </w:rPr>
        <w:t>资金使用精准度和成效为导向，以具体建设项目为抓手，集中使用</w:t>
      </w:r>
      <w:r>
        <w:rPr>
          <w:rFonts w:hint="eastAsia" w:ascii="仿宋_GB2312" w:hAnsi="仿宋" w:eastAsia="仿宋_GB2312"/>
          <w:color w:val="auto"/>
          <w:sz w:val="32"/>
          <w:szCs w:val="32"/>
          <w:highlight w:val="none"/>
          <w:lang w:eastAsia="zh-CN"/>
        </w:rPr>
        <w:t>衔接</w:t>
      </w:r>
      <w:r>
        <w:rPr>
          <w:rFonts w:hint="eastAsia" w:ascii="仿宋_GB2312" w:hAnsi="仿宋" w:eastAsia="仿宋_GB2312"/>
          <w:color w:val="auto"/>
          <w:sz w:val="32"/>
          <w:szCs w:val="32"/>
          <w:highlight w:val="none"/>
        </w:rPr>
        <w:t>资金，进一步实现产业兴旺、生态宜居、乡风文明、治理有效、生活富裕的总体目标。</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（二）编制必要性</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highlight w:val="none"/>
        </w:rPr>
      </w:pPr>
      <w:r>
        <w:rPr>
          <w:rFonts w:hint="eastAsia" w:ascii="仿宋_GB2312" w:hAnsi="仿宋" w:eastAsia="仿宋_GB2312" w:cs="仿宋"/>
          <w:color w:val="auto"/>
          <w:sz w:val="32"/>
          <w:szCs w:val="32"/>
          <w:highlight w:val="none"/>
        </w:rPr>
        <w:t>通过财政衔接资金项目计划</w:t>
      </w:r>
      <w:r>
        <w:rPr>
          <w:rFonts w:hint="eastAsia" w:ascii="仿宋_GB2312" w:hAnsi="仿宋" w:eastAsia="仿宋_GB2312" w:cs="仿宋"/>
          <w:color w:val="auto"/>
          <w:sz w:val="32"/>
          <w:szCs w:val="32"/>
          <w:highlight w:val="none"/>
          <w:lang w:eastAsia="zh-CN"/>
        </w:rPr>
        <w:t>编制</w:t>
      </w:r>
      <w:r>
        <w:rPr>
          <w:rFonts w:hint="eastAsia" w:ascii="仿宋_GB2312" w:hAnsi="仿宋" w:eastAsia="仿宋_GB2312" w:cs="仿宋"/>
          <w:color w:val="auto"/>
          <w:sz w:val="32"/>
          <w:szCs w:val="32"/>
          <w:highlight w:val="none"/>
        </w:rPr>
        <w:t>，有</w:t>
      </w:r>
      <w:r>
        <w:rPr>
          <w:rFonts w:hint="eastAsia" w:ascii="仿宋_GB2312" w:hAnsi="仿宋" w:eastAsia="仿宋_GB2312"/>
          <w:color w:val="auto"/>
          <w:sz w:val="32"/>
          <w:szCs w:val="32"/>
          <w:highlight w:val="none"/>
        </w:rPr>
        <w:t>效解决</w:t>
      </w:r>
      <w:r>
        <w:rPr>
          <w:rFonts w:hint="eastAsia" w:ascii="仿宋_GB2312" w:hAnsi="仿宋" w:eastAsia="仿宋_GB2312" w:cs="仿宋"/>
          <w:color w:val="auto"/>
          <w:sz w:val="32"/>
          <w:szCs w:val="32"/>
          <w:highlight w:val="none"/>
        </w:rPr>
        <w:t>健全防止返贫致贫监测和帮扶机制、脱贫劳动力（含监测帮扶对象）稳定就业、培育和壮大特色优势产业以及补齐必要的农村人居环境整治和小型公益性基础设施建设短板</w:t>
      </w:r>
      <w:r>
        <w:rPr>
          <w:rFonts w:hint="eastAsia" w:ascii="仿宋_GB2312" w:hAnsi="仿宋" w:eastAsia="仿宋_GB2312"/>
          <w:color w:val="auto"/>
          <w:sz w:val="32"/>
          <w:szCs w:val="32"/>
          <w:highlight w:val="none"/>
        </w:rPr>
        <w:t>等方面的瓶颈问题，为实现乡村振兴奠定坚实基础。</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（三）目标任务</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shd w:val="clear" w:color="auto" w:fill="FFFFFF"/>
        </w:rPr>
        <w:t>在</w:t>
      </w:r>
      <w:r>
        <w:rPr>
          <w:rFonts w:hint="eastAsia" w:ascii="仿宋_GB2312" w:hAnsi="仿宋" w:eastAsia="仿宋_GB2312" w:cs="仿宋"/>
          <w:color w:val="auto"/>
          <w:sz w:val="32"/>
          <w:szCs w:val="32"/>
          <w:highlight w:val="none"/>
          <w:shd w:val="clear" w:color="auto" w:fill="FFFFFF"/>
          <w:lang w:eastAsia="zh-CN"/>
        </w:rPr>
        <w:t>衔接</w:t>
      </w:r>
      <w:r>
        <w:rPr>
          <w:rFonts w:hint="eastAsia" w:ascii="仿宋_GB2312" w:hAnsi="仿宋" w:eastAsia="仿宋_GB2312" w:cs="仿宋"/>
          <w:color w:val="auto"/>
          <w:sz w:val="32"/>
          <w:szCs w:val="32"/>
          <w:highlight w:val="none"/>
          <w:shd w:val="clear" w:color="auto" w:fill="FFFFFF"/>
        </w:rPr>
        <w:t>资金的投入和撬动下，通过</w:t>
      </w:r>
      <w:r>
        <w:rPr>
          <w:rFonts w:hint="eastAsia" w:ascii="仿宋_GB2312" w:hAnsi="仿宋" w:eastAsia="仿宋_GB2312" w:cs="仿宋"/>
          <w:color w:val="auto"/>
          <w:sz w:val="32"/>
          <w:szCs w:val="32"/>
          <w:highlight w:val="none"/>
        </w:rPr>
        <w:t>防止返贫致贫监测和帮扶、稳定就业、</w:t>
      </w:r>
      <w:r>
        <w:rPr>
          <w:rFonts w:hint="eastAsia" w:ascii="仿宋_GB2312" w:hAnsi="仿宋" w:eastAsia="仿宋_GB2312" w:cs="仿宋"/>
          <w:color w:val="auto"/>
          <w:sz w:val="32"/>
          <w:szCs w:val="32"/>
          <w:highlight w:val="none"/>
          <w:shd w:val="clear" w:color="auto" w:fill="FFFFFF"/>
        </w:rPr>
        <w:t>产业发展、基础设施建设等项目的实施，</w:t>
      </w:r>
      <w:r>
        <w:rPr>
          <w:rFonts w:hint="eastAsia" w:ascii="仿宋_GB2312" w:hAnsi="仿宋" w:eastAsia="仿宋_GB2312" w:cs="仿宋"/>
          <w:color w:val="auto"/>
          <w:sz w:val="32"/>
          <w:szCs w:val="32"/>
          <w:highlight w:val="none"/>
        </w:rPr>
        <w:t>持续巩固和提升脱贫成果，脱贫人口实现可持续稳定增收，确保不发生规模性返贫，确保实现巩固拓展脱贫攻坚成果同乡村振兴有效衔接，确保乡村振兴有序推进。</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（四）达到综合效果</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textAlignment w:val="auto"/>
        <w:rPr>
          <w:rStyle w:val="13"/>
          <w:rFonts w:ascii="仿宋_GB2312" w:eastAsia="仿宋_GB2312" w:cs="仿宋_GB2312"/>
          <w:i w:val="0"/>
          <w:color w:val="auto"/>
          <w:sz w:val="32"/>
          <w:szCs w:val="32"/>
          <w:highlight w:val="none"/>
          <w:shd w:val="clear" w:color="auto" w:fill="FFFFFF"/>
        </w:rPr>
      </w:pPr>
      <w:r>
        <w:rPr>
          <w:rFonts w:hint="eastAsia" w:ascii="仿宋_GB2312" w:hAnsi="仿宋" w:eastAsia="仿宋_GB2312" w:cs="仿宋"/>
          <w:b w:val="0"/>
          <w:bCs w:val="0"/>
          <w:color w:val="auto"/>
          <w:kern w:val="2"/>
          <w:sz w:val="32"/>
          <w:szCs w:val="32"/>
          <w:highlight w:val="none"/>
          <w:shd w:val="clear" w:color="auto" w:fill="FFFFFF"/>
        </w:rPr>
        <w:t>通过</w:t>
      </w:r>
      <w:r>
        <w:rPr>
          <w:rFonts w:hint="eastAsia" w:ascii="仿宋_GB2312" w:hAnsi="仿宋" w:eastAsia="仿宋_GB2312" w:cs="仿宋"/>
          <w:b w:val="0"/>
          <w:bCs w:val="0"/>
          <w:color w:val="auto"/>
          <w:kern w:val="2"/>
          <w:sz w:val="32"/>
          <w:szCs w:val="32"/>
          <w:highlight w:val="none"/>
          <w:shd w:val="clear" w:color="auto" w:fill="FFFFFF"/>
          <w:lang w:val="en-US" w:eastAsia="zh-CN"/>
        </w:rPr>
        <w:t>衔接资金</w:t>
      </w:r>
      <w:r>
        <w:rPr>
          <w:rFonts w:hint="eastAsia" w:ascii="仿宋_GB2312" w:hAnsi="仿宋" w:eastAsia="仿宋_GB2312" w:cs="仿宋"/>
          <w:b w:val="0"/>
          <w:bCs w:val="0"/>
          <w:color w:val="auto"/>
          <w:kern w:val="2"/>
          <w:sz w:val="32"/>
          <w:szCs w:val="32"/>
          <w:highlight w:val="none"/>
          <w:shd w:val="clear" w:color="auto" w:fill="FFFFFF"/>
        </w:rPr>
        <w:t>使用，进一步提升脱贫群众致富能力，稳定增加脱贫人口收入和村集体经济收入；培育和壮大特色优势产业，进一步延伸产业链条，激发乡村振兴内生动力；村容村貌明显改观，农村生态环境质量显著提升。</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olor w:val="auto"/>
          <w:sz w:val="32"/>
          <w:szCs w:val="32"/>
          <w:highlight w:val="none"/>
          <w:lang w:val="en-US" w:eastAsia="zh-CN"/>
        </w:rPr>
      </w:pPr>
      <w:r>
        <w:rPr>
          <w:rFonts w:hint="eastAsia" w:ascii="黑体" w:eastAsia="黑体"/>
          <w:color w:val="auto"/>
          <w:sz w:val="32"/>
          <w:szCs w:val="32"/>
          <w:highlight w:val="none"/>
        </w:rPr>
        <w:t>二、</w:t>
      </w:r>
      <w:r>
        <w:rPr>
          <w:rFonts w:hint="eastAsia" w:ascii="黑体" w:eastAsia="黑体"/>
          <w:color w:val="auto"/>
          <w:sz w:val="32"/>
          <w:szCs w:val="32"/>
          <w:highlight w:val="none"/>
          <w:lang w:eastAsia="zh-CN"/>
        </w:rPr>
        <w:t>资金规模</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仿宋_GB2312" w:hAnsi="仿宋" w:eastAsia="仿宋_GB2312" w:cs="仿宋"/>
          <w:color w:val="auto"/>
          <w:sz w:val="32"/>
          <w:highlight w:val="none"/>
        </w:rPr>
      </w:pPr>
      <w:r>
        <w:rPr>
          <w:rFonts w:hint="eastAsia" w:ascii="仿宋_GB2312" w:hAnsi="仿宋" w:eastAsia="仿宋_GB2312" w:cs="仿宋"/>
          <w:color w:val="auto"/>
          <w:sz w:val="32"/>
          <w:szCs w:val="32"/>
          <w:highlight w:val="none"/>
          <w:lang w:eastAsia="zh-CN"/>
        </w:rPr>
        <w:t>涞源</w:t>
      </w:r>
      <w:r>
        <w:rPr>
          <w:rFonts w:hint="eastAsia" w:ascii="仿宋_GB2312" w:hAnsi="仿宋" w:eastAsia="仿宋_GB2312" w:cs="仿宋"/>
          <w:color w:val="auto"/>
          <w:sz w:val="32"/>
          <w:szCs w:val="32"/>
          <w:highlight w:val="none"/>
        </w:rPr>
        <w:t>县</w:t>
      </w:r>
      <w:r>
        <w:rPr>
          <w:rFonts w:ascii="仿宋_GB2312" w:hAnsi="仿宋" w:eastAsia="仿宋_GB2312" w:cs="仿宋"/>
          <w:color w:val="auto"/>
          <w:sz w:val="32"/>
          <w:szCs w:val="32"/>
          <w:highlight w:val="none"/>
        </w:rPr>
        <w:t>202</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年</w:t>
      </w:r>
      <w:r>
        <w:rPr>
          <w:rFonts w:hint="eastAsia" w:ascii="仿宋_GB2312" w:hAnsi="仿宋" w:eastAsia="仿宋_GB2312" w:cs="仿宋"/>
          <w:color w:val="auto"/>
          <w:sz w:val="32"/>
          <w:szCs w:val="32"/>
          <w:highlight w:val="none"/>
          <w:lang w:eastAsia="zh-CN"/>
        </w:rPr>
        <w:t>结合</w:t>
      </w:r>
      <w:r>
        <w:rPr>
          <w:rFonts w:hint="eastAsia" w:ascii="仿宋_GB2312" w:hAnsi="仿宋" w:eastAsia="仿宋_GB2312" w:cs="仿宋"/>
          <w:color w:val="auto"/>
          <w:sz w:val="32"/>
          <w:szCs w:val="32"/>
          <w:highlight w:val="none"/>
        </w:rPr>
        <w:t>巩固拓展脱贫攻坚成果与乡村振兴实际，</w:t>
      </w:r>
      <w:r>
        <w:rPr>
          <w:rFonts w:hint="eastAsia" w:ascii="仿宋_GB2312" w:hAnsi="仿宋" w:eastAsia="仿宋_GB2312" w:cs="仿宋"/>
          <w:color w:val="auto"/>
          <w:sz w:val="32"/>
          <w:szCs w:val="32"/>
          <w:highlight w:val="none"/>
          <w:lang w:val="en-US" w:eastAsia="zh-CN"/>
        </w:rPr>
        <w:t>共</w:t>
      </w:r>
      <w:r>
        <w:rPr>
          <w:rFonts w:hint="eastAsia" w:ascii="仿宋_GB2312" w:hAnsi="仿宋" w:eastAsia="仿宋_GB2312" w:cs="仿宋"/>
          <w:color w:val="auto"/>
          <w:sz w:val="32"/>
          <w:highlight w:val="none"/>
          <w:lang w:eastAsia="zh-CN"/>
        </w:rPr>
        <w:t>安排财政衔接资金</w:t>
      </w:r>
      <w:r>
        <w:rPr>
          <w:rFonts w:hint="eastAsia" w:ascii="仿宋_GB2312" w:hAnsi="仿宋" w:eastAsia="仿宋_GB2312" w:cs="仿宋"/>
          <w:color w:val="auto"/>
          <w:sz w:val="32"/>
          <w:highlight w:val="none"/>
          <w:lang w:val="en-US" w:eastAsia="zh-CN"/>
        </w:rPr>
        <w:t>37274</w:t>
      </w:r>
      <w:r>
        <w:rPr>
          <w:rFonts w:hint="eastAsia" w:ascii="仿宋_GB2312" w:hAnsi="仿宋" w:eastAsia="仿宋_GB2312" w:cs="仿宋"/>
          <w:color w:val="auto"/>
          <w:sz w:val="32"/>
          <w:highlight w:val="none"/>
        </w:rPr>
        <w:t>万元，具体情况为：</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（一）中央</w:t>
      </w:r>
      <w:r>
        <w:rPr>
          <w:rFonts w:hint="eastAsia" w:ascii="楷体_GB2312" w:hAnsi="楷体" w:eastAsia="楷体_GB2312" w:cs="楷体"/>
          <w:b/>
          <w:bCs/>
          <w:color w:val="auto"/>
          <w:spacing w:val="-6"/>
          <w:sz w:val="32"/>
          <w:szCs w:val="32"/>
          <w:highlight w:val="none"/>
          <w:lang w:eastAsia="zh-CN"/>
        </w:rPr>
        <w:t>财政衔接</w:t>
      </w:r>
      <w:r>
        <w:rPr>
          <w:rFonts w:hint="eastAsia" w:ascii="楷体_GB2312" w:hAnsi="楷体" w:eastAsia="楷体_GB2312" w:cs="楷体"/>
          <w:b/>
          <w:bCs/>
          <w:color w:val="auto"/>
          <w:spacing w:val="-6"/>
          <w:sz w:val="32"/>
          <w:szCs w:val="32"/>
          <w:highlight w:val="none"/>
        </w:rPr>
        <w:t>资金</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default" w:ascii="仿宋_GB2312" w:hAnsi="仿宋" w:eastAsia="仿宋_GB2312" w:cs="仿宋"/>
          <w:color w:val="auto"/>
          <w:sz w:val="32"/>
          <w:szCs w:val="32"/>
          <w:highlight w:val="none"/>
          <w:lang w:val="en-US" w:eastAsia="zh-CN"/>
        </w:rPr>
      </w:pPr>
      <w:r>
        <w:rPr>
          <w:rFonts w:ascii="仿宋_GB2312" w:hAnsi="仿宋" w:eastAsia="仿宋_GB2312" w:cs="仿宋"/>
          <w:color w:val="auto"/>
          <w:sz w:val="32"/>
          <w:szCs w:val="32"/>
          <w:highlight w:val="none"/>
        </w:rPr>
        <w:t>202</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年</w:t>
      </w:r>
      <w:r>
        <w:rPr>
          <w:rFonts w:hint="eastAsia" w:ascii="仿宋_GB2312" w:hAnsi="仿宋" w:eastAsia="仿宋_GB2312" w:cs="仿宋"/>
          <w:color w:val="auto"/>
          <w:sz w:val="32"/>
          <w:szCs w:val="32"/>
          <w:highlight w:val="none"/>
          <w:lang w:eastAsia="zh-CN"/>
        </w:rPr>
        <w:t>中央财政衔接资金</w:t>
      </w:r>
      <w:r>
        <w:rPr>
          <w:rFonts w:hint="eastAsia" w:ascii="仿宋_GB2312" w:hAnsi="仿宋" w:eastAsia="仿宋_GB2312" w:cs="仿宋"/>
          <w:color w:val="auto"/>
          <w:sz w:val="32"/>
          <w:szCs w:val="32"/>
          <w:highlight w:val="none"/>
          <w:lang w:val="en-US" w:eastAsia="zh-CN"/>
        </w:rPr>
        <w:t>9431</w:t>
      </w:r>
      <w:r>
        <w:rPr>
          <w:rFonts w:hint="eastAsia" w:ascii="仿宋_GB2312" w:hAnsi="仿宋" w:eastAsia="仿宋_GB2312" w:cs="仿宋"/>
          <w:color w:val="auto"/>
          <w:sz w:val="32"/>
          <w:szCs w:val="32"/>
          <w:highlight w:val="none"/>
        </w:rPr>
        <w:t>万元，</w:t>
      </w:r>
      <w:r>
        <w:rPr>
          <w:rFonts w:hint="eastAsia" w:ascii="仿宋_GB2312" w:hAnsi="仿宋" w:eastAsia="仿宋_GB2312" w:cs="仿宋"/>
          <w:color w:val="auto"/>
          <w:sz w:val="32"/>
          <w:szCs w:val="32"/>
          <w:highlight w:val="none"/>
          <w:lang w:eastAsia="zh-CN"/>
        </w:rPr>
        <w:t>中央财政衔接资金安排项目</w:t>
      </w:r>
      <w:r>
        <w:rPr>
          <w:rFonts w:hint="eastAsia" w:ascii="仿宋_GB2312" w:hAnsi="仿宋" w:eastAsia="仿宋_GB2312" w:cs="仿宋"/>
          <w:color w:val="auto"/>
          <w:sz w:val="32"/>
          <w:szCs w:val="32"/>
          <w:highlight w:val="none"/>
          <w:lang w:val="en-US" w:eastAsia="zh-CN"/>
        </w:rPr>
        <w:t>16个，其中产业发展项目15个，安排资金9336.69万元；项目管理费1个，安排资金94.31万元。</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（二）省级</w:t>
      </w:r>
      <w:r>
        <w:rPr>
          <w:rFonts w:hint="eastAsia" w:ascii="楷体_GB2312" w:hAnsi="楷体" w:eastAsia="楷体_GB2312" w:cs="楷体"/>
          <w:b/>
          <w:bCs/>
          <w:color w:val="auto"/>
          <w:spacing w:val="-6"/>
          <w:sz w:val="32"/>
          <w:szCs w:val="32"/>
          <w:highlight w:val="none"/>
          <w:lang w:eastAsia="zh-CN"/>
        </w:rPr>
        <w:t>财政衔接</w:t>
      </w:r>
      <w:r>
        <w:rPr>
          <w:rFonts w:hint="eastAsia" w:ascii="楷体_GB2312" w:hAnsi="楷体" w:eastAsia="楷体_GB2312" w:cs="楷体"/>
          <w:b/>
          <w:bCs/>
          <w:color w:val="auto"/>
          <w:spacing w:val="-6"/>
          <w:sz w:val="32"/>
          <w:szCs w:val="32"/>
          <w:highlight w:val="none"/>
        </w:rPr>
        <w:t>资金</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202</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年</w:t>
      </w:r>
      <w:r>
        <w:rPr>
          <w:rFonts w:hint="eastAsia" w:ascii="仿宋_GB2312" w:hAnsi="仿宋" w:eastAsia="仿宋_GB2312" w:cs="仿宋"/>
          <w:color w:val="auto"/>
          <w:sz w:val="32"/>
          <w:szCs w:val="32"/>
          <w:highlight w:val="none"/>
          <w:lang w:eastAsia="zh-CN"/>
        </w:rPr>
        <w:t>省级财政衔接资金</w:t>
      </w:r>
      <w:r>
        <w:rPr>
          <w:rFonts w:hint="eastAsia" w:ascii="仿宋_GB2312" w:hAnsi="仿宋" w:eastAsia="仿宋_GB2312" w:cs="仿宋"/>
          <w:color w:val="auto"/>
          <w:sz w:val="32"/>
          <w:szCs w:val="32"/>
          <w:highlight w:val="none"/>
          <w:lang w:val="en-US" w:eastAsia="zh-CN"/>
        </w:rPr>
        <w:t>15858</w:t>
      </w:r>
      <w:r>
        <w:rPr>
          <w:rFonts w:hint="eastAsia" w:ascii="仿宋_GB2312" w:hAnsi="仿宋" w:eastAsia="仿宋_GB2312" w:cs="仿宋"/>
          <w:color w:val="auto"/>
          <w:sz w:val="32"/>
          <w:szCs w:val="32"/>
          <w:highlight w:val="none"/>
        </w:rPr>
        <w:t>万元，省级</w:t>
      </w:r>
      <w:r>
        <w:rPr>
          <w:rFonts w:hint="eastAsia" w:ascii="仿宋_GB2312" w:hAnsi="仿宋" w:eastAsia="仿宋_GB2312" w:cs="仿宋"/>
          <w:color w:val="auto"/>
          <w:sz w:val="32"/>
          <w:szCs w:val="32"/>
          <w:highlight w:val="none"/>
          <w:lang w:eastAsia="zh-CN"/>
        </w:rPr>
        <w:t>财政衔接资金安排项目</w:t>
      </w:r>
      <w:r>
        <w:rPr>
          <w:rFonts w:hint="eastAsia" w:ascii="仿宋_GB2312" w:hAnsi="仿宋" w:eastAsia="仿宋_GB2312" w:cs="仿宋"/>
          <w:color w:val="auto"/>
          <w:sz w:val="32"/>
          <w:szCs w:val="32"/>
          <w:highlight w:val="none"/>
          <w:lang w:val="en-US" w:eastAsia="zh-CN"/>
        </w:rPr>
        <w:t>26</w:t>
      </w:r>
      <w:r>
        <w:rPr>
          <w:rFonts w:hint="eastAsia" w:ascii="仿宋_GB2312" w:hAnsi="仿宋" w:eastAsia="仿宋_GB2312" w:cs="仿宋"/>
          <w:color w:val="auto"/>
          <w:sz w:val="32"/>
          <w:szCs w:val="32"/>
          <w:highlight w:val="none"/>
          <w:lang w:eastAsia="zh-CN"/>
        </w:rPr>
        <w:t>个，其中产业发展项目</w:t>
      </w:r>
      <w:r>
        <w:rPr>
          <w:rFonts w:hint="eastAsia" w:ascii="仿宋_GB2312" w:hAnsi="仿宋" w:eastAsia="仿宋_GB2312" w:cs="仿宋"/>
          <w:color w:val="auto"/>
          <w:sz w:val="32"/>
          <w:szCs w:val="32"/>
          <w:highlight w:val="none"/>
          <w:lang w:val="en-US" w:eastAsia="zh-CN"/>
        </w:rPr>
        <w:t>21个，安排资金12428万元；易地扶贫搬迁项目1个，安排资金2780万元；基础设施项目1个，</w:t>
      </w:r>
      <w:bookmarkStart w:id="0" w:name="_GoBack"/>
      <w:r>
        <w:rPr>
          <w:rFonts w:hint="eastAsia" w:ascii="仿宋_GB2312" w:hAnsi="仿宋" w:eastAsia="仿宋_GB2312" w:cs="仿宋"/>
          <w:color w:val="auto"/>
          <w:sz w:val="32"/>
          <w:szCs w:val="32"/>
          <w:highlight w:val="none"/>
          <w:lang w:val="en-US" w:eastAsia="zh-CN"/>
        </w:rPr>
        <w:t>安排资金120万元</w:t>
      </w:r>
      <w:bookmarkEnd w:id="0"/>
      <w:r>
        <w:rPr>
          <w:rFonts w:hint="eastAsia" w:ascii="仿宋_GB2312" w:hAnsi="仿宋" w:eastAsia="仿宋_GB2312" w:cs="仿宋"/>
          <w:color w:val="auto"/>
          <w:sz w:val="32"/>
          <w:szCs w:val="32"/>
          <w:highlight w:val="none"/>
          <w:lang w:val="en-US" w:eastAsia="zh-CN"/>
        </w:rPr>
        <w:t>；其他项目2个，安排资金130万元，雨露计划项目1个，安排资金400万元</w:t>
      </w:r>
      <w:r>
        <w:rPr>
          <w:rFonts w:hint="eastAsia" w:ascii="仿宋_GB2312" w:hAnsi="仿宋" w:eastAsia="仿宋_GB2312" w:cs="仿宋"/>
          <w:color w:val="auto"/>
          <w:sz w:val="32"/>
          <w:szCs w:val="32"/>
          <w:highlight w:val="none"/>
        </w:rPr>
        <w:t>。</w:t>
      </w:r>
    </w:p>
    <w:p>
      <w:pPr>
        <w:pStyle w:val="2"/>
        <w:keepNext w:val="0"/>
        <w:keepLines w:val="0"/>
        <w:pageBreakBefore w:val="0"/>
        <w:numPr>
          <w:ilvl w:val="0"/>
          <w:numId w:val="2"/>
        </w:numPr>
        <w:kinsoku/>
        <w:wordWrap/>
        <w:overflowPunct/>
        <w:topLinePunct w:val="0"/>
        <w:autoSpaceDE/>
        <w:autoSpaceDN/>
        <w:bidi w:val="0"/>
        <w:adjustRightInd/>
        <w:snapToGrid/>
        <w:spacing w:line="560" w:lineRule="exact"/>
        <w:ind w:firstLine="619" w:firstLineChars="20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市级</w:t>
      </w:r>
      <w:r>
        <w:rPr>
          <w:rFonts w:hint="eastAsia" w:ascii="楷体_GB2312" w:hAnsi="楷体" w:eastAsia="楷体_GB2312" w:cs="楷体"/>
          <w:b/>
          <w:bCs/>
          <w:color w:val="auto"/>
          <w:spacing w:val="-6"/>
          <w:sz w:val="32"/>
          <w:szCs w:val="32"/>
          <w:highlight w:val="none"/>
          <w:lang w:eastAsia="zh-CN"/>
        </w:rPr>
        <w:t>财政衔接</w:t>
      </w:r>
      <w:r>
        <w:rPr>
          <w:rFonts w:hint="eastAsia" w:ascii="楷体_GB2312" w:hAnsi="楷体" w:eastAsia="楷体_GB2312" w:cs="楷体"/>
          <w:b/>
          <w:bCs/>
          <w:color w:val="auto"/>
          <w:spacing w:val="-6"/>
          <w:sz w:val="32"/>
          <w:szCs w:val="32"/>
          <w:highlight w:val="none"/>
        </w:rPr>
        <w:t>资金</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202</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年</w:t>
      </w:r>
      <w:r>
        <w:rPr>
          <w:rFonts w:hint="eastAsia" w:ascii="仿宋_GB2312" w:hAnsi="仿宋" w:eastAsia="仿宋_GB2312" w:cs="仿宋"/>
          <w:color w:val="auto"/>
          <w:sz w:val="32"/>
          <w:szCs w:val="32"/>
          <w:highlight w:val="none"/>
          <w:lang w:eastAsia="zh-CN"/>
        </w:rPr>
        <w:t>市级财政</w:t>
      </w:r>
      <w:r>
        <w:rPr>
          <w:rFonts w:hint="eastAsia" w:ascii="仿宋_GB2312" w:hAnsi="仿宋" w:eastAsia="仿宋_GB2312" w:cs="仿宋"/>
          <w:color w:val="auto"/>
          <w:sz w:val="32"/>
          <w:szCs w:val="32"/>
          <w:highlight w:val="none"/>
        </w:rPr>
        <w:t>衔接</w:t>
      </w:r>
      <w:r>
        <w:rPr>
          <w:rFonts w:hint="eastAsia" w:ascii="仿宋_GB2312" w:hAnsi="仿宋" w:eastAsia="仿宋_GB2312" w:cs="仿宋"/>
          <w:color w:val="auto"/>
          <w:sz w:val="32"/>
          <w:szCs w:val="32"/>
          <w:highlight w:val="none"/>
          <w:lang w:eastAsia="zh-CN"/>
        </w:rPr>
        <w:t>资金</w:t>
      </w:r>
      <w:r>
        <w:rPr>
          <w:rFonts w:hint="eastAsia" w:ascii="仿宋_GB2312" w:hAnsi="仿宋" w:eastAsia="仿宋_GB2312" w:cs="仿宋"/>
          <w:color w:val="auto"/>
          <w:sz w:val="32"/>
          <w:szCs w:val="32"/>
          <w:highlight w:val="none"/>
          <w:lang w:val="en-US" w:eastAsia="zh-CN"/>
        </w:rPr>
        <w:t>5723</w:t>
      </w:r>
      <w:r>
        <w:rPr>
          <w:rFonts w:hint="eastAsia" w:ascii="仿宋_GB2312" w:hAnsi="仿宋" w:eastAsia="仿宋_GB2312" w:cs="仿宋"/>
          <w:color w:val="auto"/>
          <w:sz w:val="32"/>
          <w:szCs w:val="32"/>
          <w:highlight w:val="none"/>
        </w:rPr>
        <w:t>万元。</w:t>
      </w:r>
      <w:r>
        <w:rPr>
          <w:rFonts w:hint="eastAsia" w:ascii="仿宋_GB2312" w:hAnsi="仿宋" w:eastAsia="仿宋_GB2312" w:cs="仿宋"/>
          <w:color w:val="auto"/>
          <w:sz w:val="32"/>
          <w:szCs w:val="32"/>
          <w:highlight w:val="none"/>
          <w:lang w:eastAsia="zh-CN"/>
        </w:rPr>
        <w:t>市</w:t>
      </w:r>
      <w:r>
        <w:rPr>
          <w:rFonts w:hint="eastAsia" w:ascii="仿宋_GB2312" w:hAnsi="仿宋" w:eastAsia="仿宋_GB2312" w:cs="仿宋"/>
          <w:color w:val="auto"/>
          <w:sz w:val="32"/>
          <w:szCs w:val="32"/>
          <w:highlight w:val="none"/>
        </w:rPr>
        <w:t>级</w:t>
      </w:r>
      <w:r>
        <w:rPr>
          <w:rFonts w:hint="eastAsia" w:ascii="仿宋_GB2312" w:hAnsi="仿宋" w:eastAsia="仿宋_GB2312" w:cs="仿宋"/>
          <w:color w:val="auto"/>
          <w:sz w:val="32"/>
          <w:szCs w:val="32"/>
          <w:highlight w:val="none"/>
          <w:lang w:eastAsia="zh-CN"/>
        </w:rPr>
        <w:t>财政衔接资金安排项目</w:t>
      </w:r>
      <w:r>
        <w:rPr>
          <w:rFonts w:hint="eastAsia" w:ascii="仿宋_GB2312" w:hAnsi="仿宋" w:eastAsia="仿宋_GB2312" w:cs="仿宋"/>
          <w:color w:val="auto"/>
          <w:sz w:val="32"/>
          <w:szCs w:val="32"/>
          <w:highlight w:val="none"/>
          <w:lang w:val="en-US" w:eastAsia="zh-CN"/>
        </w:rPr>
        <w:t>5</w:t>
      </w:r>
      <w:r>
        <w:rPr>
          <w:rFonts w:hint="eastAsia" w:ascii="仿宋_GB2312" w:hAnsi="仿宋" w:eastAsia="仿宋_GB2312" w:cs="仿宋"/>
          <w:color w:val="auto"/>
          <w:sz w:val="32"/>
          <w:szCs w:val="32"/>
          <w:highlight w:val="none"/>
          <w:lang w:eastAsia="zh-CN"/>
        </w:rPr>
        <w:t>个，其中产业发展项目</w:t>
      </w:r>
      <w:r>
        <w:rPr>
          <w:rFonts w:hint="eastAsia" w:ascii="仿宋_GB2312" w:hAnsi="仿宋" w:eastAsia="仿宋_GB2312" w:cs="仿宋"/>
          <w:color w:val="auto"/>
          <w:sz w:val="32"/>
          <w:szCs w:val="32"/>
          <w:highlight w:val="none"/>
          <w:lang w:val="en-US" w:eastAsia="zh-CN"/>
        </w:rPr>
        <w:t>3个，安排资金2723万元；基础设施项目1个，安排资金2880万元；其他项目1个，安排资金120万元</w:t>
      </w:r>
      <w:r>
        <w:rPr>
          <w:rFonts w:hint="eastAsia" w:ascii="仿宋_GB2312" w:hAnsi="仿宋" w:eastAsia="仿宋_GB2312" w:cs="仿宋"/>
          <w:color w:val="auto"/>
          <w:sz w:val="32"/>
          <w:szCs w:val="32"/>
          <w:highlight w:val="none"/>
        </w:rPr>
        <w:t>。</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（四）县级</w:t>
      </w:r>
      <w:r>
        <w:rPr>
          <w:rFonts w:hint="eastAsia" w:ascii="楷体_GB2312" w:hAnsi="楷体" w:eastAsia="楷体_GB2312" w:cs="楷体"/>
          <w:b/>
          <w:bCs/>
          <w:color w:val="auto"/>
          <w:spacing w:val="-6"/>
          <w:sz w:val="32"/>
          <w:szCs w:val="32"/>
          <w:highlight w:val="none"/>
          <w:lang w:eastAsia="zh-CN"/>
        </w:rPr>
        <w:t>财政衔接</w:t>
      </w:r>
      <w:r>
        <w:rPr>
          <w:rFonts w:hint="eastAsia" w:ascii="楷体_GB2312" w:hAnsi="楷体" w:eastAsia="楷体_GB2312" w:cs="楷体"/>
          <w:b/>
          <w:bCs/>
          <w:color w:val="auto"/>
          <w:spacing w:val="-6"/>
          <w:sz w:val="32"/>
          <w:szCs w:val="32"/>
          <w:highlight w:val="none"/>
        </w:rPr>
        <w:t>资金</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default" w:ascii="仿宋_GB2312" w:hAnsi="仿宋" w:eastAsia="仿宋_GB2312" w:cs="仿宋"/>
          <w:color w:val="auto"/>
          <w:sz w:val="32"/>
          <w:szCs w:val="32"/>
          <w:highlight w:val="none"/>
          <w:lang w:val="en-US" w:eastAsia="zh-CN"/>
        </w:rPr>
      </w:pPr>
      <w:r>
        <w:rPr>
          <w:rFonts w:ascii="仿宋_GB2312" w:hAnsi="仿宋" w:eastAsia="仿宋_GB2312" w:cs="仿宋"/>
          <w:color w:val="auto"/>
          <w:sz w:val="32"/>
          <w:szCs w:val="32"/>
          <w:highlight w:val="none"/>
        </w:rPr>
        <w:t>202</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年县级财政衔接</w:t>
      </w:r>
      <w:r>
        <w:rPr>
          <w:rFonts w:hint="eastAsia" w:ascii="仿宋_GB2312" w:hAnsi="仿宋" w:eastAsia="仿宋_GB2312" w:cs="仿宋"/>
          <w:color w:val="auto"/>
          <w:sz w:val="32"/>
          <w:szCs w:val="32"/>
          <w:highlight w:val="none"/>
          <w:lang w:eastAsia="zh-CN"/>
        </w:rPr>
        <w:t>资金</w:t>
      </w:r>
      <w:r>
        <w:rPr>
          <w:rFonts w:hint="eastAsia" w:ascii="仿宋_GB2312" w:hAnsi="仿宋" w:eastAsia="仿宋_GB2312" w:cs="仿宋"/>
          <w:color w:val="auto"/>
          <w:sz w:val="32"/>
          <w:szCs w:val="32"/>
          <w:highlight w:val="none"/>
          <w:lang w:val="en-US" w:eastAsia="zh-CN"/>
        </w:rPr>
        <w:t>6262</w:t>
      </w:r>
      <w:r>
        <w:rPr>
          <w:rFonts w:hint="eastAsia" w:ascii="仿宋_GB2312" w:hAnsi="仿宋" w:eastAsia="仿宋_GB2312" w:cs="仿宋"/>
          <w:color w:val="auto"/>
          <w:sz w:val="32"/>
          <w:szCs w:val="32"/>
          <w:highlight w:val="none"/>
        </w:rPr>
        <w:t>万元。</w:t>
      </w:r>
      <w:r>
        <w:rPr>
          <w:rFonts w:hint="eastAsia" w:ascii="仿宋_GB2312" w:hAnsi="仿宋" w:eastAsia="仿宋_GB2312" w:cs="仿宋"/>
          <w:color w:val="auto"/>
          <w:sz w:val="32"/>
          <w:szCs w:val="32"/>
          <w:highlight w:val="none"/>
          <w:lang w:eastAsia="zh-CN"/>
        </w:rPr>
        <w:t>县级财政衔接资金安排项目</w:t>
      </w:r>
      <w:r>
        <w:rPr>
          <w:rFonts w:hint="eastAsia" w:ascii="仿宋_GB2312" w:hAnsi="仿宋" w:eastAsia="仿宋_GB2312" w:cs="仿宋"/>
          <w:color w:val="auto"/>
          <w:sz w:val="32"/>
          <w:szCs w:val="32"/>
          <w:highlight w:val="none"/>
          <w:lang w:val="en-US" w:eastAsia="zh-CN"/>
        </w:rPr>
        <w:t>45个，其中产业发展项目10个，安排资金1848.31万元；基础设施项目32个，安排资金2856万元；项目管理费项目1个，安排资金405.69万元；就业项目1个，安排资金120万元，其他项目1个，安排资金1032万元</w:t>
      </w:r>
      <w:r>
        <w:rPr>
          <w:rFonts w:hint="eastAsia" w:ascii="仿宋_GB2312" w:hAnsi="仿宋" w:eastAsia="仿宋_GB2312" w:cs="仿宋"/>
          <w:color w:val="auto"/>
          <w:sz w:val="32"/>
          <w:szCs w:val="32"/>
          <w:highlight w:val="none"/>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eastAsia="黑体"/>
          <w:color w:val="auto"/>
          <w:sz w:val="32"/>
          <w:szCs w:val="32"/>
          <w:highlight w:val="none"/>
        </w:rPr>
      </w:pPr>
      <w:r>
        <w:rPr>
          <w:rFonts w:hint="eastAsia" w:ascii="黑体" w:eastAsia="黑体"/>
          <w:color w:val="auto"/>
          <w:sz w:val="32"/>
          <w:szCs w:val="32"/>
          <w:highlight w:val="none"/>
        </w:rPr>
        <w:t>三、建设任务</w:t>
      </w:r>
    </w:p>
    <w:p>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（一）产业</w:t>
      </w:r>
      <w:r>
        <w:rPr>
          <w:rFonts w:hint="eastAsia" w:ascii="楷体_GB2312" w:hAnsi="楷体" w:eastAsia="楷体_GB2312" w:cs="楷体"/>
          <w:b/>
          <w:bCs/>
          <w:color w:val="auto"/>
          <w:spacing w:val="-6"/>
          <w:sz w:val="32"/>
          <w:szCs w:val="32"/>
          <w:highlight w:val="none"/>
          <w:lang w:eastAsia="zh-CN"/>
        </w:rPr>
        <w:t>发展</w:t>
      </w:r>
      <w:r>
        <w:rPr>
          <w:rFonts w:hint="eastAsia" w:ascii="楷体_GB2312" w:hAnsi="楷体" w:eastAsia="楷体_GB2312" w:cs="楷体"/>
          <w:b/>
          <w:bCs/>
          <w:color w:val="auto"/>
          <w:spacing w:val="-6"/>
          <w:sz w:val="32"/>
          <w:szCs w:val="32"/>
          <w:highlight w:val="none"/>
        </w:rPr>
        <w:t>项目</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eastAsia" w:ascii="楷体_GB2312" w:hAnsi="楷体" w:eastAsia="楷体_GB2312" w:cs="楷体"/>
          <w:b/>
          <w:bCs/>
          <w:color w:val="auto"/>
          <w:spacing w:val="-6"/>
          <w:kern w:val="2"/>
          <w:sz w:val="32"/>
          <w:szCs w:val="32"/>
          <w:highlight w:val="none"/>
          <w:lang w:val="en-US" w:eastAsia="zh-CN" w:bidi="ar-SA"/>
        </w:rPr>
      </w:pP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安排2022年涞源县直隶黑猪养殖基地建设项目及防洪工程</w:t>
      </w:r>
      <w:r>
        <w:rPr>
          <w:rFonts w:hint="eastAsia" w:ascii="仿宋_GB2312" w:hAnsi="仿宋" w:eastAsia="仿宋_GB2312" w:cs="仿宋"/>
          <w:color w:val="auto"/>
          <w:sz w:val="32"/>
          <w:szCs w:val="32"/>
          <w:highlight w:val="none"/>
          <w:lang w:eastAsia="zh-CN"/>
        </w:rPr>
        <w:t>、2022年玖兴肉鸡养殖片区粪污发酵处理项目、玖兴肉鸡养殖片区粪污发酵处理项目、玖兴肉鸡养殖病死鸡无害化处理项目、东团堡乡黑木耳菌包厂项目、黑木耳无菌接种车间、白石山镇蔬菜种植大棚项目、河北省涞源县贫困村食用菌（黑木耳）产业扶贫二期项目、河北省涞源县贫困村食用菌（黑木耳）产业扶贫项目配套工程、宏福农业产业园分拣车间项目、核心菌包厂附属设备购置项目、冷库建设项目、中庄村农业产业园柔性温室项目、苹果园建设项目、预制菜加工项目、京冀对口帮扶养猪项目、玖兴养鸡配水项目、玖兴养鸡配电项目、赵家井集中养殖基地、玖兴养鸡中庄基地、玖兴养鸡中庄西沟基地、玖兴养鸡王家湾基地、玖兴养鸡马庄（柳树沟）基地设备、11万头楼房养猪配电项目、中庄西沟导洪沟工程、中庄基地导洪沟工程、示范区分散鸡舍建设项目、赵家井集中养殖配套污水处理工程、养殖场灾后修复工程、楼房养猪消杀车间、柳沟鸡舍集中联建、联建鸡舍保温项目、养猪场配套护坝、玖兴养鸡中庄、赵家井基地项目配套产业路、银坊养鸡场防护项目、金家井乡北黄土岭村护地坝项目</w:t>
      </w:r>
      <w:r>
        <w:rPr>
          <w:rFonts w:hint="eastAsia" w:ascii="仿宋_GB2312" w:hAnsi="仿宋" w:eastAsia="仿宋_GB2312" w:cs="仿宋"/>
          <w:color w:val="auto"/>
          <w:sz w:val="32"/>
          <w:szCs w:val="32"/>
          <w:highlight w:val="none"/>
        </w:rPr>
        <w:t>共</w:t>
      </w:r>
      <w:r>
        <w:rPr>
          <w:rFonts w:hint="eastAsia" w:ascii="仿宋_GB2312" w:hAnsi="仿宋" w:eastAsia="仿宋_GB2312" w:cs="仿宋"/>
          <w:color w:val="auto"/>
          <w:sz w:val="32"/>
          <w:szCs w:val="32"/>
          <w:highlight w:val="none"/>
          <w:lang w:val="en-US" w:eastAsia="zh-CN"/>
        </w:rPr>
        <w:t>36</w:t>
      </w:r>
      <w:r>
        <w:rPr>
          <w:rFonts w:hint="eastAsia" w:ascii="仿宋_GB2312" w:hAnsi="仿宋" w:eastAsia="仿宋_GB2312" w:cs="仿宋"/>
          <w:color w:val="auto"/>
          <w:sz w:val="32"/>
          <w:szCs w:val="32"/>
          <w:highlight w:val="none"/>
        </w:rPr>
        <w:t>个项目，资金</w:t>
      </w:r>
      <w:r>
        <w:rPr>
          <w:rFonts w:hint="eastAsia" w:ascii="仿宋_GB2312" w:hAnsi="仿宋" w:eastAsia="仿宋_GB2312" w:cs="仿宋"/>
          <w:color w:val="auto"/>
          <w:sz w:val="32"/>
          <w:szCs w:val="32"/>
          <w:highlight w:val="none"/>
          <w:lang w:val="en-US" w:eastAsia="zh-CN"/>
        </w:rPr>
        <w:t>26336</w:t>
      </w:r>
      <w:r>
        <w:rPr>
          <w:rFonts w:hint="eastAsia" w:ascii="仿宋_GB2312" w:hAnsi="仿宋" w:eastAsia="仿宋_GB2312" w:cs="仿宋"/>
          <w:color w:val="auto"/>
          <w:sz w:val="32"/>
          <w:szCs w:val="32"/>
          <w:highlight w:val="none"/>
        </w:rPr>
        <w:t>万元。产业及配套项目产权归项目村集体，依托</w:t>
      </w:r>
      <w:r>
        <w:rPr>
          <w:rFonts w:hint="eastAsia" w:ascii="仿宋_GB2312" w:hAnsi="仿宋" w:eastAsia="仿宋_GB2312" w:cs="仿宋"/>
          <w:color w:val="auto"/>
          <w:sz w:val="32"/>
          <w:szCs w:val="32"/>
          <w:highlight w:val="none"/>
          <w:lang w:eastAsia="zh-CN"/>
        </w:rPr>
        <w:t>种</w:t>
      </w:r>
      <w:r>
        <w:rPr>
          <w:rFonts w:hint="eastAsia" w:ascii="仿宋_GB2312" w:hAnsi="仿宋" w:eastAsia="仿宋_GB2312" w:cs="仿宋"/>
          <w:color w:val="auto"/>
          <w:sz w:val="32"/>
          <w:szCs w:val="32"/>
          <w:highlight w:val="none"/>
        </w:rPr>
        <w:t>养效益覆盖脱贫户</w:t>
      </w:r>
      <w:r>
        <w:rPr>
          <w:rFonts w:ascii="仿宋_GB2312" w:hAnsi="仿宋" w:eastAsia="仿宋_GB2312" w:cs="仿宋"/>
          <w:color w:val="auto"/>
          <w:sz w:val="32"/>
          <w:szCs w:val="32"/>
          <w:highlight w:val="none"/>
        </w:rPr>
        <w:t>56016</w:t>
      </w:r>
      <w:r>
        <w:rPr>
          <w:rFonts w:hint="eastAsia" w:ascii="仿宋_GB2312" w:hAnsi="仿宋" w:eastAsia="仿宋_GB2312" w:cs="仿宋"/>
          <w:color w:val="auto"/>
          <w:sz w:val="32"/>
          <w:szCs w:val="32"/>
          <w:highlight w:val="none"/>
        </w:rPr>
        <w:t>户，</w:t>
      </w:r>
      <w:r>
        <w:rPr>
          <w:rFonts w:ascii="仿宋_GB2312" w:hAnsi="仿宋" w:eastAsia="仿宋_GB2312" w:cs="仿宋"/>
          <w:color w:val="auto"/>
          <w:sz w:val="32"/>
          <w:szCs w:val="32"/>
          <w:highlight w:val="none"/>
        </w:rPr>
        <w:t>126247</w:t>
      </w:r>
      <w:r>
        <w:rPr>
          <w:rFonts w:hint="eastAsia" w:ascii="仿宋_GB2312" w:hAnsi="仿宋" w:eastAsia="仿宋_GB2312" w:cs="仿宋"/>
          <w:color w:val="auto"/>
          <w:sz w:val="32"/>
          <w:szCs w:val="32"/>
          <w:highlight w:val="none"/>
        </w:rPr>
        <w:t>人。</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eastAsia" w:ascii="楷体_GB2312" w:hAnsi="楷体" w:eastAsia="楷体_GB2312" w:cs="楷体"/>
          <w:b/>
          <w:bCs/>
          <w:color w:val="auto"/>
          <w:spacing w:val="-6"/>
          <w:kern w:val="2"/>
          <w:sz w:val="32"/>
          <w:szCs w:val="32"/>
          <w:highlight w:val="none"/>
          <w:lang w:val="en-US" w:eastAsia="zh-CN" w:bidi="ar-SA"/>
        </w:rPr>
      </w:pPr>
      <w:r>
        <w:rPr>
          <w:rFonts w:hint="eastAsia" w:ascii="楷体_GB2312" w:hAnsi="楷体" w:eastAsia="楷体_GB2312" w:cs="楷体"/>
          <w:b/>
          <w:bCs/>
          <w:color w:val="auto"/>
          <w:spacing w:val="-6"/>
          <w:kern w:val="2"/>
          <w:sz w:val="32"/>
          <w:szCs w:val="32"/>
          <w:highlight w:val="none"/>
          <w:lang w:val="en-US" w:eastAsia="zh-CN" w:bidi="ar-SA"/>
        </w:rPr>
        <w:t>（二）农村基础设施项目</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default" w:ascii="楷体_GB2312" w:hAnsi="楷体" w:eastAsia="仿宋_GB2312" w:cs="楷体"/>
          <w:b/>
          <w:bCs/>
          <w:color w:val="auto"/>
          <w:spacing w:val="-6"/>
          <w:kern w:val="2"/>
          <w:sz w:val="32"/>
          <w:szCs w:val="32"/>
          <w:highlight w:val="none"/>
          <w:lang w:val="en-US" w:eastAsia="zh-CN" w:bidi="ar-SA"/>
        </w:rPr>
      </w:pPr>
      <w:r>
        <w:rPr>
          <w:rFonts w:hint="eastAsia" w:ascii="仿宋_GB2312" w:hAnsi="仿宋" w:eastAsia="仿宋_GB2312" w:cs="仿宋"/>
          <w:color w:val="auto"/>
          <w:sz w:val="32"/>
          <w:szCs w:val="32"/>
          <w:highlight w:val="none"/>
          <w:lang w:val="en-US" w:eastAsia="zh-CN"/>
        </w:rPr>
        <w:t>安排7个村基础设施提升项目、村庄面貌提升项目、涞源县2020年非贫困村饮水安全巩固提升项目、涞源县2021年贫困村饮水安全巩固提升工程、涞源县2021年非贫困村饮水安全巩固提升工程、涞源县2022年农村饮水安全巩固提升工程、涞源县冯村、曲村、狮子峪、黄土岭街道化治理工程、北京环线涞源冯村至曲村段沥青罩面及路线平交工程、涞源县W691锡海线-马跑泉农村公路、马跑泉桥新建工程、涞源县2019年村道安全生命防护工程、涞源县上庄乡、乌龙沟乡非贫困村交通基础设施提升项目、塔崖驿乡、王安镇、南屯镇、杨家庄镇非贫困村主街道硬化项目、王安镇、杨家庄镇、南屯镇非贫困村通建制村路和通自然村路硬化项目、涞源镇、白石山镇、银坊镇非贫困村交通基础设施提升项目、北石佛乡、金家井乡、留家庄乡、水堡镇非贫困村交通基础提升项目、涞源县走马驿镇非贫困村主要街道硬化项目、涞源县2019年贫困农村公路项目一标、涞源县2019年贫困农村公路项目二标、涞源县2019年北石佛乡、金家井乡、上庄乡、乌龙沟乡、王安镇、杨家庄镇、涞源镇、水堡镇、走马驿镇非贫困村交通基础设施提升工程（二期）项目、县城朝阳路罩面工程、涞源县石片至伊家铺段、团圆桥及G112至东杏花段改造工程、涞源县京昆线至烟煤洞改造工程、涞源县鲍家路至大沟、龙虎寺至北上屯及涞驿线红泉村段改造工程、涞源县小河至牛家沟掌、上铺至银炉台改造工程、涞源县金家井乡、白石山镇、涞源镇、王安镇、走马驿镇、北石佛乡2021年度交通基础设施提升工程、涞源县塔崖驿乡、上庄乡、烟煤洞乡、南屯镇、银坊镇、南马庄乡、水堡镇2021年度交通基础设施提升工程、隋家庄--烟煤洞农村公路改造工程、涞源镇2022年农村公路改造工程、南屯镇、泉坊镇2022年农村公路改造工程、东团堡乡、王安镇2022年农村公路改造工程、王安镇、杨家庄镇、北石佛镇2022年农村公路改造工程、金家井乡、杨家庄镇、银坊镇、塔崖驿乡、白石山镇2022年农村公路改造工程</w:t>
      </w:r>
      <w:r>
        <w:rPr>
          <w:rFonts w:hint="eastAsia" w:ascii="仿宋_GB2312" w:hAnsi="仿宋" w:eastAsia="仿宋_GB2312" w:cs="仿宋"/>
          <w:color w:val="auto"/>
          <w:sz w:val="32"/>
          <w:szCs w:val="32"/>
          <w:highlight w:val="none"/>
        </w:rPr>
        <w:t>基础设施提升项目</w:t>
      </w:r>
      <w:r>
        <w:rPr>
          <w:rFonts w:hint="eastAsia" w:ascii="仿宋_GB2312" w:hAnsi="仿宋" w:eastAsia="仿宋_GB2312" w:cs="仿宋"/>
          <w:color w:val="auto"/>
          <w:sz w:val="32"/>
          <w:szCs w:val="32"/>
          <w:highlight w:val="none"/>
          <w:lang w:val="en-US" w:eastAsia="zh-CN"/>
        </w:rPr>
        <w:t>33个，资金5856万元。</w:t>
      </w:r>
    </w:p>
    <w:p>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hint="eastAsia" w:ascii="楷体_GB2312" w:hAnsi="楷体" w:eastAsia="楷体_GB2312" w:cs="楷体"/>
          <w:b/>
          <w:bCs/>
          <w:color w:val="auto"/>
          <w:spacing w:val="-6"/>
          <w:kern w:val="2"/>
          <w:sz w:val="32"/>
          <w:szCs w:val="32"/>
          <w:highlight w:val="none"/>
          <w:lang w:val="en-US" w:eastAsia="zh-CN" w:bidi="ar-SA"/>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三</w:t>
      </w:r>
      <w:r>
        <w:rPr>
          <w:rFonts w:hint="eastAsia" w:ascii="楷体_GB2312" w:hAnsi="楷体" w:eastAsia="楷体_GB2312" w:cs="楷体"/>
          <w:b/>
          <w:bCs/>
          <w:color w:val="auto"/>
          <w:spacing w:val="-6"/>
          <w:sz w:val="32"/>
          <w:szCs w:val="32"/>
          <w:highlight w:val="none"/>
        </w:rPr>
        <w:t>）易地扶贫搬迁</w:t>
      </w:r>
      <w:r>
        <w:rPr>
          <w:rFonts w:hint="eastAsia" w:ascii="楷体_GB2312" w:hAnsi="楷体" w:eastAsia="楷体_GB2312" w:cs="楷体"/>
          <w:b/>
          <w:bCs/>
          <w:color w:val="auto"/>
          <w:spacing w:val="-6"/>
          <w:sz w:val="32"/>
          <w:szCs w:val="32"/>
          <w:highlight w:val="none"/>
          <w:lang w:eastAsia="zh-CN"/>
        </w:rPr>
        <w:t>项目</w:t>
      </w:r>
    </w:p>
    <w:p>
      <w:pPr>
        <w:pStyle w:val="18"/>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lang w:eastAsia="zh-CN"/>
        </w:rPr>
        <w:t>安排偿还易地扶贫搬迁贷款</w:t>
      </w:r>
      <w:r>
        <w:rPr>
          <w:rFonts w:hint="eastAsia" w:ascii="仿宋_GB2312" w:hAnsi="仿宋" w:eastAsia="仿宋_GB2312" w:cs="仿宋"/>
          <w:color w:val="auto"/>
          <w:sz w:val="32"/>
          <w:szCs w:val="32"/>
          <w:highlight w:val="none"/>
          <w:lang w:val="en-US" w:eastAsia="zh-CN"/>
        </w:rPr>
        <w:t>1个，资金2780万元。</w:t>
      </w:r>
    </w:p>
    <w:p>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hint="eastAsia" w:ascii="楷体_GB2312" w:hAnsi="楷体" w:eastAsia="楷体_GB2312" w:cs="楷体"/>
          <w:b/>
          <w:bCs/>
          <w:color w:val="auto"/>
          <w:spacing w:val="-6"/>
          <w:sz w:val="32"/>
          <w:szCs w:val="32"/>
          <w:highlight w:val="none"/>
          <w:lang w:val="en-US" w:eastAsia="zh-CN"/>
        </w:rPr>
      </w:pPr>
      <w:r>
        <w:rPr>
          <w:rFonts w:hint="eastAsia" w:ascii="楷体_GB2312" w:hAnsi="楷体" w:eastAsia="楷体_GB2312" w:cs="楷体"/>
          <w:b/>
          <w:bCs/>
          <w:color w:val="auto"/>
          <w:spacing w:val="-6"/>
          <w:kern w:val="2"/>
          <w:sz w:val="32"/>
          <w:szCs w:val="32"/>
          <w:highlight w:val="none"/>
          <w:lang w:val="en-US" w:eastAsia="zh-CN" w:bidi="ar-SA"/>
        </w:rPr>
        <w:t>（四）</w:t>
      </w:r>
      <w:r>
        <w:rPr>
          <w:rFonts w:hint="eastAsia" w:ascii="楷体_GB2312" w:hAnsi="楷体" w:eastAsia="楷体_GB2312" w:cs="楷体"/>
          <w:b/>
          <w:bCs/>
          <w:color w:val="auto"/>
          <w:spacing w:val="-6"/>
          <w:sz w:val="32"/>
          <w:szCs w:val="32"/>
          <w:highlight w:val="none"/>
        </w:rPr>
        <w:t>雨露计划项目</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default" w:ascii="仿宋_GB2312" w:hAnsi="仿宋" w:eastAsia="仿宋_GB2312" w:cs="仿宋"/>
          <w:color w:val="auto"/>
          <w:sz w:val="32"/>
          <w:szCs w:val="32"/>
          <w:highlight w:val="none"/>
          <w:lang w:val="en-US" w:eastAsia="zh-CN"/>
        </w:rPr>
      </w:pPr>
      <w:r>
        <w:rPr>
          <w:rFonts w:hint="eastAsia" w:ascii="仿宋_GB2312" w:hAnsi="仿宋" w:eastAsia="仿宋_GB2312" w:cs="仿宋"/>
          <w:color w:val="auto"/>
          <w:sz w:val="32"/>
          <w:szCs w:val="32"/>
          <w:highlight w:val="none"/>
        </w:rPr>
        <w:t>安排雨露计划项目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w:t>
      </w:r>
      <w:r>
        <w:rPr>
          <w:rFonts w:hint="eastAsia" w:ascii="仿宋_GB2312" w:hAnsi="仿宋" w:eastAsia="仿宋_GB2312" w:cs="仿宋"/>
          <w:color w:val="auto"/>
          <w:sz w:val="32"/>
          <w:szCs w:val="32"/>
          <w:highlight w:val="none"/>
          <w:lang w:val="en-US" w:eastAsia="zh-CN"/>
        </w:rPr>
        <w:t>400</w:t>
      </w:r>
      <w:r>
        <w:rPr>
          <w:rFonts w:hint="eastAsia" w:ascii="仿宋_GB2312" w:hAnsi="仿宋" w:eastAsia="仿宋_GB2312" w:cs="仿宋"/>
          <w:color w:val="auto"/>
          <w:sz w:val="32"/>
          <w:szCs w:val="32"/>
          <w:highlight w:val="none"/>
        </w:rPr>
        <w:t>万元。分别补助2023年秋季，2024年春季建档立卡学生，补助标准1500元/学期。</w:t>
      </w:r>
    </w:p>
    <w:p>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hint="eastAsia" w:ascii="楷体_GB2312" w:hAnsi="楷体" w:eastAsia="楷体_GB2312" w:cs="楷体"/>
          <w:b/>
          <w:bCs/>
          <w:color w:val="auto"/>
          <w:spacing w:val="-6"/>
          <w:sz w:val="32"/>
          <w:szCs w:val="32"/>
          <w:highlight w:val="none"/>
          <w:lang w:val="en-US" w:eastAsia="zh-CN"/>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五</w:t>
      </w:r>
      <w:r>
        <w:rPr>
          <w:rFonts w:hint="eastAsia" w:ascii="楷体_GB2312" w:hAnsi="楷体" w:eastAsia="楷体_GB2312" w:cs="楷体"/>
          <w:b/>
          <w:bCs/>
          <w:color w:val="auto"/>
          <w:spacing w:val="-6"/>
          <w:sz w:val="32"/>
          <w:szCs w:val="32"/>
          <w:highlight w:val="none"/>
        </w:rPr>
        <w:t>）项目管理费</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安排项目管理费项目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w:t>
      </w:r>
      <w:r>
        <w:rPr>
          <w:rFonts w:hint="eastAsia" w:ascii="仿宋_GB2312" w:hAnsi="仿宋" w:eastAsia="仿宋_GB2312" w:cs="仿宋"/>
          <w:color w:val="auto"/>
          <w:sz w:val="32"/>
          <w:szCs w:val="32"/>
          <w:highlight w:val="none"/>
          <w:lang w:val="en-US" w:eastAsia="zh-CN"/>
        </w:rPr>
        <w:t>5</w:t>
      </w:r>
      <w:r>
        <w:rPr>
          <w:rFonts w:ascii="仿宋_GB2312" w:hAnsi="仿宋" w:eastAsia="仿宋_GB2312" w:cs="仿宋"/>
          <w:color w:val="auto"/>
          <w:sz w:val="32"/>
          <w:szCs w:val="32"/>
          <w:highlight w:val="none"/>
        </w:rPr>
        <w:t>00</w:t>
      </w:r>
      <w:r>
        <w:rPr>
          <w:rFonts w:hint="eastAsia" w:ascii="仿宋_GB2312" w:hAnsi="仿宋" w:eastAsia="仿宋_GB2312" w:cs="仿宋"/>
          <w:color w:val="auto"/>
          <w:sz w:val="32"/>
          <w:szCs w:val="32"/>
          <w:highlight w:val="none"/>
        </w:rPr>
        <w:t>万元。用于项目前期可行性研究报告、初步设计的编制，地形测量，地质勘探、水土保持、水资源论证等支出。用于项目后期结算、验收等服务类支出。</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eastAsia" w:ascii="仿宋_GB2312" w:hAnsi="仿宋" w:eastAsia="仿宋_GB2312" w:cs="仿宋"/>
          <w:color w:val="auto"/>
          <w:sz w:val="32"/>
          <w:szCs w:val="32"/>
          <w:highlight w:val="none"/>
          <w:lang w:eastAsia="zh-CN"/>
        </w:rPr>
      </w:pPr>
      <w:r>
        <w:rPr>
          <w:rFonts w:hint="eastAsia" w:ascii="楷体_GB2312" w:hAnsi="楷体" w:eastAsia="楷体_GB2312" w:cs="楷体"/>
          <w:b/>
          <w:bCs/>
          <w:color w:val="auto"/>
          <w:spacing w:val="-6"/>
          <w:kern w:val="2"/>
          <w:sz w:val="32"/>
          <w:szCs w:val="32"/>
          <w:highlight w:val="none"/>
          <w:lang w:val="en-US" w:eastAsia="zh-CN" w:bidi="ar-SA"/>
        </w:rPr>
        <w:t>（六）就业项目</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default" w:ascii="仿宋_GB2312" w:hAnsi="仿宋" w:eastAsia="仿宋_GB2312" w:cs="仿宋"/>
          <w:color w:val="auto"/>
          <w:sz w:val="32"/>
          <w:szCs w:val="32"/>
          <w:highlight w:val="none"/>
          <w:lang w:val="en-US" w:eastAsia="zh-CN"/>
        </w:rPr>
      </w:pPr>
      <w:r>
        <w:rPr>
          <w:rFonts w:hint="eastAsia" w:ascii="仿宋_GB2312" w:hAnsi="仿宋" w:eastAsia="仿宋_GB2312" w:cs="仿宋"/>
          <w:color w:val="auto"/>
          <w:sz w:val="32"/>
          <w:szCs w:val="32"/>
          <w:highlight w:val="none"/>
          <w:lang w:eastAsia="zh-CN"/>
        </w:rPr>
        <w:t>安排就业项目</w:t>
      </w:r>
      <w:r>
        <w:rPr>
          <w:rFonts w:hint="eastAsia" w:ascii="仿宋_GB2312" w:hAnsi="仿宋" w:eastAsia="仿宋_GB2312" w:cs="仿宋"/>
          <w:color w:val="auto"/>
          <w:sz w:val="32"/>
          <w:szCs w:val="32"/>
          <w:highlight w:val="none"/>
          <w:lang w:val="en-US" w:eastAsia="zh-CN"/>
        </w:rPr>
        <w:t>1个，资金120万元。为在县外务工累计3个月以上的脱贫劳动力发放一次性交通和生活补贴。</w:t>
      </w:r>
    </w:p>
    <w:p>
      <w:pPr>
        <w:keepNext w:val="0"/>
        <w:keepLines w:val="0"/>
        <w:pageBreakBefore w:val="0"/>
        <w:kinsoku/>
        <w:wordWrap/>
        <w:overflowPunct/>
        <w:topLinePunct w:val="0"/>
        <w:autoSpaceDE/>
        <w:autoSpaceDN/>
        <w:bidi w:val="0"/>
        <w:adjustRightInd/>
        <w:snapToGrid/>
        <w:spacing w:line="560" w:lineRule="exact"/>
        <w:ind w:firstLine="619" w:firstLineChars="200"/>
        <w:textAlignment w:val="auto"/>
        <w:rPr>
          <w:rFonts w:hint="default" w:ascii="楷体_GB2312" w:hAnsi="楷体" w:eastAsia="楷体_GB2312" w:cs="楷体"/>
          <w:b/>
          <w:bCs/>
          <w:color w:val="auto"/>
          <w:spacing w:val="-6"/>
          <w:sz w:val="32"/>
          <w:szCs w:val="32"/>
          <w:highlight w:val="none"/>
          <w:lang w:val="en-US" w:eastAsia="zh-CN"/>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七</w:t>
      </w: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其他</w:t>
      </w:r>
    </w:p>
    <w:p>
      <w:pPr>
        <w:pStyle w:val="18"/>
        <w:keepNext w:val="0"/>
        <w:keepLines w:val="0"/>
        <w:pageBreakBefore w:val="0"/>
        <w:kinsoku/>
        <w:wordWrap/>
        <w:overflowPunct/>
        <w:topLinePunct w:val="0"/>
        <w:autoSpaceDE/>
        <w:autoSpaceDN/>
        <w:bidi w:val="0"/>
        <w:adjustRightInd/>
        <w:snapToGrid/>
        <w:spacing w:line="560" w:lineRule="exact"/>
        <w:ind w:firstLine="31680"/>
        <w:textAlignment w:val="auto"/>
        <w:rPr>
          <w:rFonts w:hint="default" w:ascii="仿宋_GB2312" w:hAnsi="仿宋" w:eastAsia="仿宋_GB2312" w:cs="仿宋"/>
          <w:color w:val="auto"/>
          <w:sz w:val="32"/>
          <w:szCs w:val="32"/>
          <w:highlight w:val="none"/>
          <w:lang w:val="en-US" w:eastAsia="zh-CN"/>
        </w:rPr>
      </w:pPr>
      <w:r>
        <w:rPr>
          <w:rFonts w:hint="eastAsia" w:ascii="仿宋_GB2312" w:hAnsi="仿宋" w:eastAsia="仿宋_GB2312" w:cs="仿宋"/>
          <w:color w:val="auto"/>
          <w:sz w:val="32"/>
          <w:szCs w:val="32"/>
          <w:highlight w:val="none"/>
          <w:lang w:eastAsia="zh-CN"/>
        </w:rPr>
        <w:t>安排河北省桃木疙瘩农业科技股份有限公司博士农场奖补项目、金融贴息、市级工作队经费、县级工作队经费</w:t>
      </w:r>
      <w:r>
        <w:rPr>
          <w:rFonts w:hint="eastAsia" w:ascii="仿宋_GB2312" w:hAnsi="仿宋" w:eastAsia="仿宋_GB2312" w:cs="仿宋"/>
          <w:color w:val="auto"/>
          <w:sz w:val="32"/>
          <w:szCs w:val="32"/>
          <w:highlight w:val="none"/>
          <w:lang w:val="en-US" w:eastAsia="zh-CN"/>
        </w:rPr>
        <w:t>4个，资金1282万元。</w:t>
      </w:r>
    </w:p>
    <w:p>
      <w:pPr>
        <w:pStyle w:val="2"/>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textAlignment w:val="auto"/>
        <w:rPr>
          <w:rFonts w:ascii="黑体" w:eastAsia="黑体"/>
          <w:color w:val="auto"/>
          <w:sz w:val="32"/>
          <w:szCs w:val="32"/>
          <w:highlight w:val="none"/>
        </w:rPr>
      </w:pPr>
      <w:r>
        <w:rPr>
          <w:rFonts w:hint="eastAsia" w:ascii="黑体" w:eastAsia="黑体"/>
          <w:color w:val="auto"/>
          <w:sz w:val="32"/>
          <w:szCs w:val="32"/>
          <w:highlight w:val="none"/>
        </w:rPr>
        <w:t>项目实施</w:t>
      </w:r>
    </w:p>
    <w:p>
      <w:pPr>
        <w:spacing w:line="560" w:lineRule="exact"/>
        <w:ind w:firstLine="619" w:firstLineChars="200"/>
        <w:rPr>
          <w:rFonts w:hint="eastAsia"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（一）项目申报。</w:t>
      </w:r>
    </w:p>
    <w:p>
      <w:pPr>
        <w:spacing w:line="560" w:lineRule="exact"/>
        <w:ind w:firstLine="640" w:firstLineChars="200"/>
        <w:rPr>
          <w:rFonts w:hint="eastAsia" w:ascii="Times New Roman" w:hAnsi="Times New Roman" w:eastAsia="仿宋_GB2312"/>
          <w:sz w:val="32"/>
          <w:szCs w:val="32"/>
          <w:lang w:eastAsia="zh-CN"/>
        </w:rPr>
      </w:pPr>
      <w:r>
        <w:rPr>
          <w:rFonts w:hint="eastAsia" w:ascii="Times New Roman" w:hAnsi="Times New Roman" w:eastAsia="仿宋_GB2312"/>
          <w:sz w:val="32"/>
          <w:szCs w:val="32"/>
          <w:lang w:val="en-US" w:eastAsia="zh-CN"/>
        </w:rPr>
        <w:t>1.</w:t>
      </w:r>
      <w:r>
        <w:rPr>
          <w:rFonts w:hint="eastAsia" w:ascii="仿宋_GB2312" w:hAnsi="仿宋_GB2312" w:eastAsia="仿宋_GB2312" w:cs="仿宋_GB2312"/>
          <w:b/>
          <w:bCs/>
          <w:sz w:val="32"/>
          <w:szCs w:val="32"/>
        </w:rPr>
        <w:t>村级申报</w:t>
      </w:r>
      <w:r>
        <w:rPr>
          <w:rFonts w:hint="eastAsia" w:ascii="仿宋_GB2312" w:hAnsi="仿宋_GB2312" w:eastAsia="仿宋_GB2312" w:cs="仿宋_GB2312"/>
          <w:b/>
          <w:bCs/>
          <w:sz w:val="32"/>
          <w:szCs w:val="32"/>
          <w:lang w:eastAsia="zh-CN"/>
        </w:rPr>
        <w:t>。</w:t>
      </w:r>
      <w:r>
        <w:rPr>
          <w:rFonts w:hint="eastAsia" w:ascii="Times New Roman" w:hAnsi="Times New Roman" w:eastAsia="仿宋_GB2312"/>
          <w:sz w:val="32"/>
          <w:szCs w:val="32"/>
        </w:rPr>
        <w:t>村级申报由村“两委”、驻村工作队或包村干部根据村情实际和群众发展意愿，在广泛收集资金项目需求基础上，提出项目申报清单</w:t>
      </w:r>
      <w:r>
        <w:rPr>
          <w:rFonts w:hint="eastAsia" w:ascii="Times New Roman" w:hAnsi="Times New Roman" w:eastAsia="仿宋_GB2312"/>
          <w:sz w:val="32"/>
          <w:szCs w:val="32"/>
          <w:lang w:eastAsia="zh-CN"/>
        </w:rPr>
        <w:t>并</w:t>
      </w:r>
      <w:r>
        <w:rPr>
          <w:rFonts w:hint="eastAsia" w:ascii="Times New Roman" w:hAnsi="Times New Roman" w:eastAsia="仿宋_GB2312"/>
          <w:sz w:val="32"/>
          <w:szCs w:val="32"/>
        </w:rPr>
        <w:t>组织召开村“两委”会或村民代表大会，对申报的项目进行研究评议，确定申报项目，村内公示</w:t>
      </w:r>
      <w:r>
        <w:rPr>
          <w:rFonts w:ascii="Times New Roman" w:hAnsi="Times New Roman" w:eastAsia="仿宋_GB2312"/>
          <w:sz w:val="32"/>
          <w:szCs w:val="32"/>
        </w:rPr>
        <w:t>无异议后</w:t>
      </w:r>
      <w:r>
        <w:rPr>
          <w:rFonts w:hint="eastAsia" w:eastAsia="仿宋_GB2312"/>
          <w:sz w:val="32"/>
          <w:szCs w:val="32"/>
          <w:lang w:eastAsia="zh-CN"/>
        </w:rPr>
        <w:t>，</w:t>
      </w:r>
      <w:r>
        <w:rPr>
          <w:rFonts w:ascii="Times New Roman" w:hAnsi="Times New Roman" w:eastAsia="仿宋_GB2312"/>
          <w:sz w:val="32"/>
          <w:szCs w:val="32"/>
        </w:rPr>
        <w:t>由村委会向所在乡</w:t>
      </w:r>
      <w:r>
        <w:rPr>
          <w:rFonts w:hint="eastAsia" w:ascii="Times New Roman" w:hAnsi="Times New Roman" w:eastAsia="仿宋_GB2312"/>
          <w:sz w:val="32"/>
          <w:szCs w:val="32"/>
        </w:rPr>
        <w:t>（镇）</w:t>
      </w:r>
      <w:r>
        <w:rPr>
          <w:rFonts w:ascii="Times New Roman" w:hAnsi="Times New Roman" w:eastAsia="仿宋_GB2312"/>
          <w:sz w:val="32"/>
          <w:szCs w:val="32"/>
        </w:rPr>
        <w:t>提交拟</w:t>
      </w:r>
      <w:r>
        <w:rPr>
          <w:rFonts w:hint="eastAsia" w:ascii="Times New Roman" w:hAnsi="Times New Roman" w:eastAsia="仿宋_GB2312"/>
          <w:sz w:val="32"/>
          <w:szCs w:val="32"/>
          <w:lang w:eastAsia="zh-CN"/>
        </w:rPr>
        <w:t>申报项目申</w:t>
      </w:r>
      <w:r>
        <w:rPr>
          <w:rFonts w:ascii="Times New Roman" w:hAnsi="Times New Roman" w:eastAsia="仿宋_GB2312"/>
          <w:sz w:val="32"/>
          <w:szCs w:val="32"/>
        </w:rPr>
        <w:t>请</w:t>
      </w:r>
      <w:r>
        <w:rPr>
          <w:rFonts w:hint="eastAsia" w:ascii="Times New Roman" w:hAnsi="Times New Roman" w:eastAsia="仿宋_GB2312"/>
          <w:sz w:val="32"/>
          <w:szCs w:val="32"/>
          <w:lang w:eastAsia="zh-CN"/>
        </w:rPr>
        <w:t>。</w:t>
      </w:r>
      <w:r>
        <w:rPr>
          <w:rFonts w:ascii="Times New Roman" w:hAnsi="Times New Roman" w:eastAsia="仿宋_GB2312"/>
          <w:sz w:val="32"/>
          <w:szCs w:val="32"/>
        </w:rPr>
        <w:t>乡</w:t>
      </w:r>
      <w:r>
        <w:rPr>
          <w:rFonts w:hint="eastAsia" w:ascii="Times New Roman" w:hAnsi="Times New Roman" w:eastAsia="仿宋_GB2312"/>
          <w:sz w:val="32"/>
          <w:szCs w:val="32"/>
        </w:rPr>
        <w:t>（镇）接到村级项目申请后，征求项目所涉及相关县级行业部门意见，组织召开党政联席会议，</w:t>
      </w:r>
      <w:r>
        <w:rPr>
          <w:rFonts w:ascii="Times New Roman" w:hAnsi="Times New Roman" w:eastAsia="仿宋_GB2312"/>
          <w:sz w:val="32"/>
          <w:szCs w:val="32"/>
        </w:rPr>
        <w:t>对村级申报项目</w:t>
      </w:r>
      <w:r>
        <w:rPr>
          <w:rFonts w:hint="eastAsia" w:ascii="Times New Roman" w:hAnsi="Times New Roman" w:eastAsia="仿宋_GB2312"/>
          <w:sz w:val="32"/>
          <w:szCs w:val="32"/>
        </w:rPr>
        <w:t>和自主谋划项目</w:t>
      </w:r>
      <w:r>
        <w:rPr>
          <w:rFonts w:ascii="Times New Roman" w:hAnsi="Times New Roman" w:eastAsia="仿宋_GB2312"/>
          <w:sz w:val="32"/>
          <w:szCs w:val="32"/>
        </w:rPr>
        <w:t>的合规性、可行性、必要性</w:t>
      </w:r>
      <w:r>
        <w:rPr>
          <w:rFonts w:hint="eastAsia" w:ascii="Times New Roman" w:hAnsi="Times New Roman" w:eastAsia="仿宋_GB2312"/>
          <w:sz w:val="32"/>
          <w:szCs w:val="32"/>
        </w:rPr>
        <w:t>、</w:t>
      </w:r>
      <w:r>
        <w:rPr>
          <w:rFonts w:ascii="Times New Roman" w:hAnsi="Times New Roman" w:eastAsia="仿宋_GB2312"/>
          <w:sz w:val="32"/>
          <w:szCs w:val="32"/>
        </w:rPr>
        <w:t>科学性以及项目内容、资金来源与概算、绩效目标、联农带农机制等进行</w:t>
      </w:r>
      <w:r>
        <w:rPr>
          <w:rFonts w:hint="eastAsia" w:ascii="Times New Roman" w:hAnsi="Times New Roman" w:eastAsia="仿宋_GB2312"/>
          <w:sz w:val="32"/>
          <w:szCs w:val="32"/>
        </w:rPr>
        <w:t>审核，形成乡（镇）项目申报清</w:t>
      </w:r>
      <w:r>
        <w:rPr>
          <w:rFonts w:hint="eastAsia" w:ascii="Times New Roman" w:hAnsi="Times New Roman" w:eastAsia="仿宋_GB2312" w:cs="Times New Roman"/>
          <w:sz w:val="32"/>
          <w:szCs w:val="32"/>
        </w:rPr>
        <w:t>单</w:t>
      </w:r>
      <w:r>
        <w:rPr>
          <w:rFonts w:hint="eastAsia" w:ascii="Times New Roman" w:hAnsi="Times New Roman" w:eastAsia="仿宋_GB2312"/>
          <w:sz w:val="32"/>
          <w:szCs w:val="32"/>
          <w:lang w:eastAsia="zh-CN"/>
        </w:rPr>
        <w:t>。</w:t>
      </w:r>
    </w:p>
    <w:p>
      <w:pPr>
        <w:pStyle w:val="5"/>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 w:eastAsia="仿宋_GB2312" w:cs="仿宋"/>
          <w:color w:val="auto"/>
          <w:kern w:val="2"/>
          <w:sz w:val="32"/>
          <w:szCs w:val="32"/>
          <w:highlight w:val="none"/>
          <w:lang w:val="en-US" w:eastAsia="zh-CN" w:bidi="ar-SA"/>
        </w:rPr>
      </w:pPr>
      <w:r>
        <w:rPr>
          <w:rFonts w:hint="eastAsia" w:ascii="Times New Roman" w:hAnsi="Times New Roman" w:eastAsia="仿宋_GB2312"/>
          <w:sz w:val="32"/>
          <w:szCs w:val="32"/>
          <w:lang w:val="en-US" w:eastAsia="zh-CN"/>
        </w:rPr>
        <w:t>2.</w:t>
      </w:r>
      <w:r>
        <w:rPr>
          <w:rFonts w:hint="eastAsia" w:ascii="仿宋_GB2312" w:hAnsi="仿宋_GB2312" w:eastAsia="仿宋_GB2312" w:cs="仿宋_GB2312"/>
          <w:b/>
          <w:bCs/>
          <w:sz w:val="32"/>
          <w:szCs w:val="32"/>
          <w:lang w:val="en-US" w:eastAsia="zh-CN"/>
        </w:rPr>
        <w:t>主管行业部门申报。</w:t>
      </w:r>
      <w:r>
        <w:rPr>
          <w:rFonts w:hint="eastAsia" w:ascii="Times New Roman" w:hAnsi="Times New Roman" w:eastAsia="仿宋_GB2312"/>
          <w:sz w:val="32"/>
          <w:szCs w:val="32"/>
          <w:lang w:eastAsia="zh-CN"/>
        </w:rPr>
        <w:t>主管行业部门根据全县规划和发展实际，提出</w:t>
      </w:r>
      <w:r>
        <w:rPr>
          <w:rFonts w:hint="eastAsia" w:ascii="Times New Roman" w:hAnsi="Times New Roman" w:eastAsia="仿宋_GB2312" w:cs="Times New Roman"/>
          <w:sz w:val="32"/>
          <w:szCs w:val="32"/>
          <w:lang w:eastAsia="zh-CN"/>
        </w:rPr>
        <w:t>县域跨</w:t>
      </w:r>
      <w:r>
        <w:rPr>
          <w:rFonts w:hint="eastAsia" w:ascii="Times New Roman" w:hAnsi="Times New Roman" w:eastAsia="仿宋_GB2312"/>
          <w:sz w:val="32"/>
          <w:szCs w:val="32"/>
          <w:lang w:eastAsia="zh-CN"/>
        </w:rPr>
        <w:t>乡镇、规模化</w:t>
      </w:r>
      <w:r>
        <w:rPr>
          <w:rFonts w:hint="eastAsia" w:ascii="Times New Roman" w:hAnsi="Times New Roman" w:eastAsia="仿宋_GB2312"/>
          <w:sz w:val="32"/>
          <w:szCs w:val="32"/>
        </w:rPr>
        <w:t>入库项目申报清</w:t>
      </w:r>
      <w:r>
        <w:rPr>
          <w:rFonts w:hint="eastAsia" w:ascii="Times New Roman" w:hAnsi="Times New Roman" w:eastAsia="仿宋_GB2312" w:cs="Times New Roman"/>
          <w:sz w:val="32"/>
          <w:szCs w:val="32"/>
        </w:rPr>
        <w:t>单</w:t>
      </w:r>
      <w:r>
        <w:rPr>
          <w:rFonts w:hint="eastAsia" w:ascii="Times New Roman" w:hAnsi="Times New Roman" w:eastAsia="仿宋_GB2312" w:cs="Times New Roman"/>
          <w:sz w:val="32"/>
          <w:szCs w:val="32"/>
          <w:lang w:eastAsia="zh-CN"/>
        </w:rPr>
        <w:t>。</w:t>
      </w:r>
      <w:r>
        <w:rPr>
          <w:rFonts w:hint="eastAsia" w:ascii="Times New Roman" w:hAnsi="Times New Roman" w:eastAsia="仿宋_GB2312"/>
          <w:sz w:val="32"/>
          <w:szCs w:val="32"/>
          <w:lang w:eastAsia="zh-CN"/>
        </w:rPr>
        <w:t>主管行业部门向</w:t>
      </w:r>
      <w:r>
        <w:rPr>
          <w:rFonts w:hint="eastAsia" w:ascii="Times New Roman" w:hAnsi="Times New Roman" w:eastAsia="仿宋_GB2312"/>
          <w:sz w:val="32"/>
          <w:szCs w:val="32"/>
        </w:rPr>
        <w:t>项目所涉及乡、村两级及</w:t>
      </w:r>
      <w:r>
        <w:rPr>
          <w:rFonts w:hint="eastAsia" w:ascii="Times New Roman" w:hAnsi="Times New Roman" w:eastAsia="仿宋_GB2312"/>
          <w:sz w:val="32"/>
          <w:szCs w:val="32"/>
          <w:lang w:eastAsia="zh-CN"/>
        </w:rPr>
        <w:t>其它有关</w:t>
      </w:r>
      <w:r>
        <w:rPr>
          <w:rFonts w:hint="eastAsia" w:ascii="Times New Roman" w:hAnsi="Times New Roman" w:eastAsia="仿宋_GB2312"/>
          <w:sz w:val="32"/>
          <w:szCs w:val="32"/>
        </w:rPr>
        <w:t>县级行业部门</w:t>
      </w:r>
      <w:r>
        <w:rPr>
          <w:rFonts w:hint="eastAsia" w:ascii="Times New Roman" w:hAnsi="Times New Roman" w:eastAsia="仿宋_GB2312"/>
          <w:sz w:val="32"/>
          <w:szCs w:val="32"/>
          <w:lang w:eastAsia="zh-CN"/>
        </w:rPr>
        <w:t>征求意见。</w:t>
      </w:r>
      <w:r>
        <w:rPr>
          <w:rFonts w:hint="eastAsia" w:ascii="Times New Roman" w:hAnsi="Times New Roman" w:eastAsia="仿宋_GB2312" w:cs="Times New Roman"/>
          <w:sz w:val="32"/>
          <w:szCs w:val="32"/>
          <w:lang w:val="en-US" w:eastAsia="zh-CN"/>
        </w:rPr>
        <w:t>申报项目的</w:t>
      </w:r>
      <w:r>
        <w:rPr>
          <w:rFonts w:ascii="Times New Roman" w:hAnsi="Times New Roman" w:eastAsia="仿宋_GB2312" w:cs="Times New Roman"/>
          <w:sz w:val="32"/>
          <w:szCs w:val="32"/>
        </w:rPr>
        <w:t>行业部</w:t>
      </w:r>
      <w:r>
        <w:rPr>
          <w:rFonts w:ascii="Times New Roman" w:hAnsi="Times New Roman" w:eastAsia="仿宋_GB2312"/>
          <w:sz w:val="32"/>
          <w:szCs w:val="32"/>
        </w:rPr>
        <w:t>门对</w:t>
      </w:r>
      <w:r>
        <w:rPr>
          <w:rFonts w:hint="eastAsia" w:ascii="Times New Roman" w:hAnsi="Times New Roman" w:eastAsia="仿宋_GB2312"/>
          <w:sz w:val="32"/>
          <w:szCs w:val="32"/>
        </w:rPr>
        <w:t>项目</w:t>
      </w:r>
      <w:r>
        <w:rPr>
          <w:rFonts w:ascii="Times New Roman" w:hAnsi="Times New Roman" w:eastAsia="仿宋_GB2312"/>
          <w:sz w:val="32"/>
          <w:szCs w:val="32"/>
        </w:rPr>
        <w:t>的合规性、可行性、必要性</w:t>
      </w:r>
      <w:r>
        <w:rPr>
          <w:rFonts w:hint="eastAsia" w:ascii="Times New Roman" w:hAnsi="Times New Roman" w:eastAsia="仿宋_GB2312"/>
          <w:sz w:val="32"/>
          <w:szCs w:val="32"/>
        </w:rPr>
        <w:t>、</w:t>
      </w:r>
      <w:r>
        <w:rPr>
          <w:rFonts w:ascii="Times New Roman" w:hAnsi="Times New Roman" w:eastAsia="仿宋_GB2312"/>
          <w:sz w:val="32"/>
          <w:szCs w:val="32"/>
        </w:rPr>
        <w:t>科学性以及项目内容、资金来源与概算、绩效目标、联</w:t>
      </w:r>
      <w:r>
        <w:rPr>
          <w:rFonts w:hint="eastAsia" w:ascii="Times New Roman" w:hAnsi="Times New Roman" w:eastAsia="仿宋_GB2312" w:cs="Times New Roman"/>
          <w:sz w:val="32"/>
          <w:szCs w:val="32"/>
          <w:lang w:eastAsia="zh-CN"/>
        </w:rPr>
        <w:t>农带农机制等进行审核，部门集体研究通过的项目在项目涉及的乡、村等范围内公示无异议后，向县乡村振兴部门提交项目申请</w:t>
      </w:r>
      <w:r>
        <w:rPr>
          <w:rFonts w:hint="eastAsia" w:ascii="Times New Roman" w:hAnsi="Times New Roman" w:eastAsia="仿宋_GB2312"/>
          <w:sz w:val="32"/>
          <w:szCs w:val="32"/>
        </w:rPr>
        <w:t>。</w:t>
      </w:r>
    </w:p>
    <w:p>
      <w:pPr>
        <w:spacing w:line="560" w:lineRule="exact"/>
        <w:ind w:firstLine="619" w:firstLineChars="200"/>
        <w:rPr>
          <w:rFonts w:ascii="Times New Roman" w:hAnsi="Times New Roman" w:eastAsia="仿宋_GB2312"/>
          <w:sz w:val="32"/>
          <w:szCs w:val="32"/>
        </w:rPr>
      </w:pPr>
      <w:r>
        <w:rPr>
          <w:rFonts w:hint="eastAsia" w:ascii="楷体_GB2312" w:hAnsi="楷体" w:eastAsia="楷体_GB2312" w:cs="楷体"/>
          <w:b/>
          <w:bCs/>
          <w:color w:val="auto"/>
          <w:spacing w:val="-6"/>
          <w:sz w:val="32"/>
          <w:szCs w:val="32"/>
          <w:highlight w:val="none"/>
        </w:rPr>
        <w:t>（二）项目审核。</w:t>
      </w:r>
      <w:r>
        <w:rPr>
          <w:rFonts w:hint="eastAsia" w:ascii="Times New Roman" w:hAnsi="Times New Roman" w:eastAsia="仿宋_GB2312"/>
          <w:sz w:val="32"/>
          <w:szCs w:val="32"/>
        </w:rPr>
        <w:t>县乡村振兴部门对</w:t>
      </w:r>
      <w:r>
        <w:rPr>
          <w:rFonts w:hint="eastAsia" w:ascii="Times New Roman" w:hAnsi="Times New Roman" w:eastAsia="仿宋_GB2312"/>
          <w:sz w:val="32"/>
          <w:szCs w:val="32"/>
          <w:lang w:eastAsia="zh-CN"/>
        </w:rPr>
        <w:t>各乡镇、行业部门</w:t>
      </w:r>
      <w:r>
        <w:rPr>
          <w:rFonts w:hint="eastAsia" w:ascii="Times New Roman" w:hAnsi="Times New Roman" w:eastAsia="仿宋_GB2312"/>
          <w:sz w:val="32"/>
          <w:szCs w:val="32"/>
        </w:rPr>
        <w:t>报送的</w:t>
      </w:r>
      <w:r>
        <w:rPr>
          <w:rFonts w:ascii="Times New Roman" w:hAnsi="Times New Roman" w:eastAsia="仿宋_GB2312"/>
          <w:sz w:val="32"/>
          <w:szCs w:val="32"/>
        </w:rPr>
        <w:t>项目</w:t>
      </w:r>
      <w:r>
        <w:rPr>
          <w:rFonts w:hint="eastAsia" w:ascii="Times New Roman" w:hAnsi="Times New Roman" w:eastAsia="仿宋_GB2312"/>
          <w:sz w:val="32"/>
          <w:szCs w:val="32"/>
        </w:rPr>
        <w:t>是否属于巩固拓展脱贫攻坚成果和乡村振兴项目，是否符合衔接资金使用方向，是否</w:t>
      </w:r>
      <w:r>
        <w:rPr>
          <w:rFonts w:hint="eastAsia" w:ascii="Times New Roman" w:hAnsi="Times New Roman" w:eastAsia="仿宋_GB2312"/>
          <w:sz w:val="32"/>
          <w:szCs w:val="32"/>
          <w:lang w:eastAsia="zh-CN"/>
        </w:rPr>
        <w:t>建立联农带农机制特别是</w:t>
      </w:r>
      <w:r>
        <w:rPr>
          <w:rFonts w:hint="eastAsia" w:ascii="Times New Roman" w:hAnsi="Times New Roman" w:eastAsia="仿宋_GB2312"/>
          <w:sz w:val="32"/>
          <w:szCs w:val="32"/>
        </w:rPr>
        <w:t>与脱贫人口</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监测对象建立利益联结机制等进行审核，并</w:t>
      </w:r>
      <w:r>
        <w:rPr>
          <w:rFonts w:ascii="Times New Roman" w:hAnsi="Times New Roman" w:eastAsia="仿宋_GB2312"/>
          <w:sz w:val="32"/>
          <w:szCs w:val="32"/>
        </w:rPr>
        <w:t>结合年度巩固拓展脱贫攻坚成果</w:t>
      </w:r>
      <w:r>
        <w:rPr>
          <w:rFonts w:hint="eastAsia" w:ascii="Times New Roman" w:hAnsi="Times New Roman" w:eastAsia="仿宋_GB2312"/>
          <w:sz w:val="32"/>
          <w:szCs w:val="32"/>
        </w:rPr>
        <w:t>同</w:t>
      </w:r>
      <w:r>
        <w:rPr>
          <w:rFonts w:ascii="Times New Roman" w:hAnsi="Times New Roman" w:eastAsia="仿宋_GB2312"/>
          <w:sz w:val="32"/>
          <w:szCs w:val="32"/>
        </w:rPr>
        <w:t>乡村振兴有效衔接目标任务</w:t>
      </w:r>
      <w:r>
        <w:rPr>
          <w:rFonts w:hint="eastAsia" w:ascii="Times New Roman" w:hAnsi="Times New Roman" w:eastAsia="仿宋_GB2312"/>
          <w:sz w:val="32"/>
          <w:szCs w:val="32"/>
          <w:lang w:eastAsia="zh-CN"/>
        </w:rPr>
        <w:t>进行审核</w:t>
      </w:r>
      <w:r>
        <w:rPr>
          <w:rFonts w:ascii="Times New Roman" w:hAnsi="Times New Roman" w:eastAsia="仿宋_GB2312" w:cs="Times New Roman"/>
          <w:sz w:val="32"/>
          <w:szCs w:val="32"/>
        </w:rPr>
        <w:t>，</w:t>
      </w:r>
      <w:r>
        <w:rPr>
          <w:rFonts w:ascii="Times New Roman" w:hAnsi="Times New Roman" w:eastAsia="仿宋_GB2312"/>
          <w:sz w:val="32"/>
          <w:szCs w:val="32"/>
        </w:rPr>
        <w:t>汇总</w:t>
      </w:r>
      <w:r>
        <w:rPr>
          <w:rFonts w:hint="eastAsia" w:ascii="Times New Roman" w:hAnsi="Times New Roman" w:eastAsia="仿宋_GB2312"/>
          <w:sz w:val="32"/>
          <w:szCs w:val="32"/>
          <w:lang w:eastAsia="zh-CN"/>
        </w:rPr>
        <w:t>后</w:t>
      </w:r>
      <w:r>
        <w:rPr>
          <w:rFonts w:ascii="Times New Roman" w:hAnsi="Times New Roman" w:eastAsia="仿宋_GB2312"/>
          <w:sz w:val="32"/>
          <w:szCs w:val="32"/>
        </w:rPr>
        <w:t>报县委农村工作领导小组审</w:t>
      </w:r>
      <w:r>
        <w:rPr>
          <w:rFonts w:hint="eastAsia" w:ascii="Times New Roman" w:hAnsi="Times New Roman" w:eastAsia="仿宋_GB2312"/>
          <w:sz w:val="32"/>
          <w:szCs w:val="32"/>
          <w:lang w:eastAsia="zh-CN"/>
        </w:rPr>
        <w:t>定</w:t>
      </w:r>
      <w:r>
        <w:rPr>
          <w:rFonts w:ascii="Times New Roman" w:hAnsi="Times New Roman" w:eastAsia="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（三）项目论证。</w:t>
      </w:r>
      <w:r>
        <w:rPr>
          <w:rFonts w:ascii="Times New Roman" w:hAnsi="Times New Roman" w:eastAsia="仿宋_GB2312"/>
          <w:sz w:val="32"/>
          <w:szCs w:val="32"/>
        </w:rPr>
        <w:t>县委农村工作领导小组召开专题会议</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组织相关部门</w:t>
      </w:r>
      <w:r>
        <w:rPr>
          <w:rFonts w:ascii="Times New Roman" w:hAnsi="Times New Roman" w:eastAsia="仿宋_GB2312"/>
          <w:sz w:val="32"/>
          <w:szCs w:val="32"/>
        </w:rPr>
        <w:t>对拟入库项目进行研究论证</w:t>
      </w:r>
      <w:r>
        <w:rPr>
          <w:rFonts w:hint="eastAsia" w:eastAsia="仿宋_GB2312"/>
          <w:sz w:val="32"/>
          <w:szCs w:val="32"/>
          <w:lang w:eastAsia="zh-CN"/>
        </w:rPr>
        <w:t>。</w:t>
      </w:r>
    </w:p>
    <w:p>
      <w:pPr>
        <w:spacing w:line="560" w:lineRule="exact"/>
        <w:ind w:firstLine="619" w:firstLineChars="200"/>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（四）项目批复。</w:t>
      </w:r>
      <w:r>
        <w:rPr>
          <w:rFonts w:hint="eastAsia" w:ascii="Times New Roman" w:hAnsi="Times New Roman" w:eastAsia="仿宋_GB2312"/>
          <w:sz w:val="32"/>
          <w:szCs w:val="32"/>
        </w:rPr>
        <w:t>经县委农村工作</w:t>
      </w:r>
      <w:r>
        <w:rPr>
          <w:rFonts w:hint="eastAsia" w:ascii="Times New Roman" w:hAnsi="Times New Roman" w:eastAsia="仿宋_GB2312" w:cs="Times New Roman"/>
          <w:sz w:val="32"/>
          <w:szCs w:val="32"/>
        </w:rPr>
        <w:t>领导小组审定</w:t>
      </w:r>
      <w:r>
        <w:rPr>
          <w:rFonts w:hint="eastAsia" w:ascii="Times New Roman" w:hAnsi="Times New Roman" w:eastAsia="仿宋_GB2312" w:cs="Times New Roman"/>
          <w:sz w:val="32"/>
          <w:szCs w:val="32"/>
          <w:lang w:eastAsia="zh-CN"/>
        </w:rPr>
        <w:t>通过</w:t>
      </w:r>
      <w:r>
        <w:rPr>
          <w:rFonts w:hint="eastAsia" w:ascii="Times New Roman" w:hAnsi="Times New Roman" w:eastAsia="仿宋_GB2312" w:cs="Times New Roman"/>
          <w:sz w:val="32"/>
          <w:szCs w:val="32"/>
        </w:rPr>
        <w:t>的项目</w:t>
      </w:r>
      <w:r>
        <w:rPr>
          <w:rFonts w:ascii="Times New Roman" w:hAnsi="Times New Roman" w:eastAsia="仿宋_GB2312" w:cs="Times New Roman"/>
          <w:sz w:val="32"/>
          <w:szCs w:val="32"/>
        </w:rPr>
        <w:t>在县级政府门户网站上</w:t>
      </w:r>
      <w:r>
        <w:rPr>
          <w:rFonts w:hint="eastAsia" w:ascii="Times New Roman" w:hAnsi="Times New Roman" w:eastAsia="仿宋_GB2312" w:cs="Times New Roman"/>
          <w:sz w:val="32"/>
          <w:szCs w:val="32"/>
          <w:lang w:eastAsia="zh-CN"/>
        </w:rPr>
        <w:t>进行</w:t>
      </w:r>
      <w:r>
        <w:rPr>
          <w:rFonts w:ascii="Times New Roman" w:hAnsi="Times New Roman" w:eastAsia="仿宋_GB2312" w:cs="Times New Roman"/>
          <w:sz w:val="32"/>
          <w:szCs w:val="32"/>
        </w:rPr>
        <w:t>公示，公示无异议</w:t>
      </w:r>
      <w:r>
        <w:rPr>
          <w:rFonts w:ascii="Times New Roman" w:hAnsi="Times New Roman" w:eastAsia="仿宋_GB2312"/>
          <w:sz w:val="32"/>
          <w:szCs w:val="32"/>
        </w:rPr>
        <w:t>后，下达批复意</w:t>
      </w:r>
      <w:r>
        <w:rPr>
          <w:rFonts w:ascii="Times New Roman" w:hAnsi="Times New Roman" w:eastAsia="仿宋_GB2312" w:cs="Times New Roman"/>
          <w:sz w:val="32"/>
          <w:szCs w:val="32"/>
        </w:rPr>
        <w:t>见并在县级政府门户网站上公告</w:t>
      </w:r>
      <w:r>
        <w:rPr>
          <w:rFonts w:hint="eastAsia" w:ascii="Times New Roman" w:hAnsi="Times New Roman" w:eastAsia="仿宋_GB2312" w:cs="Times New Roman"/>
          <w:sz w:val="32"/>
          <w:szCs w:val="32"/>
          <w:lang w:eastAsia="zh-CN"/>
        </w:rPr>
        <w:t>。</w:t>
      </w:r>
    </w:p>
    <w:p>
      <w:pPr>
        <w:pStyle w:val="5"/>
        <w:keepNext w:val="0"/>
        <w:keepLines w:val="0"/>
        <w:pageBreakBefore w:val="0"/>
        <w:kinsoku/>
        <w:wordWrap/>
        <w:overflowPunct/>
        <w:topLinePunct w:val="0"/>
        <w:bidi w:val="0"/>
        <w:spacing w:line="560" w:lineRule="exact"/>
        <w:ind w:firstLine="640"/>
        <w:textAlignment w:val="auto"/>
        <w:rPr>
          <w:rFonts w:ascii="仿宋_GB2312" w:hAnsi="仿宋_GB2312" w:eastAsia="仿宋_GB2312" w:cs="仿宋_GB2312"/>
          <w:sz w:val="32"/>
          <w:szCs w:val="32"/>
        </w:rPr>
      </w:pPr>
      <w:r>
        <w:rPr>
          <w:rFonts w:hint="eastAsia" w:ascii="楷体_GB2312" w:hAnsi="楷体" w:eastAsia="楷体_GB2312" w:cs="楷体"/>
          <w:b/>
          <w:bCs/>
          <w:color w:val="auto"/>
          <w:spacing w:val="-6"/>
          <w:sz w:val="32"/>
          <w:szCs w:val="32"/>
          <w:highlight w:val="none"/>
        </w:rPr>
        <w:t>（五）项目实施。</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责任单位</w:t>
      </w:r>
      <w:r>
        <w:rPr>
          <w:rFonts w:hint="eastAsia" w:ascii="仿宋_GB2312" w:hAnsi="仿宋_GB2312" w:eastAsia="仿宋_GB2312" w:cs="仿宋_GB2312"/>
          <w:sz w:val="32"/>
          <w:szCs w:val="32"/>
        </w:rPr>
        <w:t>组织项目实施，在实施过程中，要严格执行工程项目招投标制或政府采购制、工程监理制、部门报账制、绩效目标管理制等相关制度规定，对工程质量、进度和绩效目标负责。</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ascii="仿宋" w:hAnsi="仿宋" w:eastAsia="仿宋"/>
          <w:color w:val="auto"/>
          <w:sz w:val="32"/>
          <w:szCs w:val="32"/>
          <w:highlight w:val="none"/>
        </w:rPr>
      </w:pPr>
      <w:r>
        <w:rPr>
          <w:rFonts w:hint="eastAsia" w:ascii="楷体_GB2312" w:hAnsi="楷体" w:eastAsia="楷体_GB2312" w:cs="楷体"/>
          <w:b/>
          <w:bCs/>
          <w:color w:val="auto"/>
          <w:spacing w:val="-6"/>
          <w:sz w:val="32"/>
          <w:szCs w:val="32"/>
          <w:highlight w:val="none"/>
        </w:rPr>
        <w:t>（六）项目验收。</w:t>
      </w:r>
      <w:r>
        <w:rPr>
          <w:rFonts w:hint="eastAsia" w:ascii="仿宋_GB2312" w:hAnsi="仿宋" w:eastAsia="仿宋_GB2312" w:cs="仿宋"/>
          <w:color w:val="auto"/>
          <w:sz w:val="32"/>
          <w:szCs w:val="32"/>
          <w:highlight w:val="none"/>
        </w:rPr>
        <w:t>项目竣工后，由项目主管部门组织项目验收，重大项目可聘请有资质的第三方验收。</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（七）资金拨付。</w:t>
      </w:r>
      <w:r>
        <w:rPr>
          <w:rFonts w:hint="eastAsia" w:ascii="仿宋_GB2312" w:hAnsi="仿宋" w:eastAsia="仿宋_GB2312" w:cs="仿宋"/>
          <w:color w:val="auto"/>
          <w:sz w:val="32"/>
          <w:szCs w:val="32"/>
          <w:highlight w:val="none"/>
        </w:rPr>
        <w:t>资金拨付由项目主管部门按照工程进度及验收情况报县财政部门，财政部门授权支付到项目主管部门和乡镇，项目主管部门对项目的资料完整性负责。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color w:val="auto"/>
          <w:sz w:val="32"/>
          <w:szCs w:val="32"/>
          <w:highlight w:val="none"/>
        </w:rPr>
      </w:pPr>
      <w:r>
        <w:rPr>
          <w:rFonts w:hint="eastAsia" w:ascii="黑体" w:eastAsia="黑体"/>
          <w:color w:val="auto"/>
          <w:sz w:val="32"/>
          <w:szCs w:val="32"/>
          <w:highlight w:val="none"/>
        </w:rPr>
        <w:t>五、组织保障</w:t>
      </w:r>
    </w:p>
    <w:p>
      <w:pPr>
        <w:pStyle w:val="18"/>
        <w:keepNext w:val="0"/>
        <w:keepLines w:val="0"/>
        <w:pageBreakBefore w:val="0"/>
        <w:widowControl w:val="0"/>
        <w:kinsoku/>
        <w:wordWrap/>
        <w:overflowPunct/>
        <w:topLinePunct w:val="0"/>
        <w:autoSpaceDE/>
        <w:autoSpaceDN/>
        <w:bidi w:val="0"/>
        <w:adjustRightInd/>
        <w:snapToGrid/>
        <w:spacing w:line="560" w:lineRule="exact"/>
        <w:ind w:firstLine="31680"/>
        <w:textAlignment w:val="auto"/>
        <w:rPr>
          <w:rFonts w:hint="eastAsia" w:ascii="Times New Roman" w:hAnsi="Times New Roman" w:eastAsia="仿宋_GB2312" w:cs="宋体"/>
          <w:sz w:val="32"/>
          <w:szCs w:val="32"/>
          <w:shd w:val="clear" w:color="auto" w:fill="FFFFFF"/>
        </w:rPr>
      </w:pPr>
      <w:r>
        <w:rPr>
          <w:rFonts w:hint="eastAsia" w:ascii="楷体_GB2312" w:hAnsi="楷体" w:eastAsia="楷体_GB2312" w:cs="楷体"/>
          <w:b/>
          <w:bCs/>
          <w:color w:val="auto"/>
          <w:spacing w:val="-6"/>
          <w:sz w:val="32"/>
          <w:szCs w:val="32"/>
          <w:highlight w:val="none"/>
        </w:rPr>
        <w:t>（一）加强组织领导。</w:t>
      </w:r>
      <w:r>
        <w:rPr>
          <w:rFonts w:hint="eastAsia" w:ascii="Times New Roman" w:hAnsi="Times New Roman" w:eastAsia="仿宋_GB2312" w:cs="Times New Roman"/>
          <w:sz w:val="32"/>
          <w:szCs w:val="32"/>
          <w:lang w:eastAsia="zh-CN"/>
        </w:rPr>
        <w:t>县巩固巩固拓展脱贫攻坚成果领导小组、</w:t>
      </w:r>
      <w:r>
        <w:rPr>
          <w:rFonts w:hint="eastAsia" w:ascii="Times New Roman" w:hAnsi="Times New Roman" w:eastAsia="仿宋_GB2312" w:cs="Times New Roman"/>
          <w:sz w:val="32"/>
          <w:szCs w:val="32"/>
        </w:rPr>
        <w:t>县委农村工作领导小组</w:t>
      </w:r>
      <w:r>
        <w:rPr>
          <w:rFonts w:hint="eastAsia" w:eastAsia="仿宋_GB2312" w:cs="Times New Roman"/>
          <w:sz w:val="32"/>
          <w:szCs w:val="32"/>
          <w:lang w:eastAsia="zh-CN"/>
        </w:rPr>
        <w:t>，</w:t>
      </w:r>
      <w:r>
        <w:rPr>
          <w:rFonts w:hint="eastAsia" w:ascii="Times New Roman" w:hAnsi="Times New Roman" w:eastAsia="仿宋_GB2312" w:cs="宋体"/>
          <w:sz w:val="32"/>
          <w:szCs w:val="32"/>
          <w:shd w:val="clear" w:color="auto" w:fill="FFFFFF"/>
        </w:rPr>
        <w:t>切实加强</w:t>
      </w:r>
      <w:r>
        <w:rPr>
          <w:rFonts w:hint="eastAsia" w:ascii="Times New Roman" w:hAnsi="Times New Roman" w:eastAsia="仿宋_GB2312" w:cs="宋体"/>
          <w:sz w:val="32"/>
          <w:szCs w:val="32"/>
          <w:shd w:val="clear" w:color="auto" w:fill="FFFFFF"/>
          <w:lang w:eastAsia="zh-CN"/>
        </w:rPr>
        <w:t>小组职能</w:t>
      </w:r>
      <w:r>
        <w:rPr>
          <w:rFonts w:hint="eastAsia" w:ascii="Times New Roman" w:hAnsi="Times New Roman" w:eastAsia="仿宋_GB2312" w:cs="宋体"/>
          <w:sz w:val="32"/>
          <w:szCs w:val="32"/>
          <w:shd w:val="clear" w:color="auto" w:fill="FFFFFF"/>
        </w:rPr>
        <w:t>，统筹协调各部门，及时研究处理</w:t>
      </w:r>
      <w:r>
        <w:rPr>
          <w:rFonts w:hint="eastAsia" w:ascii="Times New Roman" w:hAnsi="Times New Roman" w:eastAsia="仿宋_GB2312" w:cs="宋体"/>
          <w:sz w:val="32"/>
          <w:szCs w:val="32"/>
          <w:shd w:val="clear" w:color="auto" w:fill="FFFFFF"/>
          <w:lang w:eastAsia="zh-CN"/>
        </w:rPr>
        <w:t>衔接</w:t>
      </w:r>
      <w:r>
        <w:rPr>
          <w:rFonts w:hint="eastAsia" w:ascii="Times New Roman" w:hAnsi="Times New Roman" w:eastAsia="仿宋_GB2312" w:cs="宋体"/>
          <w:sz w:val="32"/>
          <w:szCs w:val="32"/>
          <w:shd w:val="clear" w:color="auto" w:fill="FFFFFF"/>
        </w:rPr>
        <w:t>资金具体操作层面遇到的问题，确保各项措施落实到位。</w:t>
      </w:r>
    </w:p>
    <w:p>
      <w:pPr>
        <w:pStyle w:val="18"/>
        <w:keepNext w:val="0"/>
        <w:keepLines w:val="0"/>
        <w:pageBreakBefore w:val="0"/>
        <w:widowControl w:val="0"/>
        <w:kinsoku/>
        <w:wordWrap/>
        <w:overflowPunct/>
        <w:topLinePunct w:val="0"/>
        <w:autoSpaceDE/>
        <w:autoSpaceDN/>
        <w:bidi w:val="0"/>
        <w:adjustRightInd/>
        <w:snapToGrid/>
        <w:spacing w:line="560" w:lineRule="exact"/>
        <w:ind w:firstLine="3168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（二）严格程序，规范运行。</w:t>
      </w:r>
      <w:r>
        <w:rPr>
          <w:rFonts w:hint="eastAsia" w:ascii="仿宋_GB2312" w:hAnsi="仿宋" w:eastAsia="仿宋_GB2312" w:cs="仿宋"/>
          <w:color w:val="auto"/>
          <w:sz w:val="32"/>
          <w:szCs w:val="32"/>
          <w:highlight w:val="none"/>
        </w:rPr>
        <w:t>在财政</w:t>
      </w:r>
      <w:r>
        <w:rPr>
          <w:rFonts w:hint="eastAsia" w:ascii="仿宋_GB2312" w:hAnsi="仿宋" w:eastAsia="仿宋_GB2312" w:cs="仿宋"/>
          <w:color w:val="auto"/>
          <w:sz w:val="32"/>
          <w:szCs w:val="32"/>
          <w:highlight w:val="none"/>
          <w:lang w:eastAsia="zh-CN"/>
        </w:rPr>
        <w:t>衔接资金</w:t>
      </w:r>
      <w:r>
        <w:rPr>
          <w:rFonts w:hint="eastAsia" w:ascii="仿宋_GB2312" w:hAnsi="仿宋" w:eastAsia="仿宋_GB2312" w:cs="仿宋"/>
          <w:color w:val="auto"/>
          <w:sz w:val="32"/>
          <w:szCs w:val="32"/>
          <w:highlight w:val="none"/>
        </w:rPr>
        <w:t>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（三）信息公开，加强监管。</w:t>
      </w:r>
      <w:r>
        <w:rPr>
          <w:rFonts w:hint="eastAsia" w:ascii="仿宋_GB2312" w:hAnsi="仿宋" w:eastAsia="仿宋_GB2312" w:cs="仿宋"/>
          <w:color w:val="auto"/>
          <w:sz w:val="32"/>
          <w:szCs w:val="32"/>
          <w:highlight w:val="none"/>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pPr>
        <w:pStyle w:val="18"/>
        <w:keepNext w:val="0"/>
        <w:keepLines w:val="0"/>
        <w:pageBreakBefore w:val="0"/>
        <w:widowControl w:val="0"/>
        <w:kinsoku/>
        <w:wordWrap/>
        <w:overflowPunct/>
        <w:topLinePunct w:val="0"/>
        <w:autoSpaceDE/>
        <w:autoSpaceDN/>
        <w:bidi w:val="0"/>
        <w:adjustRightInd/>
        <w:snapToGrid/>
        <w:spacing w:line="560" w:lineRule="exact"/>
        <w:ind w:firstLine="3168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（四）完善绩效考评</w:t>
      </w:r>
      <w:r>
        <w:rPr>
          <w:rFonts w:hint="eastAsia" w:ascii="楷体" w:hAnsi="楷体" w:eastAsia="楷体" w:cs="楷体"/>
          <w:b/>
          <w:bCs/>
          <w:color w:val="auto"/>
          <w:spacing w:val="-6"/>
          <w:sz w:val="32"/>
          <w:szCs w:val="32"/>
          <w:highlight w:val="none"/>
        </w:rPr>
        <w:t>。</w:t>
      </w:r>
      <w:r>
        <w:rPr>
          <w:rFonts w:hint="eastAsia" w:ascii="仿宋_GB2312" w:hAnsi="仿宋" w:eastAsia="仿宋_GB2312" w:cs="仿宋"/>
          <w:color w:val="auto"/>
          <w:sz w:val="32"/>
          <w:szCs w:val="32"/>
          <w:highlight w:val="none"/>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pPr>
        <w:pStyle w:val="18"/>
        <w:keepNext w:val="0"/>
        <w:keepLines w:val="0"/>
        <w:pageBreakBefore w:val="0"/>
        <w:widowControl w:val="0"/>
        <w:kinsoku/>
        <w:wordWrap/>
        <w:overflowPunct/>
        <w:topLinePunct w:val="0"/>
        <w:autoSpaceDE/>
        <w:autoSpaceDN/>
        <w:bidi w:val="0"/>
        <w:adjustRightInd/>
        <w:snapToGrid/>
        <w:spacing w:line="560" w:lineRule="exact"/>
        <w:ind w:firstLine="31680"/>
        <w:textAlignment w:val="auto"/>
        <w:rPr>
          <w:rFonts w:hint="eastAsia" w:ascii="仿宋_GB2312" w:hAnsi="仿宋" w:eastAsia="仿宋_GB2312" w:cs="仿宋"/>
          <w:color w:val="auto"/>
          <w:sz w:val="32"/>
          <w:szCs w:val="32"/>
          <w:highlight w:val="none"/>
          <w:lang w:eastAsia="zh-CN"/>
        </w:rPr>
      </w:pPr>
      <w:r>
        <w:rPr>
          <w:rFonts w:hint="eastAsia" w:ascii="仿宋_GB2312" w:hAnsi="仿宋" w:eastAsia="仿宋_GB2312" w:cs="仿宋"/>
          <w:color w:val="auto"/>
          <w:sz w:val="32"/>
          <w:szCs w:val="32"/>
          <w:highlight w:val="none"/>
        </w:rPr>
        <w:t>附件</w:t>
      </w:r>
      <w:r>
        <w:rPr>
          <w:rFonts w:hint="eastAsia" w:ascii="仿宋_GB2312" w:hAnsi="仿宋" w:eastAsia="仿宋_GB2312" w:cs="仿宋"/>
          <w:color w:val="auto"/>
          <w:sz w:val="32"/>
          <w:szCs w:val="32"/>
          <w:highlight w:val="none"/>
          <w:lang w:val="en-US" w:eastAsia="zh-CN"/>
        </w:rPr>
        <w:t>1</w:t>
      </w:r>
      <w:r>
        <w:rPr>
          <w:rFonts w:hint="eastAsia" w:ascii="仿宋_GB2312" w:hAnsi="仿宋" w:eastAsia="仿宋_GB2312" w:cs="仿宋"/>
          <w:color w:val="auto"/>
          <w:sz w:val="32"/>
          <w:szCs w:val="32"/>
          <w:highlight w:val="none"/>
        </w:rPr>
        <w:t>：涞源县2024年度财政衔接资金项目计划</w:t>
      </w:r>
      <w:r>
        <w:rPr>
          <w:rFonts w:hint="eastAsia" w:ascii="仿宋_GB2312" w:hAnsi="仿宋" w:eastAsia="仿宋_GB2312" w:cs="仿宋"/>
          <w:color w:val="auto"/>
          <w:sz w:val="32"/>
          <w:szCs w:val="32"/>
          <w:highlight w:val="none"/>
          <w:lang w:eastAsia="zh-CN"/>
        </w:rPr>
        <w:t>。</w:t>
      </w:r>
    </w:p>
    <w:p>
      <w:pPr>
        <w:pStyle w:val="18"/>
        <w:keepNext w:val="0"/>
        <w:keepLines w:val="0"/>
        <w:pageBreakBefore w:val="0"/>
        <w:widowControl w:val="0"/>
        <w:kinsoku/>
        <w:wordWrap/>
        <w:overflowPunct/>
        <w:topLinePunct w:val="0"/>
        <w:autoSpaceDE/>
        <w:autoSpaceDN/>
        <w:bidi w:val="0"/>
        <w:adjustRightInd/>
        <w:snapToGrid/>
        <w:spacing w:line="560" w:lineRule="exact"/>
        <w:ind w:firstLine="31680"/>
        <w:textAlignment w:val="auto"/>
        <w:rPr>
          <w:rFonts w:hint="default" w:ascii="仿宋_GB2312" w:hAnsi="仿宋" w:eastAsia="仿宋_GB2312" w:cs="仿宋"/>
          <w:color w:val="auto"/>
          <w:sz w:val="32"/>
          <w:szCs w:val="32"/>
          <w:highlight w:val="none"/>
          <w:lang w:val="en-US" w:eastAsia="zh-CN"/>
        </w:rPr>
      </w:pPr>
      <w:r>
        <w:rPr>
          <w:rFonts w:hint="eastAsia" w:ascii="仿宋_GB2312" w:hAnsi="仿宋" w:eastAsia="仿宋_GB2312" w:cs="仿宋"/>
          <w:color w:val="auto"/>
          <w:sz w:val="32"/>
          <w:szCs w:val="32"/>
          <w:highlight w:val="none"/>
          <w:lang w:eastAsia="zh-CN"/>
        </w:rPr>
        <w:t>附件</w:t>
      </w:r>
      <w:r>
        <w:rPr>
          <w:rFonts w:hint="eastAsia" w:ascii="仿宋_GB2312" w:hAnsi="仿宋" w:eastAsia="仿宋_GB2312" w:cs="仿宋"/>
          <w:color w:val="auto"/>
          <w:sz w:val="32"/>
          <w:szCs w:val="32"/>
          <w:highlight w:val="none"/>
          <w:lang w:val="en-US" w:eastAsia="zh-CN"/>
        </w:rPr>
        <w:t>2：</w:t>
      </w:r>
      <w:r>
        <w:rPr>
          <w:rFonts w:hint="eastAsia" w:ascii="仿宋_GB2312" w:hAnsi="仿宋" w:eastAsia="仿宋_GB2312" w:cs="仿宋"/>
          <w:color w:val="auto"/>
          <w:sz w:val="32"/>
          <w:szCs w:val="32"/>
          <w:highlight w:val="none"/>
        </w:rPr>
        <w:t>涞源县</w:t>
      </w:r>
      <w:r>
        <w:rPr>
          <w:rFonts w:hint="eastAsia" w:ascii="仿宋_GB2312" w:hAnsi="仿宋" w:eastAsia="仿宋_GB2312" w:cs="仿宋"/>
          <w:color w:val="auto"/>
          <w:sz w:val="32"/>
          <w:szCs w:val="32"/>
          <w:highlight w:val="none"/>
          <w:lang w:val="en-US" w:eastAsia="zh-CN"/>
        </w:rPr>
        <w:t>2024年度衔接资金使用计划统计表。</w:t>
      </w:r>
    </w:p>
    <w:p>
      <w:pPr>
        <w:pStyle w:val="2"/>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pPr>
        <w:rPr>
          <w:rFonts w:ascii="楷体_GB2312" w:hAnsi="仿宋_GB2312" w:eastAsia="楷体_GB2312" w:cs="仿宋_GB2312"/>
          <w:color w:val="auto"/>
          <w:kern w:val="0"/>
          <w:sz w:val="28"/>
          <w:szCs w:val="28"/>
          <w:u w:val="single"/>
        </w:rPr>
      </w:pPr>
    </w:p>
    <w:p>
      <w:pPr>
        <w:pStyle w:val="2"/>
      </w:pPr>
    </w:p>
    <w:p>
      <w:pPr>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pPr>
        <w:pStyle w:val="2"/>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pPr>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pPr>
        <w:keepNext w:val="0"/>
        <w:keepLines w:val="0"/>
        <w:pageBreakBefore w:val="0"/>
        <w:kinsoku/>
        <w:wordWrap/>
        <w:overflowPunct/>
        <w:topLinePunct w:val="0"/>
        <w:bidi w:val="0"/>
        <w:adjustRightInd w:val="0"/>
        <w:snapToGrid w:val="0"/>
        <w:spacing w:line="560" w:lineRule="exact"/>
        <w:textAlignment w:val="auto"/>
        <w:rPr>
          <w:rFonts w:ascii="楷体" w:hAnsi="楷体" w:eastAsia="楷体" w:cs="仿宋_GB2312"/>
          <w:color w:val="auto"/>
          <w:kern w:val="0"/>
          <w:sz w:val="28"/>
          <w:szCs w:val="28"/>
          <w:u w:val="single"/>
        </w:rPr>
      </w:pPr>
      <w:r>
        <w:rPr>
          <w:rFonts w:ascii="楷体_GB2312" w:hAnsi="仿宋_GB2312" w:eastAsia="楷体_GB2312" w:cs="仿宋_GB2312"/>
          <w:color w:val="auto"/>
          <w:kern w:val="0"/>
          <w:sz w:val="28"/>
          <w:szCs w:val="28"/>
          <w:u w:val="single"/>
        </w:rPr>
        <w:t xml:space="preserve">                                            </w:t>
      </w:r>
      <w:r>
        <w:rPr>
          <w:rFonts w:ascii="楷体" w:hAnsi="楷体" w:eastAsia="楷体" w:cs="仿宋_GB2312"/>
          <w:color w:val="auto"/>
          <w:kern w:val="0"/>
          <w:sz w:val="28"/>
          <w:szCs w:val="28"/>
          <w:u w:val="single"/>
        </w:rPr>
        <w:t xml:space="preserve">                   </w:t>
      </w:r>
    </w:p>
    <w:p>
      <w:pPr>
        <w:keepNext w:val="0"/>
        <w:keepLines w:val="0"/>
        <w:pageBreakBefore w:val="0"/>
        <w:kinsoku/>
        <w:wordWrap/>
        <w:overflowPunct/>
        <w:topLinePunct w:val="0"/>
        <w:bidi w:val="0"/>
        <w:spacing w:line="560" w:lineRule="exact"/>
        <w:textAlignment w:val="auto"/>
        <w:rPr>
          <w:rFonts w:ascii="仿宋" w:hAnsi="仿宋" w:eastAsia="仿宋" w:cs="仿宋"/>
          <w:color w:val="auto"/>
          <w:sz w:val="32"/>
          <w:szCs w:val="32"/>
        </w:rPr>
      </w:pPr>
      <w:r>
        <w:rPr>
          <w:rFonts w:ascii="楷体" w:hAnsi="楷体" w:eastAsia="楷体" w:cs="仿宋_GB2312"/>
          <w:color w:val="auto"/>
          <w:kern w:val="0"/>
          <w:sz w:val="28"/>
          <w:szCs w:val="28"/>
          <w:u w:val="single"/>
        </w:rPr>
        <w:t xml:space="preserve"> </w:t>
      </w:r>
      <w:r>
        <w:rPr>
          <w:rFonts w:hint="eastAsia" w:ascii="楷体" w:hAnsi="楷体" w:eastAsia="楷体" w:cs="仿宋_GB2312"/>
          <w:color w:val="auto"/>
          <w:kern w:val="0"/>
          <w:sz w:val="28"/>
          <w:szCs w:val="28"/>
          <w:u w:val="single"/>
        </w:rPr>
        <w:t>涞源县人民政府办公室</w:t>
      </w:r>
      <w:r>
        <w:rPr>
          <w:rFonts w:ascii="楷体" w:hAnsi="楷体" w:eastAsia="楷体" w:cs="仿宋_GB2312"/>
          <w:color w:val="auto"/>
          <w:kern w:val="0"/>
          <w:sz w:val="28"/>
          <w:szCs w:val="28"/>
          <w:u w:val="single"/>
        </w:rPr>
        <w:t xml:space="preserve">                </w:t>
      </w:r>
      <w:r>
        <w:rPr>
          <w:rFonts w:ascii="楷体" w:hAnsi="楷体" w:eastAsia="楷体" w:cs="仿宋_GB2312"/>
          <w:color w:val="auto"/>
          <w:kern w:val="0"/>
          <w:sz w:val="28"/>
          <w:szCs w:val="28"/>
          <w:highlight w:val="yellow"/>
          <w:u w:val="single"/>
        </w:rPr>
        <w:t xml:space="preserve"> 202</w:t>
      </w:r>
      <w:r>
        <w:rPr>
          <w:rFonts w:hint="eastAsia" w:ascii="楷体" w:hAnsi="楷体" w:eastAsia="楷体" w:cs="仿宋_GB2312"/>
          <w:color w:val="auto"/>
          <w:kern w:val="0"/>
          <w:sz w:val="28"/>
          <w:szCs w:val="28"/>
          <w:highlight w:val="yellow"/>
          <w:u w:val="single"/>
          <w:lang w:val="en-US" w:eastAsia="zh-CN"/>
        </w:rPr>
        <w:t>4</w:t>
      </w:r>
      <w:r>
        <w:rPr>
          <w:rFonts w:hint="eastAsia" w:ascii="楷体" w:hAnsi="楷体" w:eastAsia="楷体" w:cs="仿宋_GB2312"/>
          <w:color w:val="auto"/>
          <w:kern w:val="0"/>
          <w:sz w:val="28"/>
          <w:szCs w:val="28"/>
          <w:highlight w:val="yellow"/>
          <w:u w:val="single"/>
        </w:rPr>
        <w:t>年</w:t>
      </w:r>
      <w:r>
        <w:rPr>
          <w:rFonts w:hint="eastAsia" w:ascii="楷体" w:hAnsi="楷体" w:eastAsia="楷体" w:cs="仿宋_GB2312"/>
          <w:color w:val="auto"/>
          <w:kern w:val="0"/>
          <w:sz w:val="28"/>
          <w:szCs w:val="28"/>
          <w:highlight w:val="yellow"/>
          <w:u w:val="single"/>
          <w:lang w:val="en-US" w:eastAsia="zh-CN"/>
        </w:rPr>
        <w:t>3</w:t>
      </w:r>
      <w:r>
        <w:rPr>
          <w:rFonts w:hint="eastAsia" w:ascii="楷体" w:hAnsi="楷体" w:eastAsia="楷体" w:cs="仿宋_GB2312"/>
          <w:color w:val="auto"/>
          <w:kern w:val="0"/>
          <w:sz w:val="28"/>
          <w:szCs w:val="28"/>
          <w:highlight w:val="yellow"/>
          <w:u w:val="single"/>
        </w:rPr>
        <w:t>月</w:t>
      </w:r>
      <w:r>
        <w:rPr>
          <w:rFonts w:hint="eastAsia" w:ascii="楷体" w:hAnsi="楷体" w:eastAsia="楷体" w:cs="仿宋_GB2312"/>
          <w:color w:val="auto"/>
          <w:kern w:val="0"/>
          <w:sz w:val="28"/>
          <w:szCs w:val="28"/>
          <w:highlight w:val="yellow"/>
          <w:u w:val="single"/>
          <w:lang w:val="en-US" w:eastAsia="zh-CN"/>
        </w:rPr>
        <w:t>XX</w:t>
      </w:r>
      <w:r>
        <w:rPr>
          <w:rFonts w:hint="eastAsia" w:ascii="楷体" w:hAnsi="楷体" w:eastAsia="楷体" w:cs="仿宋_GB2312"/>
          <w:color w:val="auto"/>
          <w:kern w:val="0"/>
          <w:sz w:val="28"/>
          <w:szCs w:val="28"/>
          <w:highlight w:val="yellow"/>
          <w:u w:val="single"/>
        </w:rPr>
        <w:t>日印发</w:t>
      </w:r>
      <w:r>
        <w:rPr>
          <w:rFonts w:ascii="楷体" w:hAnsi="楷体" w:eastAsia="楷体" w:cs="仿宋_GB2312"/>
          <w:color w:val="auto"/>
          <w:kern w:val="0"/>
          <w:sz w:val="28"/>
          <w:szCs w:val="28"/>
          <w:u w:val="single"/>
        </w:rPr>
        <w:t xml:space="preserve">      </w:t>
      </w:r>
    </w:p>
    <w:sectPr>
      <w:headerReference r:id="rId3" w:type="default"/>
      <w:footerReference r:id="rId4" w:type="default"/>
      <w:footerReference r:id="rId5" w:type="even"/>
      <w:pgSz w:w="11906" w:h="16838"/>
      <w:pgMar w:top="1270" w:right="1800" w:bottom="1270" w:left="1800" w:header="851" w:footer="51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BF316A-D257-4D62-A09A-6A56A4ABCF8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17E4BA9A-7D9D-4596-A44E-4332EDC207A4}"/>
  </w:font>
  <w:font w:name="Cambria">
    <w:panose1 w:val="02040503050406030204"/>
    <w:charset w:val="00"/>
    <w:family w:val="roman"/>
    <w:pitch w:val="default"/>
    <w:sig w:usb0="E00002FF" w:usb1="400004FF" w:usb2="00000000" w:usb3="00000000" w:csb0="2000019F" w:csb1="00000000"/>
  </w:font>
  <w:font w:name="方正仿宋_GBK">
    <w:altName w:val="微软雅黑"/>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705EE009-BEE7-4E86-92D6-76470026F28A}"/>
  </w:font>
  <w:font w:name="仿宋">
    <w:panose1 w:val="02010609060101010101"/>
    <w:charset w:val="86"/>
    <w:family w:val="modern"/>
    <w:pitch w:val="default"/>
    <w:sig w:usb0="800002BF" w:usb1="38CF7CFA" w:usb2="00000016" w:usb3="00000000" w:csb0="00040001" w:csb1="00000000"/>
    <w:embedRegular r:id="rId4" w:fontKey="{AE16B261-A3E2-4DAA-9D90-880EE3C31399}"/>
  </w:font>
  <w:font w:name="方正小标宋简体">
    <w:panose1 w:val="02000000000000000000"/>
    <w:charset w:val="86"/>
    <w:family w:val="auto"/>
    <w:pitch w:val="default"/>
    <w:sig w:usb0="00000001" w:usb1="08000000" w:usb2="00000000" w:usb3="00000000" w:csb0="00040000" w:csb1="00000000"/>
    <w:embedRegular r:id="rId5" w:fontKey="{F72B9535-210E-4966-8955-4D3E04EF491F}"/>
  </w:font>
  <w:font w:name="楷体">
    <w:panose1 w:val="02010609060101010101"/>
    <w:charset w:val="86"/>
    <w:family w:val="modern"/>
    <w:pitch w:val="default"/>
    <w:sig w:usb0="800002BF" w:usb1="38CF7CFA" w:usb2="00000016" w:usb3="00000000" w:csb0="00040001" w:csb1="00000000"/>
    <w:embedRegular r:id="rId6" w:fontKey="{34FDFECE-39B4-437D-A3E3-C023B61921B2}"/>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separate"/>
    </w:r>
    <w:r>
      <w:rPr>
        <w:rStyle w:val="12"/>
      </w:rPr>
      <w:t>- 1 -</w:t>
    </w:r>
    <w:r>
      <w:rPr>
        <w:rStyle w:val="12"/>
      </w:rPr>
      <w:fldChar w:fldCharType="end"/>
    </w:r>
  </w:p>
  <w:p>
    <w:pPr>
      <w:pStyle w:val="3"/>
      <w:bidi w:val="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cs="Times New Roman"/>
      </w:rPr>
    </w:lvl>
  </w:abstractNum>
  <w:abstractNum w:abstractNumId="1">
    <w:nsid w:val="E557BA99"/>
    <w:multiLevelType w:val="singleLevel"/>
    <w:tmpl w:val="E557BA99"/>
    <w:lvl w:ilvl="0" w:tentative="0">
      <w:start w:val="4"/>
      <w:numFmt w:val="chineseCounting"/>
      <w:suff w:val="nothing"/>
      <w:lvlText w:val="%1、"/>
      <w:lvlJc w:val="left"/>
      <w:rPr>
        <w:rFonts w:hint="eastAsia" w:cs="Times New Roman"/>
      </w:rPr>
    </w:lvl>
  </w:abstractNum>
  <w:abstractNum w:abstractNumId="2">
    <w:nsid w:val="74050B04"/>
    <w:multiLevelType w:val="singleLevel"/>
    <w:tmpl w:val="74050B04"/>
    <w:lvl w:ilvl="0" w:tentative="0">
      <w:start w:val="1"/>
      <w:numFmt w:val="chineseCounting"/>
      <w:suff w:val="nothing"/>
      <w:lvlText w:val="%1、"/>
      <w:lvlJc w:val="left"/>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NGI1MTQyOWY3ZDgyZWZlNTkxOTJlYTIyNTJkMzIifQ=="/>
  </w:docVars>
  <w:rsids>
    <w:rsidRoot w:val="557A343B"/>
    <w:rsid w:val="00442FB3"/>
    <w:rsid w:val="004B0E2E"/>
    <w:rsid w:val="007333FF"/>
    <w:rsid w:val="00956440"/>
    <w:rsid w:val="00D4782E"/>
    <w:rsid w:val="00E12A78"/>
    <w:rsid w:val="00E40D49"/>
    <w:rsid w:val="00F44F67"/>
    <w:rsid w:val="033B2C29"/>
    <w:rsid w:val="03812408"/>
    <w:rsid w:val="038757A9"/>
    <w:rsid w:val="04E6106A"/>
    <w:rsid w:val="05107E95"/>
    <w:rsid w:val="05BE6D15"/>
    <w:rsid w:val="06357858"/>
    <w:rsid w:val="063F547A"/>
    <w:rsid w:val="07342561"/>
    <w:rsid w:val="07AA45D1"/>
    <w:rsid w:val="08CC1C9C"/>
    <w:rsid w:val="08E73603"/>
    <w:rsid w:val="0A58372D"/>
    <w:rsid w:val="0B071D3B"/>
    <w:rsid w:val="0E070F87"/>
    <w:rsid w:val="0E9D6C3E"/>
    <w:rsid w:val="0EE7435D"/>
    <w:rsid w:val="0FC36648"/>
    <w:rsid w:val="0FF158B6"/>
    <w:rsid w:val="11DB2601"/>
    <w:rsid w:val="11F27D2E"/>
    <w:rsid w:val="11FE0054"/>
    <w:rsid w:val="132425AA"/>
    <w:rsid w:val="13683522"/>
    <w:rsid w:val="13C94031"/>
    <w:rsid w:val="151E65FF"/>
    <w:rsid w:val="15BE33C1"/>
    <w:rsid w:val="162B4ED3"/>
    <w:rsid w:val="17795D6E"/>
    <w:rsid w:val="17D37F3B"/>
    <w:rsid w:val="18D771F0"/>
    <w:rsid w:val="198578A7"/>
    <w:rsid w:val="1A402B73"/>
    <w:rsid w:val="1B373F76"/>
    <w:rsid w:val="1B98453F"/>
    <w:rsid w:val="1C6635DD"/>
    <w:rsid w:val="1CC77821"/>
    <w:rsid w:val="1CF27EDB"/>
    <w:rsid w:val="1E550E49"/>
    <w:rsid w:val="1E6C5D77"/>
    <w:rsid w:val="1EDD3086"/>
    <w:rsid w:val="1F7A08D5"/>
    <w:rsid w:val="1FE67436"/>
    <w:rsid w:val="21E20834"/>
    <w:rsid w:val="22717D6E"/>
    <w:rsid w:val="22980CA3"/>
    <w:rsid w:val="22B97967"/>
    <w:rsid w:val="22C87E53"/>
    <w:rsid w:val="23310D32"/>
    <w:rsid w:val="241919A4"/>
    <w:rsid w:val="258E3F0E"/>
    <w:rsid w:val="26086C3B"/>
    <w:rsid w:val="27574277"/>
    <w:rsid w:val="275A1718"/>
    <w:rsid w:val="296D5007"/>
    <w:rsid w:val="2B552B39"/>
    <w:rsid w:val="2B6637AE"/>
    <w:rsid w:val="2D1B54A6"/>
    <w:rsid w:val="2EBF5C53"/>
    <w:rsid w:val="2ED95618"/>
    <w:rsid w:val="2EF266DA"/>
    <w:rsid w:val="30C819F8"/>
    <w:rsid w:val="31336B36"/>
    <w:rsid w:val="324059AE"/>
    <w:rsid w:val="33802506"/>
    <w:rsid w:val="34190265"/>
    <w:rsid w:val="36651496"/>
    <w:rsid w:val="36A67F48"/>
    <w:rsid w:val="37E14DD2"/>
    <w:rsid w:val="37F25055"/>
    <w:rsid w:val="380D6333"/>
    <w:rsid w:val="388472DF"/>
    <w:rsid w:val="3A3A2CE3"/>
    <w:rsid w:val="3B9D177C"/>
    <w:rsid w:val="3BF05D4F"/>
    <w:rsid w:val="3C722C08"/>
    <w:rsid w:val="3D3B124C"/>
    <w:rsid w:val="3DD11BB1"/>
    <w:rsid w:val="3E815385"/>
    <w:rsid w:val="3F3B690A"/>
    <w:rsid w:val="3F8C2233"/>
    <w:rsid w:val="42B5776D"/>
    <w:rsid w:val="4303280C"/>
    <w:rsid w:val="436239D7"/>
    <w:rsid w:val="43A63911"/>
    <w:rsid w:val="449F0E14"/>
    <w:rsid w:val="457F1EF2"/>
    <w:rsid w:val="47A96AE2"/>
    <w:rsid w:val="4C0C3318"/>
    <w:rsid w:val="4DEF1478"/>
    <w:rsid w:val="4E38753D"/>
    <w:rsid w:val="4EA330F5"/>
    <w:rsid w:val="4F5F701C"/>
    <w:rsid w:val="5039786D"/>
    <w:rsid w:val="50680152"/>
    <w:rsid w:val="52F6132D"/>
    <w:rsid w:val="53787030"/>
    <w:rsid w:val="538B6611"/>
    <w:rsid w:val="543A1E06"/>
    <w:rsid w:val="54E3124D"/>
    <w:rsid w:val="557A343B"/>
    <w:rsid w:val="56B3765A"/>
    <w:rsid w:val="57BB325E"/>
    <w:rsid w:val="57F86260"/>
    <w:rsid w:val="582E1C82"/>
    <w:rsid w:val="591075D9"/>
    <w:rsid w:val="596F60AE"/>
    <w:rsid w:val="597B2CA5"/>
    <w:rsid w:val="59895CE9"/>
    <w:rsid w:val="5A0A3E5C"/>
    <w:rsid w:val="5A9E49E8"/>
    <w:rsid w:val="5AFF4DF5"/>
    <w:rsid w:val="5B3E6680"/>
    <w:rsid w:val="5C2313D1"/>
    <w:rsid w:val="5CEA0BA0"/>
    <w:rsid w:val="5ED26507"/>
    <w:rsid w:val="5F9436B0"/>
    <w:rsid w:val="5FC627A0"/>
    <w:rsid w:val="605A15A7"/>
    <w:rsid w:val="60DB04CD"/>
    <w:rsid w:val="60E9485E"/>
    <w:rsid w:val="60FD0443"/>
    <w:rsid w:val="61576566"/>
    <w:rsid w:val="619D5782"/>
    <w:rsid w:val="62592C98"/>
    <w:rsid w:val="64032214"/>
    <w:rsid w:val="647A6DA2"/>
    <w:rsid w:val="65340A90"/>
    <w:rsid w:val="66187ACD"/>
    <w:rsid w:val="66924AC5"/>
    <w:rsid w:val="66F916AD"/>
    <w:rsid w:val="6924128F"/>
    <w:rsid w:val="69B95123"/>
    <w:rsid w:val="69E44896"/>
    <w:rsid w:val="6B0A0E05"/>
    <w:rsid w:val="6BDF1119"/>
    <w:rsid w:val="6CAB429E"/>
    <w:rsid w:val="6D85139E"/>
    <w:rsid w:val="6DC31CB5"/>
    <w:rsid w:val="6E056B89"/>
    <w:rsid w:val="6E3557E7"/>
    <w:rsid w:val="74312486"/>
    <w:rsid w:val="74864BB2"/>
    <w:rsid w:val="75722D56"/>
    <w:rsid w:val="762F50EB"/>
    <w:rsid w:val="767D7C04"/>
    <w:rsid w:val="76D33CC8"/>
    <w:rsid w:val="772779E0"/>
    <w:rsid w:val="779E42D6"/>
    <w:rsid w:val="77B07B65"/>
    <w:rsid w:val="77C1415C"/>
    <w:rsid w:val="77D10CE5"/>
    <w:rsid w:val="7B5730E1"/>
    <w:rsid w:val="7C29710F"/>
    <w:rsid w:val="7CB41E8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5"/>
    <w:autoRedefine/>
    <w:qFormat/>
    <w:uiPriority w:val="99"/>
    <w:pPr>
      <w:spacing w:line="480" w:lineRule="exact"/>
    </w:pPr>
    <w:rPr>
      <w:rFonts w:ascii="宋体" w:hAnsi="宋体"/>
      <w:sz w:val="28"/>
    </w:rPr>
  </w:style>
  <w:style w:type="paragraph" w:styleId="3">
    <w:name w:val="footer"/>
    <w:basedOn w:val="1"/>
    <w:next w:val="1"/>
    <w:link w:val="16"/>
    <w:autoRedefine/>
    <w:qFormat/>
    <w:uiPriority w:val="99"/>
    <w:pPr>
      <w:tabs>
        <w:tab w:val="center" w:pos="4153"/>
        <w:tab w:val="right" w:pos="8306"/>
      </w:tabs>
      <w:snapToGrid w:val="0"/>
      <w:jc w:val="left"/>
    </w:pPr>
    <w:rPr>
      <w:sz w:val="18"/>
    </w:rPr>
  </w:style>
  <w:style w:type="paragraph" w:styleId="5">
    <w:name w:val="Normal Indent"/>
    <w:basedOn w:val="1"/>
    <w:autoRedefine/>
    <w:qFormat/>
    <w:uiPriority w:val="99"/>
    <w:pPr>
      <w:ind w:firstLine="420" w:firstLineChars="200"/>
    </w:p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4"/>
    <w:autoRedefine/>
    <w:qFormat/>
    <w:uiPriority w:val="9"/>
    <w:rPr>
      <w:b/>
      <w:bCs/>
      <w:kern w:val="44"/>
      <w:sz w:val="44"/>
      <w:szCs w:val="44"/>
    </w:rPr>
  </w:style>
  <w:style w:type="character" w:customStyle="1" w:styleId="15">
    <w:name w:val="Body Text Char"/>
    <w:basedOn w:val="11"/>
    <w:link w:val="2"/>
    <w:autoRedefine/>
    <w:semiHidden/>
    <w:qFormat/>
    <w:uiPriority w:val="99"/>
    <w:rPr>
      <w:szCs w:val="24"/>
    </w:rPr>
  </w:style>
  <w:style w:type="character" w:customStyle="1" w:styleId="16">
    <w:name w:val="Footer Char"/>
    <w:basedOn w:val="11"/>
    <w:link w:val="3"/>
    <w:autoRedefine/>
    <w:semiHidden/>
    <w:qFormat/>
    <w:uiPriority w:val="99"/>
    <w:rPr>
      <w:sz w:val="18"/>
      <w:szCs w:val="18"/>
    </w:rPr>
  </w:style>
  <w:style w:type="character" w:customStyle="1" w:styleId="17">
    <w:name w:val="Header Char"/>
    <w:basedOn w:val="11"/>
    <w:link w:val="6"/>
    <w:autoRedefine/>
    <w:semiHidden/>
    <w:qFormat/>
    <w:uiPriority w:val="99"/>
    <w:rPr>
      <w:sz w:val="18"/>
      <w:szCs w:val="18"/>
    </w:rPr>
  </w:style>
  <w:style w:type="paragraph" w:customStyle="1" w:styleId="18">
    <w:name w:val="列出段落1"/>
    <w:basedOn w:val="1"/>
    <w:autoRedefine/>
    <w:qFormat/>
    <w:uiPriority w:val="99"/>
    <w:pPr>
      <w:ind w:firstLine="420" w:firstLineChars="200"/>
    </w:pPr>
  </w:style>
  <w:style w:type="paragraph" w:customStyle="1" w:styleId="19">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0">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34</Pages>
  <Words>770</Words>
  <Characters>4395</Characters>
  <Lines>0</Lines>
  <Paragraphs>0</Paragraphs>
  <TotalTime>8</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2023-12-24T03:05:00Z</cp:lastPrinted>
  <dcterms:modified xsi:type="dcterms:W3CDTF">2024-03-25T03:02:58Z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0C4E27FCAB9746BE820FB13BD58F253F_13</vt:lpwstr>
  </property>
</Properties>
</file>