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44"/>
          <w:szCs w:val="44"/>
        </w:rPr>
      </w:pPr>
      <w:bookmarkStart w:id="0" w:name="_GoBack"/>
      <w:r>
        <w:rPr>
          <w:rFonts w:hint="eastAsia" w:ascii="黑体" w:hAnsi="黑体" w:eastAsia="黑体" w:cs="黑体"/>
          <w:sz w:val="44"/>
          <w:szCs w:val="44"/>
        </w:rPr>
        <w:drawing>
          <wp:inline distT="0" distB="0" distL="114300" distR="114300">
            <wp:extent cx="5267960" cy="7449185"/>
            <wp:effectExtent l="0" t="0" r="8890" b="18415"/>
            <wp:docPr id="1" name="图片 1" descr="审批卡扫描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审批卡扫描件"/>
                    <pic:cNvPicPr>
                      <a:picLocks noChangeAspect="1"/>
                    </pic:cNvPicPr>
                  </pic:nvPicPr>
                  <pic:blipFill>
                    <a:blip r:embed="rId4"/>
                    <a:stretch>
                      <a:fillRect/>
                    </a:stretch>
                  </pic:blipFill>
                  <pic:spPr>
                    <a:xfrm>
                      <a:off x="0" y="0"/>
                      <a:ext cx="5267960" cy="7449185"/>
                    </a:xfrm>
                    <a:prstGeom prst="rect">
                      <a:avLst/>
                    </a:prstGeom>
                  </pic:spPr>
                </pic:pic>
              </a:graphicData>
            </a:graphic>
          </wp:inline>
        </w:drawing>
      </w:r>
      <w:bookmarkEnd w:id="0"/>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p>
    <w:p>
      <w:pPr>
        <w:jc w:val="center"/>
        <w:rPr>
          <w:rFonts w:hint="eastAsia" w:ascii="黑体" w:hAnsi="黑体" w:eastAsia="黑体" w:cs="黑体"/>
          <w:sz w:val="44"/>
          <w:szCs w:val="44"/>
        </w:rPr>
      </w:pPr>
      <w:r>
        <w:rPr>
          <w:rFonts w:hint="eastAsia" w:ascii="黑体" w:hAnsi="黑体" w:eastAsia="黑体" w:cs="黑体"/>
          <w:sz w:val="44"/>
          <w:szCs w:val="44"/>
        </w:rPr>
        <w:t>涞源县应急管理局</w:t>
      </w:r>
    </w:p>
    <w:p>
      <w:pPr>
        <w:jc w:val="center"/>
        <w:rPr>
          <w:rFonts w:hint="eastAsia" w:ascii="黑体" w:hAnsi="黑体" w:eastAsia="黑体" w:cs="黑体"/>
          <w:sz w:val="44"/>
          <w:szCs w:val="44"/>
        </w:rPr>
      </w:pPr>
      <w:r>
        <w:rPr>
          <w:rFonts w:hint="eastAsia" w:ascii="黑体" w:hAnsi="黑体" w:eastAsia="黑体" w:cs="黑体"/>
          <w:sz w:val="44"/>
          <w:szCs w:val="44"/>
          <w:lang w:eastAsia="zh-CN"/>
        </w:rPr>
        <w:t>2024</w:t>
      </w:r>
      <w:r>
        <w:rPr>
          <w:rFonts w:hint="eastAsia" w:ascii="黑体" w:hAnsi="黑体" w:eastAsia="黑体" w:cs="黑体"/>
          <w:sz w:val="44"/>
          <w:szCs w:val="44"/>
        </w:rPr>
        <w:t>年度安全生产监督检查计划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为规范安全生产</w:t>
      </w:r>
      <w:r>
        <w:rPr>
          <w:rFonts w:hint="eastAsia" w:ascii="仿宋_GB2312" w:hAnsi="仿宋_GB2312" w:eastAsia="仿宋_GB2312" w:cs="仿宋_GB2312"/>
          <w:sz w:val="32"/>
          <w:szCs w:val="32"/>
          <w:lang w:eastAsia="zh-CN"/>
        </w:rPr>
        <w:t>行政执法</w:t>
      </w:r>
      <w:r>
        <w:rPr>
          <w:rFonts w:hint="eastAsia" w:ascii="仿宋_GB2312" w:hAnsi="仿宋_GB2312" w:eastAsia="仿宋_GB2312" w:cs="仿宋_GB2312"/>
          <w:sz w:val="32"/>
          <w:szCs w:val="32"/>
        </w:rPr>
        <w:t>行为，落实安全生产监督检查职责，</w:t>
      </w:r>
      <w:r>
        <w:rPr>
          <w:rFonts w:hint="eastAsia" w:ascii="仿宋_GB2312" w:hAnsi="仿宋_GB2312" w:eastAsia="仿宋_GB2312" w:cs="仿宋_GB2312"/>
          <w:sz w:val="32"/>
          <w:szCs w:val="32"/>
          <w:lang w:eastAsia="zh-CN"/>
        </w:rPr>
        <w:t>切实提高安全生产执法效能，</w:t>
      </w:r>
      <w:r>
        <w:rPr>
          <w:rFonts w:hint="eastAsia" w:ascii="仿宋_GB2312" w:hAnsi="仿宋_GB2312" w:eastAsia="仿宋_GB2312" w:cs="仿宋_GB2312"/>
          <w:sz w:val="32"/>
          <w:szCs w:val="32"/>
        </w:rPr>
        <w:t>全面推进应急管理综合行政执法工作，</w:t>
      </w:r>
      <w:r>
        <w:rPr>
          <w:rFonts w:hint="eastAsia" w:ascii="仿宋_GB2312" w:hAnsi="仿宋_GB2312" w:eastAsia="仿宋_GB2312" w:cs="仿宋_GB2312"/>
          <w:sz w:val="32"/>
          <w:szCs w:val="32"/>
          <w:lang w:eastAsia="zh-CN"/>
        </w:rPr>
        <w:t>促进企业落实安全生产主体责任，防范事故发生，</w:t>
      </w:r>
      <w:r>
        <w:rPr>
          <w:rFonts w:hint="eastAsia" w:ascii="仿宋_GB2312" w:hAnsi="仿宋_GB2312" w:eastAsia="仿宋_GB2312" w:cs="仿宋_GB2312"/>
          <w:sz w:val="32"/>
          <w:szCs w:val="32"/>
        </w:rPr>
        <w:t>依据《中华人民共和国安全生产法》、《应急管理行政执法人员依法履职管理规定》（应急管理部令第 9 号）、《安全生产监管年度执法工作计划编制办法》（安监总政法〔2017〕150 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非煤矿山安全监管部门年度监管执法计划编制办法（试行）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（矿安</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2021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168号</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要求，结合我</w:t>
      </w:r>
      <w:r>
        <w:rPr>
          <w:rFonts w:hint="eastAsia" w:ascii="仿宋_GB2312" w:hAnsi="仿宋_GB2312" w:eastAsia="仿宋_GB2312" w:cs="仿宋_GB2312"/>
          <w:sz w:val="32"/>
          <w:szCs w:val="32"/>
          <w:lang w:eastAsia="zh-CN"/>
        </w:rPr>
        <w:t>县</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2024</w:t>
      </w:r>
      <w:r>
        <w:rPr>
          <w:rFonts w:hint="eastAsia" w:ascii="仿宋_GB2312" w:hAnsi="仿宋_GB2312" w:eastAsia="仿宋_GB2312" w:cs="仿宋_GB2312"/>
          <w:sz w:val="32"/>
          <w:szCs w:val="32"/>
        </w:rPr>
        <w:t>年度安全生产工作部署，制定</w:t>
      </w:r>
      <w:r>
        <w:rPr>
          <w:rFonts w:hint="eastAsia" w:ascii="仿宋_GB2312" w:hAnsi="仿宋_GB2312" w:eastAsia="仿宋_GB2312" w:cs="仿宋_GB2312"/>
          <w:sz w:val="32"/>
          <w:szCs w:val="32"/>
          <w:lang w:eastAsia="zh-CN"/>
        </w:rPr>
        <w:t>2024</w:t>
      </w:r>
      <w:r>
        <w:rPr>
          <w:rFonts w:hint="eastAsia" w:ascii="仿宋_GB2312" w:hAnsi="仿宋_GB2312" w:eastAsia="仿宋_GB2312" w:cs="仿宋_GB2312"/>
          <w:sz w:val="32"/>
          <w:szCs w:val="32"/>
        </w:rPr>
        <w:t>年度安全生产监督检查计划。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一、指导思想</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坚持以习近平新时代中国特色社会主义思想为指导，</w:t>
      </w:r>
      <w:r>
        <w:rPr>
          <w:rFonts w:hint="eastAsia" w:ascii="仿宋_GB2312" w:hAnsi="仿宋_GB2312" w:eastAsia="仿宋_GB2312" w:cs="仿宋_GB2312"/>
          <w:sz w:val="32"/>
          <w:szCs w:val="32"/>
          <w:lang w:eastAsia="zh-CN"/>
        </w:rPr>
        <w:t>深入贯彻落实习近平总书记关于安全生产的重要论述和重要指示批示精神，</w:t>
      </w:r>
      <w:r>
        <w:rPr>
          <w:rFonts w:hint="eastAsia" w:ascii="仿宋_GB2312" w:hAnsi="仿宋_GB2312" w:eastAsia="仿宋_GB2312" w:cs="仿宋_GB2312"/>
          <w:sz w:val="32"/>
          <w:szCs w:val="32"/>
        </w:rPr>
        <w:t>强化底线思维和红线意识，坚持人民至上，生命至上。</w:t>
      </w:r>
      <w:r>
        <w:rPr>
          <w:rFonts w:hint="eastAsia" w:ascii="仿宋_GB2312" w:hAnsi="仿宋_GB2312" w:eastAsia="仿宋_GB2312" w:cs="仿宋_GB2312"/>
          <w:sz w:val="32"/>
          <w:szCs w:val="32"/>
          <w:lang w:eastAsia="zh-CN"/>
        </w:rPr>
        <w:t>紧紧围绕安全生产治本攻坚三年行动，</w:t>
      </w:r>
      <w:r>
        <w:rPr>
          <w:rFonts w:hint="eastAsia" w:ascii="仿宋_GB2312" w:hAnsi="仿宋_GB2312" w:eastAsia="仿宋_GB2312" w:cs="仿宋_GB2312"/>
          <w:sz w:val="32"/>
          <w:szCs w:val="32"/>
        </w:rPr>
        <w:t>全面实施依法治安，进一步提升防控重大事故风险能力，精准研判风险变化，及时有效防范应对，将优化营商环境和依法执法、服务执法有效结合起来，推动高质量发展和高水平安全动态平衡，推进安全生产风险专项整治，加强重点行业领域安全监管，坚决遏制事故发生，促进全县安全生产形势实现根本好转。为</w:t>
      </w:r>
      <w:r>
        <w:rPr>
          <w:rFonts w:hint="eastAsia" w:ascii="仿宋_GB2312" w:hAnsi="仿宋_GB2312" w:eastAsia="仿宋_GB2312" w:cs="仿宋_GB2312"/>
          <w:sz w:val="32"/>
          <w:szCs w:val="32"/>
          <w:lang w:eastAsia="zh-CN"/>
        </w:rPr>
        <w:t>建设经济强县，</w:t>
      </w:r>
      <w:r>
        <w:rPr>
          <w:rFonts w:hint="eastAsia" w:ascii="仿宋_GB2312" w:hAnsi="仿宋_GB2312" w:eastAsia="仿宋_GB2312" w:cs="仿宋_GB2312"/>
          <w:sz w:val="32"/>
          <w:szCs w:val="32"/>
        </w:rPr>
        <w:t>品质</w:t>
      </w:r>
      <w:r>
        <w:rPr>
          <w:rFonts w:hint="eastAsia" w:ascii="仿宋_GB2312" w:hAnsi="仿宋_GB2312" w:eastAsia="仿宋_GB2312" w:cs="仿宋_GB2312"/>
          <w:sz w:val="32"/>
          <w:szCs w:val="32"/>
          <w:lang w:eastAsia="zh-CN"/>
        </w:rPr>
        <w:t>涞源</w:t>
      </w:r>
      <w:r>
        <w:rPr>
          <w:rFonts w:hint="eastAsia" w:ascii="仿宋_GB2312" w:hAnsi="仿宋_GB2312" w:eastAsia="仿宋_GB2312" w:cs="仿宋_GB2312"/>
          <w:sz w:val="32"/>
          <w:szCs w:val="32"/>
        </w:rPr>
        <w:t>打造良好的安全生产环境。</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二、工作目标</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各监管股室、监察大队要综合运用信息化技术开展常态化监督检查，</w:t>
      </w:r>
      <w:r>
        <w:rPr>
          <w:rFonts w:hint="eastAsia" w:ascii="仿宋_GB2312" w:hAnsi="仿宋_GB2312" w:eastAsia="仿宋_GB2312" w:cs="仿宋_GB2312"/>
          <w:sz w:val="32"/>
          <w:szCs w:val="32"/>
          <w:lang w:eastAsia="zh-CN"/>
        </w:rPr>
        <w:t>落实重点行业领域风险防控要求，</w:t>
      </w:r>
      <w:r>
        <w:rPr>
          <w:rFonts w:hint="eastAsia" w:ascii="仿宋_GB2312" w:hAnsi="仿宋_GB2312" w:eastAsia="仿宋_GB2312" w:cs="仿宋_GB2312"/>
          <w:sz w:val="32"/>
          <w:szCs w:val="32"/>
        </w:rPr>
        <w:t>通过线上线下监管监察方式，</w:t>
      </w:r>
      <w:r>
        <w:rPr>
          <w:rFonts w:hint="eastAsia" w:ascii="仿宋_GB2312" w:hAnsi="仿宋_GB2312" w:eastAsia="仿宋_GB2312" w:cs="仿宋_GB2312"/>
          <w:sz w:val="32"/>
          <w:szCs w:val="32"/>
          <w:lang w:eastAsia="zh-CN"/>
        </w:rPr>
        <w:t>对纳入检查范围生产经营单位的监督检查覆盖率达到</w:t>
      </w:r>
      <w:r>
        <w:rPr>
          <w:rFonts w:hint="eastAsia" w:ascii="仿宋_GB2312" w:hAnsi="仿宋_GB2312" w:eastAsia="仿宋_GB2312" w:cs="仿宋_GB2312"/>
          <w:sz w:val="32"/>
          <w:szCs w:val="32"/>
          <w:lang w:val="en-US" w:eastAsia="zh-CN"/>
        </w:rPr>
        <w:t>100%，对发现的安全生产违法行为查处率达到100%，对发现的问题隐患督促整改率达到100%，对直接实施行政处罚的案件办结率达到100%。</w:t>
      </w:r>
      <w:r>
        <w:rPr>
          <w:rFonts w:hint="eastAsia" w:ascii="仿宋_GB2312" w:hAnsi="仿宋_GB2312" w:eastAsia="仿宋_GB2312" w:cs="仿宋_GB2312"/>
          <w:sz w:val="32"/>
          <w:szCs w:val="32"/>
        </w:rPr>
        <w:t>对高风险矿井、高陡边坡露天矿山、重大危险源、涉粉尘爆炸企业、涉有限空间企业、涉氨涉氯企业等加强动态监管，严厉打击各种非法违法行为。坚持标本兼治，以从根本上消除事故隐患为目标，以更大力度，促使企业安全管理向本质安全转化。</w:t>
      </w:r>
      <w:r>
        <w:rPr>
          <w:rFonts w:hint="eastAsia" w:ascii="仿宋_GB2312" w:hAnsi="仿宋_GB2312" w:eastAsia="仿宋_GB2312" w:cs="仿宋_GB2312"/>
          <w:color w:val="auto"/>
          <w:sz w:val="32"/>
          <w:szCs w:val="32"/>
        </w:rPr>
        <w:t>进一步优化营商环境，坚持依法治安，创新执法方式，全面提升安全生产行政执法质量和效能，</w:t>
      </w:r>
      <w:r>
        <w:rPr>
          <w:rFonts w:hint="eastAsia" w:ascii="仿宋_GB2312" w:hAnsi="仿宋_GB2312" w:eastAsia="仿宋_GB2312" w:cs="仿宋_GB2312"/>
          <w:sz w:val="32"/>
          <w:szCs w:val="32"/>
        </w:rPr>
        <w:t>为全县科学发展，安全发展提供保障。</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三、主要任务</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强化普法宣传。按照“谁执法，谁普法”的要求，建立宣传机制。结合县、乡联合执法检查对企业人员重点开展普法宣传，做到以案普法，以案释法，提升企业主体责任意识，促使其主动落实日常管理措施。</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强化业务培训。各执法组建立和完善培训机制，修订补充完善各行业执法模板，通过对县和乡镇（街道）基层执法人员开展专项业务知识培训，观摩执法、执法比武和现场执法指导培训，强化各级执法人员法制意识；进一步规范执法行为，规范执法程序，统一标准，健全执法台帐，基层执法人员的执法能力得到明显提升。</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规范执法，公正执法。严格落实行政执法全过程记录制度、重大执法决定法制审核制度、行政执法公示制度。严格规范行政执法程序、执法行为和执法文书使用，统一自由裁量标准，做好行政执法事前和事后公示。强化案件合法性审核，</w:t>
      </w:r>
      <w:r>
        <w:rPr>
          <w:rFonts w:hint="eastAsia" w:ascii="仿宋_GB2312" w:hAnsi="仿宋_GB2312" w:eastAsia="仿宋_GB2312" w:cs="仿宋_GB2312"/>
          <w:sz w:val="32"/>
          <w:szCs w:val="32"/>
          <w:lang w:eastAsia="zh-CN"/>
        </w:rPr>
        <w:t>提高执法权威性、透明性和典型性，杜绝行政决定被撤销或变更及行政应诉败诉，</w:t>
      </w:r>
      <w:r>
        <w:rPr>
          <w:rFonts w:hint="eastAsia" w:ascii="仿宋_GB2312" w:hAnsi="仿宋_GB2312" w:eastAsia="仿宋_GB2312" w:cs="仿宋_GB2312"/>
          <w:sz w:val="32"/>
          <w:szCs w:val="32"/>
        </w:rPr>
        <w:t>做到依法执法，公开执法，公正执法。</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（四）落实双随机制度，避免任性执法。为贯彻落实县政府进一步优化营商环境的要求，按照“双随机、一公开”检查机制，结合我县行业特点组织开展联合执法（含跨部门、内部）。</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（五）扎实开展专项执法，集中执法。根据不同时间节点，季节特点、行业特点开展矿山、危化、粉尘涉爆、有限空间、安全培训、评价机构等专项执法。</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（六）强化执法案例查处报送。在检查综合检查事项的基础上，重点围绕危化、工商贸行业重点检查事项（2020 版执法手册规定）开展执法检查；围绕安全评价机构、特种作业人员、涉行刑衔接违法行为和围绕企业主要负责人责任落实开展执法检查；查处一批重大故隐患，消除一批重大风险，防范大事故的发生，保质保量报送合格的典型执法案例。</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强化执法信息化。监督检查全部使用“互联网+监管”和“互联网+执法”系统端口，做到所有检查数据全部录入系统，以执法过程管控、人员管理、信息统计、智能执法为重点环节，实现执法裁量判定、统计分析、数据推送的实时在线和执法标准统一、隐患自查自报、跟踪整改到位、监管密切协同的目标。</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强化执法监督。深入推进行政执法监督机制，推进落实全过程监督机制，适时开展执法督导检查，案卷评查。对县监察执法工作进行监督指导，及时纠正执法过错。严格行政执法纪律，规范执法人员行为，加强执法过程控制，严格监督问责，保障监察执法行为依法、廉洁、高效。</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四、监督检查人员数量和执法工作日安排</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（一）监督检查人员数量。目前，县局在册执法人员为6</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人。依据原国家安监总局《安全生产监管年度执法工作计划编制办法》（安监总政法〔2017〕150 号）的要求，县局纳入计算的行政执法人员的数量不少于6</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×80%=</w:t>
      </w:r>
      <w:r>
        <w:rPr>
          <w:rFonts w:hint="eastAsia" w:ascii="仿宋_GB2312" w:hAnsi="仿宋_GB2312" w:eastAsia="仿宋_GB2312" w:cs="仿宋_GB2312"/>
          <w:sz w:val="32"/>
          <w:szCs w:val="32"/>
          <w:lang w:val="en-US" w:eastAsia="zh-CN"/>
        </w:rPr>
        <w:t>49</w:t>
      </w:r>
      <w:r>
        <w:rPr>
          <w:rFonts w:hint="eastAsia" w:ascii="仿宋_GB2312" w:hAnsi="仿宋_GB2312" w:eastAsia="仿宋_GB2312" w:cs="仿宋_GB2312"/>
          <w:sz w:val="32"/>
          <w:szCs w:val="32"/>
        </w:rPr>
        <w:t>(人)。</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（二）总法定工作日：12</w:t>
      </w:r>
      <w:r>
        <w:rPr>
          <w:rFonts w:hint="eastAsia" w:ascii="仿宋_GB2312" w:hAnsi="仿宋_GB2312" w:eastAsia="仿宋_GB2312" w:cs="仿宋_GB2312"/>
          <w:sz w:val="32"/>
          <w:szCs w:val="32"/>
          <w:lang w:val="en-US" w:eastAsia="zh-CN"/>
        </w:rPr>
        <w:t>299</w:t>
      </w:r>
      <w:r>
        <w:rPr>
          <w:rFonts w:hint="eastAsia" w:ascii="仿宋_GB2312" w:hAnsi="仿宋_GB2312" w:eastAsia="仿宋_GB2312" w:cs="仿宋_GB2312"/>
          <w:sz w:val="32"/>
          <w:szCs w:val="32"/>
        </w:rPr>
        <w:t>天。</w:t>
      </w:r>
      <w:r>
        <w:rPr>
          <w:rFonts w:hint="eastAsia" w:ascii="仿宋_GB2312" w:hAnsi="仿宋_GB2312" w:eastAsia="仿宋_GB2312" w:cs="仿宋_GB2312"/>
          <w:sz w:val="32"/>
          <w:szCs w:val="32"/>
          <w:lang w:eastAsia="zh-CN"/>
        </w:rPr>
        <w:t>2024</w:t>
      </w:r>
      <w:r>
        <w:rPr>
          <w:rFonts w:hint="eastAsia" w:ascii="仿宋_GB2312" w:hAnsi="仿宋_GB2312" w:eastAsia="仿宋_GB2312" w:cs="仿宋_GB2312"/>
          <w:sz w:val="32"/>
          <w:szCs w:val="32"/>
        </w:rPr>
        <w:t>年全年共36</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 xml:space="preserve"> 天，有5</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周，双休日104天，元旦、春节、清明、五一、端午、中秋、国庆等法定假日共计11天。国家法定工作日=36</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-104-11=25</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天。总法定工作日=国家法定工作日×执法人员数量=25</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49</w:t>
      </w:r>
      <w:r>
        <w:rPr>
          <w:rFonts w:hint="eastAsia" w:ascii="仿宋_GB2312" w:hAnsi="仿宋_GB2312" w:eastAsia="仿宋_GB2312" w:cs="仿宋_GB2312"/>
          <w:sz w:val="32"/>
          <w:szCs w:val="32"/>
        </w:rPr>
        <w:t>=12</w:t>
      </w:r>
      <w:r>
        <w:rPr>
          <w:rFonts w:hint="eastAsia" w:ascii="仿宋_GB2312" w:hAnsi="仿宋_GB2312" w:eastAsia="仿宋_GB2312" w:cs="仿宋_GB2312"/>
          <w:sz w:val="32"/>
          <w:szCs w:val="32"/>
          <w:lang w:val="en-US" w:eastAsia="zh-CN"/>
        </w:rPr>
        <w:t>299</w:t>
      </w:r>
      <w:r>
        <w:rPr>
          <w:rFonts w:hint="eastAsia" w:ascii="仿宋_GB2312" w:hAnsi="仿宋_GB2312" w:eastAsia="仿宋_GB2312" w:cs="仿宋_GB2312"/>
          <w:sz w:val="32"/>
          <w:szCs w:val="32"/>
        </w:rPr>
        <w:t>天。</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（三）其他行政执法工作日：2080天（参考近 3 年确定）。主要包括实施行政许可（100天），开展安全生产综合监管、检查（500天），调查核实安全生产投诉举报（300天），办理有关法律、法规、规章规定的登记、备案（180 天），开展安全生产宣传教育培训（500天），完成本级人民政府或者省厅、市局安排的执法工作任务（500 天）。</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非执法工作日：4543天。主要包括机关值班（1095天），学习、培训、考核、会议（1160天），开展安全生产督导（200天），检查指导下级应急管理部门工作（420天），参加党群活动（1068天），法定年休假、病假、事假（600天）。</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（五）监督检查工作日：</w:t>
      </w:r>
      <w:r>
        <w:rPr>
          <w:rFonts w:hint="eastAsia" w:ascii="仿宋_GB2312" w:hAnsi="仿宋_GB2312" w:eastAsia="仿宋_GB2312" w:cs="仿宋_GB2312"/>
          <w:sz w:val="32"/>
          <w:szCs w:val="32"/>
          <w:lang w:val="en-US" w:eastAsia="zh-CN"/>
        </w:rPr>
        <w:t>5676</w:t>
      </w:r>
      <w:r>
        <w:rPr>
          <w:rFonts w:hint="eastAsia" w:ascii="仿宋_GB2312" w:hAnsi="仿宋_GB2312" w:eastAsia="仿宋_GB2312" w:cs="仿宋_GB2312"/>
          <w:sz w:val="32"/>
          <w:szCs w:val="32"/>
        </w:rPr>
        <w:t>天。执法检查工作日=总法定工作日-其他执法工作日-非执法工作日=</w:t>
      </w:r>
      <w:r>
        <w:rPr>
          <w:rFonts w:hint="eastAsia" w:ascii="仿宋_GB2312" w:hAnsi="仿宋_GB2312" w:eastAsia="仿宋_GB2312" w:cs="仿宋_GB2312"/>
          <w:sz w:val="32"/>
          <w:szCs w:val="32"/>
          <w:lang w:val="en-US" w:eastAsia="zh-CN"/>
        </w:rPr>
        <w:t>5676</w:t>
      </w:r>
      <w:r>
        <w:rPr>
          <w:rFonts w:hint="eastAsia" w:ascii="仿宋_GB2312" w:hAnsi="仿宋_GB2312" w:eastAsia="仿宋_GB2312" w:cs="仿宋_GB2312"/>
          <w:sz w:val="32"/>
          <w:szCs w:val="32"/>
        </w:rPr>
        <w:t>天。</w:t>
      </w:r>
    </w:p>
    <w:p>
      <w:pPr>
        <w:ind w:firstLine="320" w:firstLineChars="1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(六）检查时间安排见附表：3</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五、监督检查主要内容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根据《中华人民共和国安全生产法》和《河北省安全生产条例》，对生产经营单位要重点监督检查 20 项内容：</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1.依法通过有关安全生产行政审批的情况;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2.主要负责人、安全管理人员、特种作业人员的安全生产教育和培训、考核和持证上岗情况;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3.建立和落实全员安全生产责任制、安全生产规章制度和操作规程、作业规程的情况;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4.按照国家规定提取和使用安全生产费用，安排用于配备劳动防护用品、进行安全生产教育和培训的经费，以及其他安全生产投入的情况;投保安全生产责任保险的情况；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5.依法设置安全生产管理机构和配备安全生产管理人员的情况;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6.危险物品的生产、储存单位以及矿山、金属冶炼单位配备或者聘用注册安全工程师的情况;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7.从业人员、被派遣劳动者和实习学生受到安全生产教育、培训及其教育培训档案的情况;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8.新建、改建、扩建工程项目的安全设施与主体工程同时设计、同时施工、同时投入生产和使用，以及按规定办理设计审查和竣工验收的情况;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9.在有较大危险因素的生产经营场所和有关设施、设备上，设置安全警示标志的情况;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10.安全设备的安装、维护、保养、定期检测的情况;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11.重大危险源登记建档、定期检测、评估、监控和制定应急预案的情况;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12.教育和督促从业人员严格执行本单位的安全生产规章制度和安全操作规程，并向从业人员如实告知作业场所和工作岗位存在的危险因素、防范措施以及事故应急措施的情况;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13.为从业人员提供符合国家标准或者行业标准的劳动防护用品，并监督、教育从业人员按照使用规则正确佩戴和使用的情况;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14.在同一作业区域内进行生产经营活动，可能危及对方生产安全的，与对方签订安全生产管理协议，明确各自的安全生产管理职责和应当采取的安全措施，并指定专职安全生产管理人员进行安全检查与协调的情况;</w:t>
      </w:r>
    </w:p>
    <w:p>
      <w:pPr>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15.对承包单位、承租单位的安全生产工作实行统一协调、管理，定期进行安全检查，督促整改安全问题的情况;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16.安全风险分级管控和隐患排查治理双重预防工作机制落实情况；建立健全生产安全事故隐患排查治理制度，及时发现并消除事故隐患，如实记录事故隐患治理，以及向从业人员通报的情况;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17.制定、实施生产安全事故应急预案，定期组织应急预案演练，以及有关应急预案备案的情况;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18.危险物品的生产、经营、储存单位以及矿山、金属冶炼单位建立应急救援组织或者兼职救援队伍、签订应急救援协议，以及应急救援器材、设备和物资的配备、维护、保养的情况;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19.按照规定报告生产安全事故的情况;</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20.安全生产举报培训情况、生产经营单位内部举报奖励制度、内部举报奖励公示牌、安全生产举报奖励公告牌。</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.依法应当监督检查的其他情况。</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六、重点检查安排</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（一）重点检查单位范围。根据原国家安全监管总局《关于印发安全生产年度监督检查计划编制办法的通知》（安监总政法〔2017〕150 号）和《涞源县应急管理系统安全生产分类分级执法方案》要求，重点检查单位范围为：</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1.安全生产风险等级较高的生产经营单位：</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（1）煤矿、金属非金属地下矿山，采场或者排土场边坡高度 200 米以上的露天矿山，建设在大型工矿生产经营单位、大型水源地、重要铁路和公路、水产基地和大型居民区等重要生产生活设施上游的尾矿库；</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（2）涉及重点监管危险化学品、重点监管危险化工工艺和危险化学品重大危险源的生产经营单位；</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（3）烟花爆竹生产、批发单位；</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（4）金属冶炼生产经营单位；</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（5）涉爆粉尘、有限空间作业生产经营单位；</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（6）安全生产标准化未达标的生产经营单位，安全生产风险分级管控和事故隐患排查治理落实不到位的生产经营单位。</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2.近三年发生过造成人员死亡的生产安全事故的生产经营单位；</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3.纳入安全生产失信行为联合惩戒对象的生产经营单位；</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4.发现存在重大生产安全事故隐患的生产经营单位；</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5.长时间停产后复工复产的单位；试生产的生产经营单位；</w:t>
      </w:r>
    </w:p>
    <w:p>
      <w:pPr>
        <w:ind w:firstLine="800" w:firstLineChars="2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6.其他应当纳入重点检查安排的生产经营单位。</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（二）重点检查单位</w:t>
      </w:r>
      <w:r>
        <w:rPr>
          <w:rFonts w:hint="eastAsia" w:ascii="仿宋_GB2312" w:hAnsi="仿宋_GB2312" w:eastAsia="仿宋_GB2312" w:cs="仿宋_GB2312"/>
          <w:sz w:val="32"/>
          <w:szCs w:val="32"/>
          <w:lang w:eastAsia="zh-CN"/>
        </w:rPr>
        <w:t>数量、名称及检查频次。</w:t>
      </w:r>
      <w:r>
        <w:rPr>
          <w:rFonts w:hint="eastAsia" w:ascii="仿宋_GB2312" w:hAnsi="仿宋_GB2312" w:eastAsia="仿宋_GB2312" w:cs="仿宋_GB2312"/>
          <w:sz w:val="32"/>
          <w:szCs w:val="32"/>
        </w:rPr>
        <w:t>全年重点检查生产经营单位</w:t>
      </w:r>
      <w:r>
        <w:rPr>
          <w:rFonts w:hint="eastAsia" w:ascii="仿宋_GB2312" w:hAnsi="仿宋_GB2312" w:eastAsia="仿宋_GB2312" w:cs="仿宋_GB2312"/>
          <w:sz w:val="32"/>
          <w:szCs w:val="32"/>
          <w:lang w:val="en-US" w:eastAsia="zh-CN"/>
        </w:rPr>
        <w:t>288</w:t>
      </w:r>
      <w:r>
        <w:rPr>
          <w:rFonts w:hint="eastAsia" w:ascii="仿宋_GB2312" w:hAnsi="仿宋_GB2312" w:eastAsia="仿宋_GB2312" w:cs="仿宋_GB2312"/>
          <w:sz w:val="32"/>
          <w:szCs w:val="32"/>
        </w:rPr>
        <w:t>家次，</w:t>
      </w:r>
      <w:r>
        <w:rPr>
          <w:rFonts w:hint="eastAsia" w:ascii="仿宋_GB2312" w:hAnsi="仿宋_GB2312" w:eastAsia="仿宋_GB2312" w:cs="仿宋_GB2312"/>
          <w:sz w:val="32"/>
          <w:szCs w:val="32"/>
          <w:lang w:eastAsia="zh-CN"/>
        </w:rPr>
        <w:t>（每季度至少一次）</w:t>
      </w:r>
      <w:r>
        <w:rPr>
          <w:rFonts w:hint="eastAsia" w:ascii="仿宋_GB2312" w:hAnsi="仿宋_GB2312" w:eastAsia="仿宋_GB2312" w:cs="仿宋_GB2312"/>
          <w:sz w:val="32"/>
          <w:szCs w:val="32"/>
        </w:rPr>
        <w:t>其中</w:t>
      </w:r>
      <w:r>
        <w:rPr>
          <w:rFonts w:hint="eastAsia" w:ascii="仿宋_GB2312" w:hAnsi="仿宋_GB2312" w:eastAsia="仿宋_GB2312" w:cs="仿宋_GB2312"/>
          <w:sz w:val="32"/>
          <w:szCs w:val="32"/>
          <w:lang w:eastAsia="zh-CN"/>
        </w:rPr>
        <w:t>非煤</w:t>
      </w:r>
      <w:r>
        <w:rPr>
          <w:rFonts w:hint="eastAsia" w:ascii="仿宋_GB2312" w:hAnsi="仿宋_GB2312" w:eastAsia="仿宋_GB2312" w:cs="仿宋_GB2312"/>
          <w:sz w:val="32"/>
          <w:szCs w:val="32"/>
        </w:rPr>
        <w:t>矿山企业</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家次</w:t>
      </w:r>
      <w:r>
        <w:rPr>
          <w:rFonts w:hint="eastAsia" w:ascii="仿宋_GB2312" w:hAnsi="仿宋_GB2312" w:eastAsia="仿宋_GB2312" w:cs="仿宋_GB2312"/>
          <w:sz w:val="32"/>
          <w:szCs w:val="32"/>
          <w:lang w:eastAsia="zh-CN"/>
        </w:rPr>
        <w:t>（每季度至少一次）</w:t>
      </w:r>
      <w:r>
        <w:rPr>
          <w:rFonts w:hint="eastAsia" w:ascii="仿宋_GB2312" w:hAnsi="仿宋_GB2312" w:eastAsia="仿宋_GB2312" w:cs="仿宋_GB2312"/>
          <w:sz w:val="32"/>
          <w:szCs w:val="32"/>
        </w:rPr>
        <w:t>；危险化学品企业</w:t>
      </w:r>
      <w:r>
        <w:rPr>
          <w:rFonts w:hint="eastAsia" w:ascii="仿宋_GB2312" w:hAnsi="仿宋_GB2312" w:eastAsia="仿宋_GB2312" w:cs="仿宋_GB2312"/>
          <w:sz w:val="32"/>
          <w:szCs w:val="32"/>
          <w:lang w:val="en-US" w:eastAsia="zh-CN"/>
        </w:rPr>
        <w:t>176</w:t>
      </w:r>
      <w:r>
        <w:rPr>
          <w:rFonts w:hint="eastAsia" w:ascii="仿宋_GB2312" w:hAnsi="仿宋_GB2312" w:eastAsia="仿宋_GB2312" w:cs="仿宋_GB2312"/>
          <w:sz w:val="32"/>
          <w:szCs w:val="32"/>
        </w:rPr>
        <w:t>家次</w:t>
      </w:r>
      <w:r>
        <w:rPr>
          <w:rFonts w:hint="eastAsia" w:ascii="仿宋_GB2312" w:hAnsi="仿宋_GB2312" w:eastAsia="仿宋_GB2312" w:cs="仿宋_GB2312"/>
          <w:sz w:val="32"/>
          <w:szCs w:val="32"/>
          <w:lang w:eastAsia="zh-CN"/>
        </w:rPr>
        <w:t>（每季度至少一次）</w:t>
      </w:r>
      <w:r>
        <w:rPr>
          <w:rFonts w:hint="eastAsia" w:ascii="仿宋_GB2312" w:hAnsi="仿宋_GB2312" w:eastAsia="仿宋_GB2312" w:cs="仿宋_GB2312"/>
          <w:sz w:val="32"/>
          <w:szCs w:val="32"/>
        </w:rPr>
        <w:t>；工商贸企业</w:t>
      </w: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家次</w:t>
      </w:r>
      <w:r>
        <w:rPr>
          <w:rFonts w:hint="eastAsia" w:ascii="仿宋_GB2312" w:hAnsi="仿宋_GB2312" w:eastAsia="仿宋_GB2312" w:cs="仿宋_GB2312"/>
          <w:sz w:val="32"/>
          <w:szCs w:val="32"/>
          <w:lang w:eastAsia="zh-CN"/>
        </w:rPr>
        <w:t>（每季度至少一次）</w:t>
      </w:r>
      <w:r>
        <w:rPr>
          <w:rFonts w:hint="eastAsia" w:ascii="仿宋_GB2312" w:hAnsi="仿宋_GB2312" w:eastAsia="仿宋_GB2312" w:cs="仿宋_GB2312"/>
          <w:sz w:val="32"/>
          <w:szCs w:val="32"/>
        </w:rPr>
        <w:t xml:space="preserve">。企业名单见附件 </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七、一般检查安排</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（一）一般检查单位范围。根据原国家安全监管总局《关于印发安全生产年度监督检查计划编制办法的通知》（安监总政法〔2017〕150 号）和《保定市应急管理系统安全生产分类分级执法方案》要求，一般检查单位范围为：</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1.本部门负责监督检查的重点检查单位以外的生产经营单位；</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2.其他应当纳入一般检查安排的生产经营单位。</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（二）一般检查单位检查家</w:t>
      </w:r>
      <w:r>
        <w:rPr>
          <w:rFonts w:hint="eastAsia" w:ascii="仿宋_GB2312" w:hAnsi="仿宋_GB2312" w:eastAsia="仿宋_GB2312" w:cs="仿宋_GB2312"/>
          <w:sz w:val="32"/>
          <w:szCs w:val="32"/>
          <w:lang w:val="en-US" w:eastAsia="zh-CN"/>
        </w:rPr>
        <w:t>106</w:t>
      </w:r>
      <w:r>
        <w:rPr>
          <w:rFonts w:hint="eastAsia" w:ascii="仿宋_GB2312" w:hAnsi="仿宋_GB2312" w:eastAsia="仿宋_GB2312" w:cs="仿宋_GB2312"/>
          <w:sz w:val="32"/>
          <w:szCs w:val="32"/>
        </w:rPr>
        <w:t>次。全年一般检查生产经营单位</w:t>
      </w:r>
      <w:r>
        <w:rPr>
          <w:rFonts w:hint="eastAsia" w:ascii="仿宋_GB2312" w:hAnsi="仿宋_GB2312" w:eastAsia="仿宋_GB2312" w:cs="仿宋_GB2312"/>
          <w:sz w:val="32"/>
          <w:szCs w:val="32"/>
          <w:lang w:val="en-US" w:eastAsia="zh-CN"/>
        </w:rPr>
        <w:t>106</w:t>
      </w:r>
      <w:r>
        <w:rPr>
          <w:rFonts w:hint="eastAsia" w:ascii="仿宋_GB2312" w:hAnsi="仿宋_GB2312" w:eastAsia="仿宋_GB2312" w:cs="仿宋_GB2312"/>
          <w:sz w:val="32"/>
          <w:szCs w:val="32"/>
        </w:rPr>
        <w:t>家次，其中</w:t>
      </w:r>
      <w:r>
        <w:rPr>
          <w:rFonts w:hint="eastAsia" w:ascii="仿宋_GB2312" w:hAnsi="仿宋_GB2312" w:eastAsia="仿宋_GB2312" w:cs="仿宋_GB2312"/>
          <w:sz w:val="32"/>
          <w:szCs w:val="32"/>
          <w:lang w:eastAsia="zh-CN"/>
        </w:rPr>
        <w:t>非煤</w:t>
      </w:r>
      <w:r>
        <w:rPr>
          <w:rFonts w:hint="eastAsia" w:ascii="仿宋_GB2312" w:hAnsi="仿宋_GB2312" w:eastAsia="仿宋_GB2312" w:cs="仿宋_GB2312"/>
          <w:sz w:val="32"/>
          <w:szCs w:val="32"/>
        </w:rPr>
        <w:t>矿山企业</w:t>
      </w:r>
      <w:r>
        <w:rPr>
          <w:rFonts w:hint="eastAsia" w:ascii="仿宋_GB2312" w:hAnsi="仿宋_GB2312" w:eastAsia="仿宋_GB2312" w:cs="仿宋_GB2312"/>
          <w:sz w:val="32"/>
          <w:szCs w:val="32"/>
          <w:lang w:val="en-US" w:eastAsia="zh-CN"/>
        </w:rPr>
        <w:t>16</w:t>
      </w:r>
      <w:r>
        <w:rPr>
          <w:rFonts w:hint="eastAsia" w:ascii="仿宋_GB2312" w:hAnsi="仿宋_GB2312" w:eastAsia="仿宋_GB2312" w:cs="仿宋_GB2312"/>
          <w:sz w:val="32"/>
          <w:szCs w:val="32"/>
        </w:rPr>
        <w:t>家次、危险化学品（医药）企业</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家次、工商贸企业</w:t>
      </w:r>
      <w:r>
        <w:rPr>
          <w:rFonts w:hint="eastAsia" w:ascii="仿宋_GB2312" w:hAnsi="仿宋_GB2312" w:eastAsia="仿宋_GB2312" w:cs="仿宋_GB2312"/>
          <w:sz w:val="32"/>
          <w:szCs w:val="32"/>
          <w:lang w:val="en-US" w:eastAsia="zh-CN"/>
        </w:rPr>
        <w:t>82</w:t>
      </w:r>
      <w:r>
        <w:rPr>
          <w:rFonts w:hint="eastAsia" w:ascii="仿宋_GB2312" w:hAnsi="仿宋_GB2312" w:eastAsia="仿宋_GB2312" w:cs="仿宋_GB2312"/>
          <w:sz w:val="32"/>
          <w:szCs w:val="32"/>
        </w:rPr>
        <w:t xml:space="preserve">家次，企业名单见附件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对以上生产经营单位的监督检查，由相关股室（队）采取“双随机、一公开”抽查方式实施。</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八、专项检查安排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对安全教育培训、中介机构、应急救援等专项检查，由各安全监察中队监察，结合工作重点具体实施专项检查工作，对于高危行业和规模以上企业以外企业的检查相关监察中队联合乡镇执法队共同开展。</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九、监督检查有关要求</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（一）监督检查前的准备工作。</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承担监督检查任务的股室（队）应根据县政府批准的年度监督检查计划，统筹考虑监督检查工作日数量、专业技术力量、执法检查装备等实际情况，以及分管行业（领域）阶段性安全生产特点规律，实施年度监督检查计划。</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各承担监督检查任务的股室（队）应当明确每次具体监督检查任务，按照执法手册规定的综合检查事项和重点检查事项编制现场检查方案，实施“一企一策”精准检查，明确被监督检查单位基本信息、检查内容及检查方式等内容。</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（二）现场检查、现场处理和处罚。</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1.执法人员应当按照现场检查方案，开展监督检查活动。根据有关法律法规，对监督检查中发现的安全生产违法行为或事故隐患，应当依法作出现场处理决定。</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2.对监督检查中发现的安全隐患，按照“谁检查、谁负责”的原则，在规定的时间内对整改情况进行复查。</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3.对监督检查中发现的违法行为涉嫌违法的，应当依法处罚。</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（三）归档。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监督检查结束后，承办人应当将现场检查方案、现场检查记录、现场处理文书等一并归档。对于立案调查，实施行政股罚的，还应当将行政处罚告知书、行政处罚决定书、送达回执、处罚落实情况等及时归档。</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（四）备案、统计、督办。</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各承担监督检查任务的股室（队）应当严格执行既定的年度监督检查计划，由执法人员将本股室（队）监督检查计划填报至应急管理部安全生产行政执法统计系统，并将本股室的监督检查数据按照“24 小时”直报要求及时录入安全生产行政执法统计系统。各股室（队做好季度、年度总结，及时报给市局对应股室和本局综合业务股室；大队办公室做好局年度监督检查计划实施情况总结，政策法规做好监督检查计划的落实。</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（五）调整、报批程序。</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县政府批准的年度监督检查计划，因工作需要进行部分调整或者变更的，由相关股室（队）书面提出具体调整或者变更意见，经主管领导同意，报请局主要领导批准后施行，并形成正式文件。年度监督检查计划重点检查单位的数量减少幅度超过计划10%，或者监督检查单位的数量减少幅度超过计划 20%，以及重点检查单位的范围作出变更的，应当重新核定相应工作量，并经局主要领导批准后，由政策法规股重新报县政府批准后向市应急管理厅备案。</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十、保障措施</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加强组织领导。制定并落实年度监督检查计划，是贯彻执行《中华人民共和国安全生产法》和《河北省安全生产条例》，明晰各级安全生产监督管理部门监督检查职责的有效举措。局主要领导亲自研究部署执法工作，分管领导主抓工作落实，将监察执法纳入议事日程，加强调度，每季度至少召开一次专题会议研究部署相关工作。各承担监督检查任务的股室（队）对安全生监察执法工作要高站位，顾大局，高标准，严要求；要周密部署、具体安排、统一协调，为安全生产执法工作有力、有序、高效开展创造良好条件，提供有力的组织保障。</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配齐执法装备，做好执法准备。按照应急管理部执法装备配备有关要求，结合当前技术发展和执法工作实际需要，配齐执法装备。执法检查前，执法人员要认真对照现场检查方案，研究检查对象，带齐执法证件、执法记录仪、执法文书、等必备的执法装备，为依法有序开展执法工作做好充分准备。</w:t>
      </w:r>
    </w:p>
    <w:p>
      <w:pPr>
        <w:ind w:firstLine="480" w:firstLineChars="1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推进执法信息化。各承担监督检查任务的股室（队）应当明确专人负责本单位年度监督检查计划的执行情况报送工作，并将年度监督检查计划的安排和实施情况同步录入安全生产执法监察信息系统，同步开展监督检查计划网上直报等工作，以信息化推动年度监督检查计划有效实施，规范行政执法行为。</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强化队伍建设，开展岗位练兵活动。因地制宜地开展形式多样的岗位练兵、能力比武活动，适时开展执法文书制作、执法数据录入、执法知识考试、执法装备使用演练、互联网+执法等形式多样的岗位练兵和系列技能竞赛，强化执法队伍实战能力建设。</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提升执法质量。加大执法力度，按计划抓好工作落实。强化其他执法措施、手段的应用，要加强案卷审核，对所有执法案卷实行统一审核、审批，做到违法事实清楚，证据确凿，使用法律正确，程序规范，自由裁量标准统一。</w:t>
      </w:r>
    </w:p>
    <w:p>
      <w:pPr>
        <w:ind w:firstLine="320" w:firstLineChars="1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坚持廉洁执法。执法人员要严格执行党风廉政建设相关规定，严格文明执法，依法行政，廉洁执法，公正公开执法，并接受监督检查对象的监督。执法人员要率先垂范、以上率下，从严要求，落实好一岗双责，把党风廉政建设贯穿执法全过程，加强工作作风建设，定期组织执法人员开展文明执法教育，及时查找执法人员在执法理念、作风、行为等方面存在的不足，坚决避免执法宽松软、只检查不处罚、避重就轻等现象。</w:t>
      </w:r>
    </w:p>
    <w:p>
      <w:pPr>
        <w:ind w:firstLine="320" w:firstLineChars="100"/>
        <w:rPr>
          <w:rFonts w:hint="eastAsia" w:ascii="仿宋_GB2312" w:hAnsi="仿宋_GB2312" w:eastAsia="仿宋_GB2312" w:cs="仿宋_GB2312"/>
          <w:sz w:val="32"/>
          <w:szCs w:val="32"/>
        </w:rPr>
      </w:pPr>
    </w:p>
    <w:p>
      <w:pPr>
        <w:ind w:firstLine="4640" w:firstLineChars="145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涞源县应急管理局</w:t>
      </w:r>
    </w:p>
    <w:p>
      <w:pPr>
        <w:ind w:firstLine="4800" w:firstLineChars="15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2024</w:t>
      </w:r>
      <w:r>
        <w:rPr>
          <w:rFonts w:hint="eastAsia" w:ascii="仿宋_GB2312" w:hAnsi="仿宋_GB2312" w:eastAsia="仿宋_GB2312" w:cs="仿宋_GB2312"/>
          <w:sz w:val="32"/>
          <w:szCs w:val="32"/>
        </w:rPr>
        <w:t>年2月</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3日</w:t>
      </w:r>
    </w:p>
    <w:p>
      <w:pPr>
        <w:ind w:firstLine="4800" w:firstLineChars="1500"/>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rPr>
      </w:pPr>
    </w:p>
    <w:p>
      <w:pPr>
        <w:rPr>
          <w:rFonts w:hint="eastAsia" w:ascii="仿宋_GB2312" w:hAnsi="仿宋_GB2312" w:eastAsia="仿宋_GB2312" w:cs="仿宋_GB2312"/>
          <w:sz w:val="32"/>
          <w:szCs w:val="32"/>
          <w:lang w:val="en-US" w:eastAsia="zh-CN"/>
        </w:rPr>
      </w:pPr>
    </w:p>
    <w:p>
      <w:pP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w:t>
      </w:r>
    </w:p>
    <w:tbl>
      <w:tblPr>
        <w:tblStyle w:val="7"/>
        <w:tblpPr w:leftFromText="180" w:rightFromText="180" w:vertAnchor="text" w:horzAnchor="page" w:tblpX="1237" w:tblpY="133"/>
        <w:tblOverlap w:val="never"/>
        <w:tblW w:w="9630" w:type="dxa"/>
        <w:tblInd w:w="0" w:type="dxa"/>
        <w:shd w:val="clear" w:color="auto" w:fill="auto"/>
        <w:tblLayout w:type="fixed"/>
        <w:tblCellMar>
          <w:top w:w="0" w:type="dxa"/>
          <w:left w:w="0" w:type="dxa"/>
          <w:bottom w:w="0" w:type="dxa"/>
          <w:right w:w="0" w:type="dxa"/>
        </w:tblCellMar>
      </w:tblPr>
      <w:tblGrid>
        <w:gridCol w:w="620"/>
        <w:gridCol w:w="3055"/>
        <w:gridCol w:w="2073"/>
        <w:gridCol w:w="1486"/>
        <w:gridCol w:w="1773"/>
        <w:gridCol w:w="623"/>
      </w:tblGrid>
      <w:tr>
        <w:tblPrEx>
          <w:shd w:val="clear" w:color="auto" w:fill="auto"/>
          <w:tblCellMar>
            <w:top w:w="0" w:type="dxa"/>
            <w:left w:w="0" w:type="dxa"/>
            <w:bottom w:w="0" w:type="dxa"/>
            <w:right w:w="0" w:type="dxa"/>
          </w:tblCellMar>
        </w:tblPrEx>
        <w:trPr>
          <w:trHeight w:val="780" w:hRule="atLeast"/>
        </w:trPr>
        <w:tc>
          <w:tcPr>
            <w:tcW w:w="9630" w:type="dxa"/>
            <w:gridSpan w:val="6"/>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仿宋_GB2312" w:hAnsi="等线" w:eastAsia="仿宋_GB2312" w:cs="仿宋_GB2312"/>
                <w:b/>
                <w:i w:val="0"/>
                <w:color w:val="000000"/>
                <w:sz w:val="40"/>
                <w:szCs w:val="40"/>
                <w:u w:val="none"/>
              </w:rPr>
            </w:pPr>
            <w:r>
              <w:rPr>
                <w:rFonts w:hint="default" w:ascii="仿宋_GB2312" w:hAnsi="等线" w:eastAsia="仿宋_GB2312" w:cs="仿宋_GB2312"/>
                <w:b/>
                <w:bCs/>
                <w:i w:val="0"/>
                <w:iCs w:val="0"/>
                <w:color w:val="000000"/>
                <w:kern w:val="0"/>
                <w:sz w:val="40"/>
                <w:szCs w:val="40"/>
                <w:u w:val="none"/>
                <w:lang w:val="en-US" w:eastAsia="zh-CN" w:bidi="ar"/>
              </w:rPr>
              <w:t>重点检查企业名单</w:t>
            </w: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序号</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企业名称</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企业地址</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行业分类</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监管中队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备注</w:t>
            </w:r>
          </w:p>
        </w:tc>
      </w:tr>
      <w:tr>
        <w:tblPrEx>
          <w:tblCellMar>
            <w:top w:w="0" w:type="dxa"/>
            <w:left w:w="0" w:type="dxa"/>
            <w:bottom w:w="0" w:type="dxa"/>
            <w:right w:w="0" w:type="dxa"/>
          </w:tblCellMar>
        </w:tblPrEx>
        <w:trPr>
          <w:trHeight w:val="1429" w:hRule="exac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涞源县富隆矿业有限责任公司钾长石钼矿三采区</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涞源县走马驿镇窑峪口村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地下矿山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矿山监管监察一中队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涞源县京源城矿业有限公司旺儿沟铁矿</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涞源县走马驿镇窑峪口村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露天开采</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矿山监管监察一中队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涞源县鑫鑫矿业有限公司孤坟铁矿</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涞源县水堡镇龙家庄村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矿山监管监察一中队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涞源县京源城矿业有限公司栓马庄铁矿</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涞源县走马驿镇窑峪口村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矿山监管监察一中队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涞源县宏伟工贸有限公司张媳妇沟铁矿</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涞源县杨家庄镇支家庄村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地下矿山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矿山监管监察二中队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涞源县窟窿沟矿业有限责任公司</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涞源县南屯乡朱家庄村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地下矿山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矿山监管监察二中队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涞源县冀恒矿业有限公司（支家庄铁矿）</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涞源县杨家庄镇支家庄村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矿山监管监察二中队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涞源县浩中宇矿业有限公司银山口铅锌矿</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涞源县王安镇镇银山口村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地下矿山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矿山监管监察二中队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涞源县碧成矿业有限公司</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涞源县杨家庄镇浮图峪村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地下矿山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矿山监管监察二中队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10</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涞源县奥瑞矿业有限公司</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涞源县乌龙沟乡大庄村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地下矿山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矿山监管监察二中队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11</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涞源县金谷矿业有限公司鲍家路金矿</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涞源县王安镇鲍家路</w:t>
            </w:r>
          </w:p>
        </w:tc>
        <w:tc>
          <w:tcPr>
            <w:tcW w:w="14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矿山监管监察二中队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12</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涞源县金豪矿业有限公司</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涞源县乌龙沟乡大庄村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矿山监管监察二中队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13</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涞源县恒牛矿业有限公司硫铁矿</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涞源县乌龙沟大庄村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地下矿山</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矿山监管监察二中队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14</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涞源县京源城矿业有限公司城子沟尾矿库-干堆</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涞源县走马驿镇窑峪口村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15</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涞源鑫鑫矿业有限公司小马宗尾矿库</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涞源县水堡镇龙家庄村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16</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涞源鑫鑫矿业有限公司桃花咀尾矿库-头顶库</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涞源县水堡镇龙家庄村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17</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涞源县冀恒矿业有限公司磨石沟尾矿库</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涞源县杨家庄镇木吉村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18</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涞源县鹏程铁选厂大青沟尾矿库</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涞源县走马驿镇白道安村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19</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河北海德矿业有限公司大寨沟尾矿库</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涞源县泉坊镇二道河村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45" w:hRule="exac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20</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涞源县玉鑫矿业有限责任公司尾矿库</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涞源县乌龙沟乡煤窑村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21</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涞源县宏伟工贸有限公司第二分厂-头顶库</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涞源县杨家庄镇冯家庄村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22</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涞源县中凯矿业有限责任公司大庄尾矿库</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涞源县乌龙沟乡大庄村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23</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涞源县和顺源选厂三分厂尾矿库</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涞源县南屯镇马圈村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24</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涞源县建旭矿业有限责任公司龙家庄选厂尾矿库</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涞源县水堡镇龙家庄村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75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25</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涞源县中凯矿业有限责任公司第四分公司小庄尾矿库</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涞源县乌龙沟乡小庄村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w:t>
            </w:r>
            <w:r>
              <w:rPr>
                <w:rFonts w:hint="eastAsia" w:ascii="仿宋_GB2312" w:hAnsi="等线" w:eastAsia="仿宋_GB2312" w:cs="仿宋_GB2312"/>
                <w:i w:val="0"/>
                <w:iCs w:val="0"/>
                <w:color w:val="000000"/>
                <w:kern w:val="0"/>
                <w:sz w:val="28"/>
                <w:szCs w:val="28"/>
                <w:u w:val="none"/>
                <w:lang w:val="en-US" w:eastAsia="zh-CN" w:bidi="ar"/>
              </w:rPr>
              <w:t>6</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中国石化销售股份有限公司河北涞源石油分公司门前站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涞源县冯村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769" w:hRule="exac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w:t>
            </w:r>
            <w:r>
              <w:rPr>
                <w:rFonts w:hint="eastAsia" w:ascii="仿宋_GB2312" w:hAnsi="等线" w:eastAsia="仿宋_GB2312" w:cs="仿宋_GB2312"/>
                <w:i w:val="0"/>
                <w:iCs w:val="0"/>
                <w:color w:val="000000"/>
                <w:kern w:val="0"/>
                <w:sz w:val="28"/>
                <w:szCs w:val="28"/>
                <w:u w:val="none"/>
                <w:lang w:val="en-US" w:eastAsia="zh-CN" w:bidi="ar"/>
              </w:rPr>
              <w:t>7</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中国石化销售有股份限公司河北涞源石油分公司第一加油站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涞源县三甲村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eastAsia" w:ascii="仿宋_GB2312" w:hAnsi="等线" w:eastAsia="仿宋_GB2312" w:cs="仿宋_GB2312"/>
                <w:i w:val="0"/>
                <w:iCs w:val="0"/>
                <w:color w:val="000000"/>
                <w:kern w:val="0"/>
                <w:sz w:val="28"/>
                <w:szCs w:val="28"/>
                <w:u w:val="none"/>
                <w:lang w:val="en-US" w:eastAsia="zh-CN" w:bidi="ar"/>
              </w:rPr>
              <w:t>28</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中国石化销售股份有限公司河北涞源石油分公司第四加油站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涞源县西关</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eastAsia" w:ascii="仿宋_GB2312" w:hAnsi="等线" w:eastAsia="仿宋_GB2312" w:cs="仿宋_GB2312"/>
                <w:i w:val="0"/>
                <w:iCs w:val="0"/>
                <w:color w:val="000000"/>
                <w:kern w:val="0"/>
                <w:sz w:val="28"/>
                <w:szCs w:val="28"/>
                <w:u w:val="none"/>
                <w:lang w:val="en-US" w:eastAsia="zh-CN" w:bidi="ar"/>
              </w:rPr>
              <w:t>29</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中国石化销售股份有限公司河北涞源石油分公司石油公司站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涞源县西关</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w:t>
            </w:r>
            <w:r>
              <w:rPr>
                <w:rFonts w:hint="eastAsia" w:ascii="仿宋_GB2312" w:hAnsi="等线" w:eastAsia="仿宋_GB2312" w:cs="仿宋_GB2312"/>
                <w:i w:val="0"/>
                <w:iCs w:val="0"/>
                <w:color w:val="000000"/>
                <w:kern w:val="0"/>
                <w:sz w:val="28"/>
                <w:szCs w:val="28"/>
                <w:u w:val="none"/>
                <w:lang w:val="en-US" w:eastAsia="zh-CN" w:bidi="ar"/>
              </w:rPr>
              <w:t>0</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中国石化销售股份有限公司河北涞源石油分公司第二加油站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涞源县丰乐村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w:t>
            </w:r>
            <w:r>
              <w:rPr>
                <w:rFonts w:hint="eastAsia" w:ascii="仿宋_GB2312" w:hAnsi="等线" w:eastAsia="仿宋_GB2312" w:cs="仿宋_GB2312"/>
                <w:i w:val="0"/>
                <w:iCs w:val="0"/>
                <w:color w:val="000000"/>
                <w:kern w:val="0"/>
                <w:sz w:val="28"/>
                <w:szCs w:val="28"/>
                <w:u w:val="none"/>
                <w:lang w:val="en-US" w:eastAsia="zh-CN" w:bidi="ar"/>
              </w:rPr>
              <w:t>1</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中国石化销售股份有限公司河北涞源石油分公司高速路服务区西加油站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涞源县金家井</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w:t>
            </w:r>
            <w:r>
              <w:rPr>
                <w:rFonts w:hint="eastAsia" w:ascii="仿宋_GB2312" w:hAnsi="等线" w:eastAsia="仿宋_GB2312" w:cs="仿宋_GB2312"/>
                <w:i w:val="0"/>
                <w:iCs w:val="0"/>
                <w:color w:val="000000"/>
                <w:kern w:val="0"/>
                <w:sz w:val="28"/>
                <w:szCs w:val="28"/>
                <w:u w:val="none"/>
                <w:lang w:val="en-US" w:eastAsia="zh-CN" w:bidi="ar"/>
              </w:rPr>
              <w:t>2</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中国石化销售股份有限公司河北涞源石油分公司高速路服务区东加油站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涞源县金家井</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w:t>
            </w:r>
            <w:r>
              <w:rPr>
                <w:rFonts w:hint="eastAsia" w:ascii="仿宋_GB2312" w:hAnsi="等线" w:eastAsia="仿宋_GB2312" w:cs="仿宋_GB2312"/>
                <w:i w:val="0"/>
                <w:iCs w:val="0"/>
                <w:color w:val="000000"/>
                <w:kern w:val="0"/>
                <w:sz w:val="28"/>
                <w:szCs w:val="28"/>
                <w:u w:val="none"/>
                <w:lang w:val="en-US" w:eastAsia="zh-CN" w:bidi="ar"/>
              </w:rPr>
              <w:t>3</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中国石化销售股份有限公司河北涞源石油分公司南关加油站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涞源县南关</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w:t>
            </w:r>
            <w:r>
              <w:rPr>
                <w:rFonts w:hint="eastAsia" w:ascii="仿宋_GB2312" w:hAnsi="等线" w:eastAsia="仿宋_GB2312" w:cs="仿宋_GB2312"/>
                <w:i w:val="0"/>
                <w:iCs w:val="0"/>
                <w:color w:val="000000"/>
                <w:kern w:val="0"/>
                <w:sz w:val="28"/>
                <w:szCs w:val="28"/>
                <w:u w:val="none"/>
                <w:lang w:val="en-US" w:eastAsia="zh-CN" w:bidi="ar"/>
              </w:rPr>
              <w:t>4</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中国石化销售股份有限公司河北涞源石油分公司张石高速涞源东服务区南加油站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涞源县王安镇</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w:t>
            </w:r>
            <w:r>
              <w:rPr>
                <w:rFonts w:hint="eastAsia" w:ascii="仿宋_GB2312" w:hAnsi="等线" w:eastAsia="仿宋_GB2312" w:cs="仿宋_GB2312"/>
                <w:i w:val="0"/>
                <w:iCs w:val="0"/>
                <w:color w:val="000000"/>
                <w:kern w:val="0"/>
                <w:sz w:val="28"/>
                <w:szCs w:val="28"/>
                <w:u w:val="none"/>
                <w:lang w:val="en-US" w:eastAsia="zh-CN" w:bidi="ar"/>
              </w:rPr>
              <w:t>5</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中国石化销售股份有限公司河北涞源石油分公司张石高速涞源东服务区北加油站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涞源县王安镇</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w:t>
            </w:r>
            <w:r>
              <w:rPr>
                <w:rFonts w:hint="eastAsia" w:ascii="仿宋_GB2312" w:hAnsi="等线" w:eastAsia="仿宋_GB2312" w:cs="仿宋_GB2312"/>
                <w:i w:val="0"/>
                <w:iCs w:val="0"/>
                <w:color w:val="000000"/>
                <w:kern w:val="0"/>
                <w:sz w:val="28"/>
                <w:szCs w:val="28"/>
                <w:u w:val="none"/>
                <w:lang w:val="en-US" w:eastAsia="zh-CN" w:bidi="ar"/>
              </w:rPr>
              <w:t>6</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中国石油天然气股份有限公司河北保定销售分公司第七十四加油站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涞源县水云乡</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w:t>
            </w:r>
            <w:r>
              <w:rPr>
                <w:rFonts w:hint="eastAsia" w:ascii="仿宋_GB2312" w:hAnsi="等线" w:eastAsia="仿宋_GB2312" w:cs="仿宋_GB2312"/>
                <w:i w:val="0"/>
                <w:iCs w:val="0"/>
                <w:color w:val="000000"/>
                <w:kern w:val="0"/>
                <w:sz w:val="28"/>
                <w:szCs w:val="28"/>
                <w:u w:val="none"/>
                <w:lang w:val="en-US" w:eastAsia="zh-CN" w:bidi="ar"/>
              </w:rPr>
              <w:t>7</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中国石油天然气股份有限公司河北保定销售分公司第五十一加油站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涞源县西关</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eastAsia" w:ascii="仿宋_GB2312" w:hAnsi="等线" w:eastAsia="仿宋_GB2312" w:cs="仿宋_GB2312"/>
                <w:i w:val="0"/>
                <w:iCs w:val="0"/>
                <w:color w:val="000000"/>
                <w:kern w:val="0"/>
                <w:sz w:val="28"/>
                <w:szCs w:val="28"/>
                <w:u w:val="none"/>
                <w:lang w:val="en-US" w:eastAsia="zh-CN" w:bidi="ar"/>
              </w:rPr>
              <w:t>38</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中国石油天然气股份有限公司河北保定销售分公司第一百二十四加油站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涞源县小河村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eastAsia" w:ascii="仿宋_GB2312" w:hAnsi="等线" w:eastAsia="仿宋_GB2312" w:cs="仿宋_GB2312"/>
                <w:i w:val="0"/>
                <w:iCs w:val="0"/>
                <w:color w:val="000000"/>
                <w:kern w:val="0"/>
                <w:sz w:val="28"/>
                <w:szCs w:val="28"/>
                <w:u w:val="none"/>
                <w:lang w:val="en-US" w:eastAsia="zh-CN" w:bidi="ar"/>
              </w:rPr>
              <w:t>39</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河北保定运输集团有限责任公司第六运输分公司加油站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泉  坊</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500"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w:t>
            </w:r>
            <w:r>
              <w:rPr>
                <w:rFonts w:hint="eastAsia" w:ascii="仿宋_GB2312" w:hAnsi="等线" w:eastAsia="仿宋_GB2312" w:cs="仿宋_GB2312"/>
                <w:i w:val="0"/>
                <w:iCs w:val="0"/>
                <w:color w:val="000000"/>
                <w:kern w:val="0"/>
                <w:sz w:val="28"/>
                <w:szCs w:val="28"/>
                <w:u w:val="none"/>
                <w:lang w:val="en-US" w:eastAsia="zh-CN" w:bidi="ar"/>
              </w:rPr>
              <w:t>0</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涞源县中保石油销售有限公司</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涞源县张石高速南口西侧</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4</w:t>
            </w:r>
            <w:r>
              <w:rPr>
                <w:rFonts w:hint="eastAsia" w:ascii="仿宋_GB2312" w:hAnsi="等线" w:eastAsia="仿宋_GB2312" w:cs="仿宋_GB2312"/>
                <w:i w:val="0"/>
                <w:iCs w:val="0"/>
                <w:color w:val="000000"/>
                <w:kern w:val="0"/>
                <w:sz w:val="28"/>
                <w:szCs w:val="28"/>
                <w:u w:val="none"/>
                <w:lang w:val="en-US" w:eastAsia="zh-CN" w:bidi="ar"/>
              </w:rPr>
              <w:t>1</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涞源县巨航加油站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涞源县后泉坊村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4</w:t>
            </w:r>
            <w:r>
              <w:rPr>
                <w:rFonts w:hint="eastAsia" w:ascii="仿宋_GB2312" w:hAnsi="等线" w:eastAsia="仿宋_GB2312" w:cs="仿宋_GB2312"/>
                <w:i w:val="0"/>
                <w:iCs w:val="0"/>
                <w:color w:val="000000"/>
                <w:kern w:val="0"/>
                <w:sz w:val="28"/>
                <w:szCs w:val="28"/>
                <w:u w:val="none"/>
                <w:lang w:val="en-US" w:eastAsia="zh-CN" w:bidi="ar"/>
              </w:rPr>
              <w:t>2</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涞源县陆恒加油站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涞源县前泉坊村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4</w:t>
            </w:r>
            <w:r>
              <w:rPr>
                <w:rFonts w:hint="eastAsia" w:ascii="仿宋_GB2312" w:hAnsi="等线" w:eastAsia="仿宋_GB2312" w:cs="仿宋_GB2312"/>
                <w:i w:val="0"/>
                <w:iCs w:val="0"/>
                <w:color w:val="000000"/>
                <w:kern w:val="0"/>
                <w:sz w:val="28"/>
                <w:szCs w:val="28"/>
                <w:u w:val="none"/>
                <w:lang w:val="en-US" w:eastAsia="zh-CN" w:bidi="ar"/>
              </w:rPr>
              <w:t>3</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涞源县林浩加油站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涞源县东关</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4</w:t>
            </w:r>
            <w:r>
              <w:rPr>
                <w:rFonts w:hint="eastAsia" w:ascii="仿宋_GB2312" w:hAnsi="等线" w:eastAsia="仿宋_GB2312" w:cs="仿宋_GB2312"/>
                <w:i w:val="0"/>
                <w:iCs w:val="0"/>
                <w:color w:val="000000"/>
                <w:kern w:val="0"/>
                <w:sz w:val="28"/>
                <w:szCs w:val="28"/>
                <w:u w:val="none"/>
                <w:lang w:val="en-US" w:eastAsia="zh-CN" w:bidi="ar"/>
              </w:rPr>
              <w:t>4</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涞源县隆盛加油站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涞源县老虎头</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4</w:t>
            </w:r>
            <w:r>
              <w:rPr>
                <w:rFonts w:hint="eastAsia" w:ascii="仿宋_GB2312" w:hAnsi="等线" w:eastAsia="仿宋_GB2312" w:cs="仿宋_GB2312"/>
                <w:i w:val="0"/>
                <w:iCs w:val="0"/>
                <w:color w:val="000000"/>
                <w:kern w:val="0"/>
                <w:sz w:val="28"/>
                <w:szCs w:val="28"/>
                <w:u w:val="none"/>
                <w:lang w:val="en-US" w:eastAsia="zh-CN" w:bidi="ar"/>
              </w:rPr>
              <w:t>5</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涞源县乾阔加油站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涞源县北韩村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4</w:t>
            </w:r>
            <w:r>
              <w:rPr>
                <w:rFonts w:hint="eastAsia" w:ascii="仿宋_GB2312" w:hAnsi="等线" w:eastAsia="仿宋_GB2312" w:cs="仿宋_GB2312"/>
                <w:i w:val="0"/>
                <w:iCs w:val="0"/>
                <w:color w:val="000000"/>
                <w:kern w:val="0"/>
                <w:sz w:val="28"/>
                <w:szCs w:val="28"/>
                <w:u w:val="none"/>
                <w:lang w:val="en-US" w:eastAsia="zh-CN" w:bidi="ar"/>
              </w:rPr>
              <w:t>6</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涞源县顺达石油有限公司</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涞源县走马驿</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4</w:t>
            </w:r>
            <w:r>
              <w:rPr>
                <w:rFonts w:hint="eastAsia" w:ascii="仿宋_GB2312" w:hAnsi="等线" w:eastAsia="仿宋_GB2312" w:cs="仿宋_GB2312"/>
                <w:i w:val="0"/>
                <w:iCs w:val="0"/>
                <w:color w:val="000000"/>
                <w:kern w:val="0"/>
                <w:sz w:val="28"/>
                <w:szCs w:val="28"/>
                <w:u w:val="none"/>
                <w:lang w:val="en-US" w:eastAsia="zh-CN" w:bidi="ar"/>
              </w:rPr>
              <w:t>7</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涞源县龙家庄加油站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涞源县水堡镇</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eastAsia="zh-CN"/>
              </w:rPr>
            </w:pPr>
            <w:r>
              <w:rPr>
                <w:rFonts w:hint="eastAsia" w:ascii="仿宋_GB2312" w:hAnsi="等线" w:eastAsia="仿宋_GB2312" w:cs="仿宋_GB2312"/>
                <w:i w:val="0"/>
                <w:color w:val="000000"/>
                <w:sz w:val="28"/>
                <w:szCs w:val="28"/>
                <w:u w:val="none"/>
                <w:lang w:val="en-US" w:eastAsia="zh-CN"/>
              </w:rPr>
              <w:t>48</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涞源县途达加油站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涞源县高家台</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eastAsia="zh-CN"/>
              </w:rPr>
            </w:pPr>
            <w:r>
              <w:rPr>
                <w:rFonts w:hint="eastAsia" w:ascii="仿宋_GB2312" w:hAnsi="等线" w:eastAsia="仿宋_GB2312" w:cs="仿宋_GB2312"/>
                <w:i w:val="0"/>
                <w:color w:val="000000"/>
                <w:sz w:val="28"/>
                <w:szCs w:val="28"/>
                <w:u w:val="none"/>
                <w:lang w:val="en-US" w:eastAsia="zh-CN"/>
              </w:rPr>
              <w:t>49</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涞源县独山城矿山加油站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涞源县独山城</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5</w:t>
            </w:r>
            <w:r>
              <w:rPr>
                <w:rFonts w:hint="eastAsia" w:ascii="仿宋_GB2312" w:hAnsi="等线" w:eastAsia="仿宋_GB2312" w:cs="仿宋_GB2312"/>
                <w:i w:val="0"/>
                <w:iCs w:val="0"/>
                <w:color w:val="000000"/>
                <w:kern w:val="0"/>
                <w:sz w:val="28"/>
                <w:szCs w:val="28"/>
                <w:u w:val="none"/>
                <w:lang w:val="en-US" w:eastAsia="zh-CN" w:bidi="ar"/>
              </w:rPr>
              <w:t>0</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涞源县运通加油站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涞源县花园村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5</w:t>
            </w:r>
            <w:r>
              <w:rPr>
                <w:rFonts w:hint="eastAsia" w:ascii="仿宋_GB2312" w:hAnsi="等线" w:eastAsia="仿宋_GB2312" w:cs="仿宋_GB2312"/>
                <w:i w:val="0"/>
                <w:iCs w:val="0"/>
                <w:color w:val="000000"/>
                <w:kern w:val="0"/>
                <w:sz w:val="28"/>
                <w:szCs w:val="28"/>
                <w:u w:val="none"/>
                <w:lang w:val="en-US" w:eastAsia="zh-CN" w:bidi="ar"/>
              </w:rPr>
              <w:t>1</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涞源县凯兴加油站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涞源县水堡村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93" w:hRule="exac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5</w:t>
            </w:r>
            <w:r>
              <w:rPr>
                <w:rFonts w:hint="eastAsia" w:ascii="仿宋_GB2312" w:hAnsi="等线" w:eastAsia="仿宋_GB2312" w:cs="仿宋_GB2312"/>
                <w:i w:val="0"/>
                <w:iCs w:val="0"/>
                <w:color w:val="000000"/>
                <w:kern w:val="0"/>
                <w:sz w:val="28"/>
                <w:szCs w:val="28"/>
                <w:u w:val="none"/>
                <w:lang w:val="en-US" w:eastAsia="zh-CN" w:bidi="ar"/>
              </w:rPr>
              <w:t>2</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涞源县瑞祥加油站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涞源县北石佛村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w:t>
            </w:r>
            <w:r>
              <w:rPr>
                <w:rFonts w:hint="eastAsia" w:ascii="仿宋_GB2312" w:hAnsi="等线" w:eastAsia="仿宋_GB2312" w:cs="仿宋_GB2312"/>
                <w:i w:val="0"/>
                <w:iCs w:val="0"/>
                <w:color w:val="000000"/>
                <w:kern w:val="0"/>
                <w:sz w:val="28"/>
                <w:szCs w:val="28"/>
                <w:u w:val="none"/>
                <w:lang w:val="en-US" w:eastAsia="zh-CN" w:bidi="ar"/>
              </w:rPr>
              <w:t>3</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涞源县福林加油站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涞源县石道沟</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w:t>
            </w:r>
            <w:r>
              <w:rPr>
                <w:rFonts w:hint="eastAsia" w:ascii="仿宋_GB2312" w:hAnsi="等线" w:eastAsia="仿宋_GB2312" w:cs="仿宋_GB2312"/>
                <w:i w:val="0"/>
                <w:iCs w:val="0"/>
                <w:color w:val="000000"/>
                <w:kern w:val="0"/>
                <w:sz w:val="28"/>
                <w:szCs w:val="28"/>
                <w:u w:val="none"/>
                <w:lang w:val="en-US" w:eastAsia="zh-CN" w:bidi="ar"/>
              </w:rPr>
              <w:t>4</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涞源县慧龙加油站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涞源县水堡村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w:t>
            </w:r>
            <w:r>
              <w:rPr>
                <w:rFonts w:hint="eastAsia" w:ascii="仿宋_GB2312" w:hAnsi="等线" w:eastAsia="仿宋_GB2312" w:cs="仿宋_GB2312"/>
                <w:i w:val="0"/>
                <w:iCs w:val="0"/>
                <w:color w:val="000000"/>
                <w:kern w:val="0"/>
                <w:sz w:val="28"/>
                <w:szCs w:val="28"/>
                <w:u w:val="none"/>
                <w:lang w:val="en-US" w:eastAsia="zh-CN" w:bidi="ar"/>
              </w:rPr>
              <w:t>5</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涞源县国昌加油站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涞源县丰乐村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w:t>
            </w:r>
            <w:r>
              <w:rPr>
                <w:rFonts w:hint="eastAsia" w:ascii="仿宋_GB2312" w:hAnsi="等线" w:eastAsia="仿宋_GB2312" w:cs="仿宋_GB2312"/>
                <w:i w:val="0"/>
                <w:iCs w:val="0"/>
                <w:color w:val="000000"/>
                <w:kern w:val="0"/>
                <w:sz w:val="28"/>
                <w:szCs w:val="28"/>
                <w:u w:val="none"/>
                <w:lang w:val="en-US" w:eastAsia="zh-CN" w:bidi="ar"/>
              </w:rPr>
              <w:t>6</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涞源县双林加油站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涞源县丰乐村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w:t>
            </w:r>
            <w:r>
              <w:rPr>
                <w:rFonts w:hint="eastAsia" w:ascii="仿宋_GB2312" w:hAnsi="等线" w:eastAsia="仿宋_GB2312" w:cs="仿宋_GB2312"/>
                <w:i w:val="0"/>
                <w:iCs w:val="0"/>
                <w:color w:val="000000"/>
                <w:kern w:val="0"/>
                <w:sz w:val="28"/>
                <w:szCs w:val="28"/>
                <w:u w:val="none"/>
                <w:lang w:val="en-US" w:eastAsia="zh-CN" w:bidi="ar"/>
              </w:rPr>
              <w:t>7</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涞源县荣达加油站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涞源县丰乐村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44"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iCs w:val="0"/>
                <w:color w:val="000000"/>
                <w:kern w:val="0"/>
                <w:sz w:val="28"/>
                <w:szCs w:val="28"/>
                <w:u w:val="none"/>
                <w:lang w:val="en-US" w:eastAsia="zh-CN" w:bidi="ar"/>
              </w:rPr>
              <w:t>58</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涞源县三甲村加油站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涞源县三甲村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79" w:hRule="exac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eastAsia" w:ascii="仿宋_GB2312" w:hAnsi="等线" w:eastAsia="仿宋_GB2312" w:cs="仿宋_GB2312"/>
                <w:i w:val="0"/>
                <w:iCs w:val="0"/>
                <w:color w:val="000000"/>
                <w:kern w:val="0"/>
                <w:sz w:val="28"/>
                <w:szCs w:val="28"/>
                <w:u w:val="none"/>
                <w:lang w:val="en-US" w:eastAsia="zh-CN" w:bidi="ar"/>
              </w:rPr>
              <w:t>59</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涞源县广泰加油站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涞源县浮图峪村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w:t>
            </w:r>
            <w:r>
              <w:rPr>
                <w:rFonts w:hint="eastAsia" w:ascii="仿宋_GB2312" w:hAnsi="等线" w:eastAsia="仿宋_GB2312" w:cs="仿宋_GB2312"/>
                <w:i w:val="0"/>
                <w:iCs w:val="0"/>
                <w:color w:val="000000"/>
                <w:kern w:val="0"/>
                <w:sz w:val="28"/>
                <w:szCs w:val="28"/>
                <w:u w:val="none"/>
                <w:lang w:val="en-US" w:eastAsia="zh-CN" w:bidi="ar"/>
              </w:rPr>
              <w:t>0</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涞源县航程加油站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涞源县大庄</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6</w:t>
            </w:r>
            <w:r>
              <w:rPr>
                <w:rFonts w:hint="eastAsia" w:ascii="仿宋_GB2312" w:hAnsi="等线" w:eastAsia="仿宋_GB2312" w:cs="仿宋_GB2312"/>
                <w:i w:val="0"/>
                <w:iCs w:val="0"/>
                <w:color w:val="000000"/>
                <w:kern w:val="0"/>
                <w:sz w:val="28"/>
                <w:szCs w:val="28"/>
                <w:u w:val="none"/>
                <w:lang w:val="en-US" w:eastAsia="zh-CN" w:bidi="ar"/>
              </w:rPr>
              <w:t>1</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涞源县京秦涞三联加油站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涞源县马家屯村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default" w:ascii="仿宋_GB2312" w:hAnsi="等线" w:eastAsia="仿宋_GB2312" w:cs="仿宋_GB2312"/>
                <w:i w:val="0"/>
                <w:iCs w:val="0"/>
                <w:color w:val="000000"/>
                <w:kern w:val="0"/>
                <w:sz w:val="28"/>
                <w:szCs w:val="28"/>
                <w:u w:val="none"/>
                <w:lang w:val="en-US" w:eastAsia="zh-CN" w:bidi="ar"/>
              </w:rPr>
              <w:t>6</w:t>
            </w:r>
            <w:r>
              <w:rPr>
                <w:rFonts w:hint="eastAsia" w:ascii="仿宋_GB2312" w:hAnsi="等线" w:eastAsia="仿宋_GB2312" w:cs="仿宋_GB2312"/>
                <w:i w:val="0"/>
                <w:iCs w:val="0"/>
                <w:color w:val="000000"/>
                <w:kern w:val="0"/>
                <w:sz w:val="28"/>
                <w:szCs w:val="28"/>
                <w:u w:val="none"/>
                <w:lang w:val="en-US" w:eastAsia="zh-CN" w:bidi="ar"/>
              </w:rPr>
              <w:t>2</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涞源县马屯正星加油站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涞源县马家屯村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w:t>
            </w:r>
            <w:r>
              <w:rPr>
                <w:rFonts w:hint="eastAsia" w:ascii="仿宋_GB2312" w:hAnsi="等线" w:eastAsia="仿宋_GB2312" w:cs="仿宋_GB2312"/>
                <w:i w:val="0"/>
                <w:iCs w:val="0"/>
                <w:color w:val="000000"/>
                <w:kern w:val="0"/>
                <w:sz w:val="28"/>
                <w:szCs w:val="28"/>
                <w:u w:val="none"/>
                <w:lang w:val="en-US" w:eastAsia="zh-CN" w:bidi="ar"/>
              </w:rPr>
              <w:t>3</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涞源县天信石油有限公司</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涞源县上庄乡</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w:t>
            </w:r>
            <w:r>
              <w:rPr>
                <w:rFonts w:hint="eastAsia" w:ascii="仿宋_GB2312" w:hAnsi="等线" w:eastAsia="仿宋_GB2312" w:cs="仿宋_GB2312"/>
                <w:i w:val="0"/>
                <w:iCs w:val="0"/>
                <w:color w:val="000000"/>
                <w:kern w:val="0"/>
                <w:sz w:val="28"/>
                <w:szCs w:val="28"/>
                <w:u w:val="none"/>
                <w:lang w:val="en-US" w:eastAsia="zh-CN" w:bidi="ar"/>
              </w:rPr>
              <w:t>4</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涞源县东升加油站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涞源县马家屯村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w:t>
            </w:r>
            <w:r>
              <w:rPr>
                <w:rFonts w:hint="eastAsia" w:ascii="仿宋_GB2312" w:hAnsi="等线" w:eastAsia="仿宋_GB2312" w:cs="仿宋_GB2312"/>
                <w:i w:val="0"/>
                <w:iCs w:val="0"/>
                <w:color w:val="000000"/>
                <w:kern w:val="0"/>
                <w:sz w:val="28"/>
                <w:szCs w:val="28"/>
                <w:u w:val="none"/>
                <w:lang w:val="en-US" w:eastAsia="zh-CN" w:bidi="ar"/>
              </w:rPr>
              <w:t>5</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涞源县天源加油站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涞源县水堡镇</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w:t>
            </w:r>
            <w:r>
              <w:rPr>
                <w:rFonts w:hint="eastAsia" w:ascii="仿宋_GB2312" w:hAnsi="等线" w:eastAsia="仿宋_GB2312" w:cs="仿宋_GB2312"/>
                <w:i w:val="0"/>
                <w:iCs w:val="0"/>
                <w:color w:val="000000"/>
                <w:kern w:val="0"/>
                <w:sz w:val="28"/>
                <w:szCs w:val="28"/>
                <w:u w:val="none"/>
                <w:lang w:val="en-US" w:eastAsia="zh-CN" w:bidi="ar"/>
              </w:rPr>
              <w:t>6</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涞源县矿粉源加油站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涞源县浮图峪</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w:t>
            </w:r>
            <w:r>
              <w:rPr>
                <w:rFonts w:hint="eastAsia" w:ascii="仿宋_GB2312" w:hAnsi="等线" w:eastAsia="仿宋_GB2312" w:cs="仿宋_GB2312"/>
                <w:i w:val="0"/>
                <w:iCs w:val="0"/>
                <w:color w:val="000000"/>
                <w:kern w:val="0"/>
                <w:sz w:val="28"/>
                <w:szCs w:val="28"/>
                <w:u w:val="none"/>
                <w:lang w:val="en-US" w:eastAsia="zh-CN" w:bidi="ar"/>
              </w:rPr>
              <w:t>7</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河北高速集源燕赵驿行有限公司黄土岭服务区南加油站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涞源县黄土岭服务区</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5"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eastAsia" w:ascii="仿宋_GB2312" w:hAnsi="等线" w:eastAsia="仿宋_GB2312" w:cs="仿宋_GB2312"/>
                <w:i w:val="0"/>
                <w:iCs w:val="0"/>
                <w:color w:val="000000"/>
                <w:kern w:val="0"/>
                <w:sz w:val="28"/>
                <w:szCs w:val="28"/>
                <w:u w:val="none"/>
                <w:lang w:val="en-US" w:eastAsia="zh-CN" w:bidi="ar"/>
              </w:rPr>
              <w:t>68</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河北高速集源燕赵驿行有限公司黄土岭服务区北加油站</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涞源县黄土岭服务区</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79" w:hRule="exac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color w:val="000000"/>
                <w:sz w:val="28"/>
                <w:szCs w:val="28"/>
                <w:u w:val="none"/>
                <w:lang w:val="en-US"/>
              </w:rPr>
            </w:pPr>
            <w:r>
              <w:rPr>
                <w:rFonts w:hint="eastAsia" w:ascii="仿宋_GB2312" w:hAnsi="等线" w:eastAsia="仿宋_GB2312" w:cs="仿宋_GB2312"/>
                <w:i w:val="0"/>
                <w:iCs w:val="0"/>
                <w:color w:val="000000"/>
                <w:kern w:val="0"/>
                <w:sz w:val="28"/>
                <w:szCs w:val="28"/>
                <w:u w:val="none"/>
                <w:lang w:val="en-US" w:eastAsia="zh-CN" w:bidi="ar"/>
              </w:rPr>
              <w:t>69</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涞源县集源石油有限公司</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涞源县白石山村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危化经营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79" w:hRule="exac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eastAsia" w:ascii="仿宋_GB2312" w:hAnsi="等线" w:eastAsia="仿宋_GB2312" w:cs="仿宋_GB2312"/>
                <w:i w:val="0"/>
                <w:iCs w:val="0"/>
                <w:color w:val="000000"/>
                <w:kern w:val="0"/>
                <w:sz w:val="28"/>
                <w:szCs w:val="28"/>
                <w:u w:val="none"/>
                <w:lang w:val="en-US" w:eastAsia="zh-CN" w:bidi="ar"/>
              </w:rPr>
              <w:t>70</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河北神邦矿业有限公司恒昌球团厂</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保定市涞源县杨家庄镇木吉村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轻工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79" w:hRule="exac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eastAsia" w:ascii="仿宋_GB2312" w:hAnsi="等线" w:eastAsia="仿宋_GB2312" w:cs="仿宋_GB2312"/>
                <w:i w:val="0"/>
                <w:iCs w:val="0"/>
                <w:color w:val="000000"/>
                <w:kern w:val="0"/>
                <w:sz w:val="28"/>
                <w:szCs w:val="28"/>
                <w:u w:val="none"/>
                <w:lang w:val="en-US" w:eastAsia="zh-CN" w:bidi="ar"/>
              </w:rPr>
              <w:t>71</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河北雄源服装科技有限公司</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丰乐村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纺织</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79" w:hRule="exact"/>
        </w:trPr>
        <w:tc>
          <w:tcPr>
            <w:tcW w:w="6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eastAsia" w:ascii="仿宋_GB2312" w:hAnsi="等线" w:eastAsia="仿宋_GB2312" w:cs="仿宋_GB2312"/>
                <w:i w:val="0"/>
                <w:iCs w:val="0"/>
                <w:color w:val="000000"/>
                <w:kern w:val="0"/>
                <w:sz w:val="28"/>
                <w:szCs w:val="28"/>
                <w:u w:val="none"/>
                <w:lang w:val="en-US" w:eastAsia="zh-CN" w:bidi="ar"/>
              </w:rPr>
              <w:t>72</w:t>
            </w:r>
          </w:p>
        </w:tc>
        <w:tc>
          <w:tcPr>
            <w:tcW w:w="30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保定玖兴饲料加工有限公司</w:t>
            </w:r>
          </w:p>
        </w:tc>
        <w:tc>
          <w:tcPr>
            <w:tcW w:w="20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 xml:space="preserve">金家井乡   </w:t>
            </w:r>
            <w:r>
              <w:rPr>
                <w:rFonts w:hint="eastAsia" w:ascii="仿宋_GB2312" w:hAnsi="等线" w:eastAsia="仿宋_GB2312" w:cs="仿宋_GB2312"/>
                <w:i w:val="0"/>
                <w:iCs w:val="0"/>
                <w:color w:val="000000"/>
                <w:kern w:val="0"/>
                <w:sz w:val="28"/>
                <w:szCs w:val="28"/>
                <w:u w:val="none"/>
                <w:lang w:val="en-US" w:eastAsia="zh-CN" w:bidi="ar"/>
              </w:rPr>
              <w:t xml:space="preserve"> </w:t>
            </w:r>
            <w:r>
              <w:rPr>
                <w:rFonts w:hint="default" w:ascii="仿宋_GB2312" w:hAnsi="等线" w:eastAsia="仿宋_GB2312" w:cs="仿宋_GB2312"/>
                <w:i w:val="0"/>
                <w:iCs w:val="0"/>
                <w:color w:val="000000"/>
                <w:kern w:val="0"/>
                <w:sz w:val="28"/>
                <w:szCs w:val="28"/>
                <w:u w:val="none"/>
                <w:lang w:val="en-US" w:eastAsia="zh-CN" w:bidi="ar"/>
              </w:rPr>
              <w:t xml:space="preserve"> 金家井村</w:t>
            </w:r>
          </w:p>
        </w:tc>
        <w:tc>
          <w:tcPr>
            <w:tcW w:w="14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轻工</w:t>
            </w:r>
          </w:p>
        </w:tc>
        <w:tc>
          <w:tcPr>
            <w:tcW w:w="177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_GB2312" w:hAnsi="等线" w:eastAsia="仿宋_GB2312" w:cs="仿宋_GB2312"/>
                <w:i w:val="0"/>
                <w:iCs w:val="0"/>
                <w:color w:val="000000"/>
                <w:kern w:val="0"/>
                <w:sz w:val="28"/>
                <w:szCs w:val="28"/>
                <w:u w:val="none"/>
                <w:lang w:val="en-US" w:eastAsia="zh-CN" w:bidi="ar"/>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rPr>
                <w:rFonts w:hint="eastAsia" w:ascii="仿宋_GB2312" w:hAnsi="等线" w:eastAsia="仿宋_GB2312" w:cs="仿宋_GB2312"/>
                <w:i w:val="0"/>
                <w:color w:val="000000"/>
                <w:sz w:val="28"/>
                <w:szCs w:val="28"/>
                <w:u w:val="none"/>
              </w:rPr>
            </w:pPr>
          </w:p>
        </w:tc>
      </w:tr>
    </w:tbl>
    <w:p>
      <w:pPr>
        <w:bidi w:val="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tbl>
      <w:tblPr>
        <w:tblStyle w:val="7"/>
        <w:tblpPr w:leftFromText="180" w:rightFromText="180" w:vertAnchor="text" w:horzAnchor="page" w:tblpX="1203" w:tblpY="570"/>
        <w:tblOverlap w:val="never"/>
        <w:tblW w:w="9695" w:type="dxa"/>
        <w:tblInd w:w="0" w:type="dxa"/>
        <w:shd w:val="clear" w:color="auto" w:fill="auto"/>
        <w:tblLayout w:type="fixed"/>
        <w:tblCellMar>
          <w:top w:w="0" w:type="dxa"/>
          <w:left w:w="0" w:type="dxa"/>
          <w:bottom w:w="0" w:type="dxa"/>
          <w:right w:w="0" w:type="dxa"/>
        </w:tblCellMar>
      </w:tblPr>
      <w:tblGrid>
        <w:gridCol w:w="641"/>
        <w:gridCol w:w="3054"/>
        <w:gridCol w:w="2168"/>
        <w:gridCol w:w="1405"/>
        <w:gridCol w:w="1786"/>
        <w:gridCol w:w="641"/>
      </w:tblGrid>
      <w:tr>
        <w:tblPrEx>
          <w:shd w:val="clear" w:color="auto" w:fill="auto"/>
          <w:tblCellMar>
            <w:top w:w="0" w:type="dxa"/>
            <w:left w:w="0" w:type="dxa"/>
            <w:bottom w:w="0" w:type="dxa"/>
            <w:right w:w="0" w:type="dxa"/>
          </w:tblCellMar>
        </w:tblPrEx>
        <w:trPr>
          <w:trHeight w:val="900" w:hRule="atLeast"/>
        </w:trPr>
        <w:tc>
          <w:tcPr>
            <w:tcW w:w="9695" w:type="dxa"/>
            <w:gridSpan w:val="6"/>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仿宋_GB2312" w:hAnsi="等线" w:eastAsia="仿宋_GB2312" w:cs="仿宋_GB2312"/>
                <w:b/>
                <w:i w:val="0"/>
                <w:color w:val="000000"/>
                <w:sz w:val="40"/>
                <w:szCs w:val="40"/>
                <w:u w:val="none"/>
              </w:rPr>
            </w:pPr>
            <w:r>
              <w:rPr>
                <w:rFonts w:hint="default" w:ascii="仿宋_GB2312" w:hAnsi="等线" w:eastAsia="仿宋_GB2312" w:cs="仿宋_GB2312"/>
                <w:b/>
                <w:bCs/>
                <w:i w:val="0"/>
                <w:iCs w:val="0"/>
                <w:color w:val="000000"/>
                <w:kern w:val="0"/>
                <w:sz w:val="40"/>
                <w:szCs w:val="40"/>
                <w:u w:val="none"/>
                <w:lang w:val="en-US" w:eastAsia="zh-CN" w:bidi="ar"/>
              </w:rPr>
              <w:t>一般检查企业名单</w:t>
            </w: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序号</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企业名称</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企业地址</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行业分类</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监管中队</w:t>
            </w:r>
          </w:p>
        </w:tc>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备注</w:t>
            </w:r>
          </w:p>
        </w:tc>
      </w:tr>
      <w:tr>
        <w:tblPrEx>
          <w:tblCellMar>
            <w:top w:w="0" w:type="dxa"/>
            <w:left w:w="0" w:type="dxa"/>
            <w:bottom w:w="0" w:type="dxa"/>
            <w:right w:w="0" w:type="dxa"/>
          </w:tblCellMar>
        </w:tblPrEx>
        <w:trPr>
          <w:trHeight w:val="116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涞源县宝泽峰矿业有限责任公司牌坊村建筑用白云岩矿</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涞源县北石佛乡牌坊村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露天矿山</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 一中队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涞源县业盛水泥砖销售有限公司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涞源县金家井乡寨沟门村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露天矿山</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 一中队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保定兆鑫商贸有限公司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涞源县金家井乡南坡底村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露天矿山</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 一中队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涞源县岩玉石材有限公司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涞源县走马驿镇吕家庄村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地下矿山</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 一中队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涞源县龙马兴业石材有限公司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涞源县银坊镇长祥沟</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露天开采</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 一中队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涞源县神海石材矿业有限公司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涞源县银坊镇银坊村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地下开采</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 一中队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涞源县凯拓石材有限公司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涞源县走马驿镇窑峪口村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露天矿山</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 一中队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涞源县城权砂石有限公司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涞源县北石佛乡石道沟村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露天矿山</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 一中队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涞源县步泰矿业有限公司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涞源县金家井乡</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露天矿山</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矿山监管监察 一中队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10</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涞源县汇生矿业有限公司王安镇分公司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王安镇东辛庄</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11</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涞源县宏伟工贸有限公司尾矿库</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涞源县杨家庄镇张家庄村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12</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涞源县玉鑫矿业有限责任公司尾矿库</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涞源县乌龙沟乡煤窑村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13</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涞源县聚鑫选厂尾矿库</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涞源县乌龙沟乡煤窑村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14</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涞源县银山口庆喜铅锌选厂尾矿库</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涞源县王安镇镇银山口村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15</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涞源县宇彤矿业有限公司尾矿库</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涞源县银坊镇下碾盘村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16</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涞源县莲旺矿业有限责任公司尾矿库(柏叶)</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涞源县银坊镇松树台村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尾矿库</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选矿监管监察中队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17</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涞源县彩轩氧气乙炔经销部</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涞源县丰乐村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氧气、乙炔经营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18</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涞源县明大氧气乙炔经销部</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涞源县浮图峪</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氧气、乙炔经营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85" w:hRule="exac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19</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涞源县丰润氧气乙炔经销部</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王安镇山炮村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氧气、乙炔经营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20</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涞源县枰润氧气经销站</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涞源县北石佛村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氧气、乙炔经营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21</w:t>
            </w:r>
          </w:p>
        </w:tc>
        <w:tc>
          <w:tcPr>
            <w:tcW w:w="30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涞源县燃乐气体有限公司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涞源县曲村</w:t>
            </w:r>
          </w:p>
        </w:tc>
        <w:tc>
          <w:tcPr>
            <w:tcW w:w="14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氧气、乙炔经营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22</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涞源县威武商贸有限公司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涞源县城区</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氧气、乙炔经营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23</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涞源县沈鑫商贸有限公司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涞源县城区</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氧气、乙炔经营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24</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涞源县瑞先氧气站</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涞源县前泉坊村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氧气、乙炔经营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危险化学品监管监察中队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25</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涞源县皇朝酒店服务有限公司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保定市涞源县景秀街17号</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26</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涞源华中假日酒店有限公司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保定市涞源县白石山镇</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27</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涞源县瀚都快捷酒店</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保定市涞源县富强路</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28</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涞源县悦栈酒店服务有限公司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保定市涞源县后泉坊村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29</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涞源县万悦酒店有限公司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保定市涞源县百泉路路南水云乡段</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30</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涞源县玉泉商场</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保定市涞源县聚源大街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31</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涞源县顶利鲜商贸有限责任公司生活广场</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保定市涞源县广平大街50号</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32</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涞源县锦和购物中心</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涞源县沙河大街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33</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涞水县信誉商厦涞源店</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保定市涞源县广平大街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34</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涞源县恒隆商贸有限责任公司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保定市涞源县百泉路旧汽车站路南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35</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涞源县涞百购物广场有限公司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保定市涞源县广场大街54号</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36</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涞源县泊诗乐酒店有限公司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保定市涞源县景秀大街11号</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37</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涞源县帝都商务酒店有限公司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涞源县职教中心住宅楼北侧6号</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38</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涞源县悦都主题酒店</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保定市涞源县百泉路</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39</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涞源县华容酒店有限公司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保定市涞源县百泉路389号</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40</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涞源县晋源酒店</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保定市涞源县百泉路</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41</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涞源县千盛商贸有限公司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保定市涞源县百泉路</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42</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涞源县西美大酒店</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保定市涞源县百泉路</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43</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涞源县夏都假日酒店有限公司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保定市涞源县百泉路</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44</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涞源县漫臣酒店有限公司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保定市涞源县百泉路</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45</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涞源县徐百酒店</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保定市涞源县百泉路</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46</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涞源县凉城假日旅行社凉城假日酒店</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涞源县创意生活街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47</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涞源县职教中心桃园宾馆</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涞源县广昌大街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48</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舒漫酒店</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百泉路</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49</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涞源县寰州家具城</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广平大街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85" w:hRule="exac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50</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涞源县宏伟旅游开发有限公司滨湖酒店</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滨湖大街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51</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涞源县千盛商贸有限公司景秀街店</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景秀街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52</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涞源新昌热电有限责任公司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涞源县丰乐村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轻工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53</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涞源县渝州酒业经销有限公司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广平大街路东</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54</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涞源县华岩商贸有限公司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涞源县涞源镇冯村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55</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涞源县凯航汽车销售有限公司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河北省保定市涞源县西关二道桥以东路南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56</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涞源县天合利汽车服务有限责任公司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百泉路路南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57</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涞源县金诺电器有限公司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百泉路北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58</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涞源县恒奥连锁生活超市</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信誉地超</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59</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涞源县琪达酒店有限责任公司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河北省保定市涞源县百泉路</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2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60</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河北博创酒店有限公司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涞源县西神山村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61</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涞源县朗悦酒店有限公司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河北省保定市涞源县白石山镇菜村岗村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62</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涞源县盛都酒店管理有限公司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广平大街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63</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涞源县广华水泥构件厂</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涞源县东夹山村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64</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涞源县新砼商品混凝土有限公司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甲村河滩</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65</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涞源县安柳建材有限公司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涞源县银坊镇长祥沟</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66</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涞源县水泥厂</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保定市涞源县杨家庄镇木吉村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67</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涞源县宏泰石灰石厂</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涞源县金家井乡寨沟门</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68</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涞源县永固水泥砖有限公司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涞源县金家井乡</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69</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涞源县隆森石材有限公司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涞源县银坊</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70</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涞暖洁净煤</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牌坊</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71</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涞源县帆源混凝土有限公司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甲村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72</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涞源县宏伟商品混凝土有限公司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白石山大街</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73</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涞源县巨凯商品混凝土有限公司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西神山</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32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74</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涞源县力拓商品混凝土有限公司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西神山</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75</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涞源县大工商品混凝土有限公司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西关</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76</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涞源县磊石商品混凝土有限公司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曲村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77</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涞源县聚强商品混凝土有限公司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曲村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78</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河北归田农业科技有限公司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金家井乡</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轻工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79</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涞源荣大环境卫生管理有限责任公司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曲村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轻工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80</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河北同光科技发展有限公司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丰乐村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轻工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28" w:hRule="exac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81</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鼎固钢结构有限公司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三甲村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轻工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82</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涞源县冀宝农业发展有限公司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涞源县721安置区</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轻工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83</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玖兴农牧（涞源）有限公司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曲村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轻工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84</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涞源县甘霖农业开发有限公司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水堡镇塔儿村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轻工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85</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保定玖兴饲料加工有限公司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金家井乡</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轻工</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86</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涞源县天顺机械加工有限公司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北石佛村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机械</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87</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涞源县驿态水泥制品有限公司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塔崖驿乡塔崖驿村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88</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涞源县腾旭石材有限公司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涞源县涞源镇甲村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116"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89</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康鼎家具</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涞源县冯村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商贸</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工商贸监管监察中队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90</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涞源县冀恒矿业有限公司（370万吨/年固废综合利用项目）</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涞源县杨家庄镇支家庄村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752" w:hRule="exac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91</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涞源鑫鑫矿业有限公司（1340万吨/年固废综合利用项目）</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涞源县走马驿镇白道安村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92</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涞源县鑫泰新型建材有限公司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涞源县水堡镇独山城村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93</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涞源县碧创环保科技有限公司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涞源县杨家庄镇木吉村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94</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涞源腾嘉建材有限公司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涞源县杨家庄镇大丰沟</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95</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涞源县奥亿建筑材料有限公司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涞源县杨家庄镇刺沟</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96</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涞源县嘉聚建材有限公司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涞源县张家坟村西流水</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97</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涞源县嘉鸿建材有限公司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涞源县水堡镇韩富沟</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98</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涞源县中凯矿业有限责任公司二分厂</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涞源县支家庄桦树背</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99</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涞源县中圣世华磊旭建材公司一厂</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涞源县杨家庄镇支家庄村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32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100</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涞源县奥铭建材有限公司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涞源县银坊镇柳子沟</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101</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涞源县永达矿业有限公司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涞源县三甲村</w:t>
            </w:r>
            <w:r>
              <w:rPr>
                <w:rFonts w:hint="eastAsia" w:ascii="宋体" w:hAnsi="宋体" w:eastAsia="宋体" w:cs="宋体"/>
                <w:i w:val="0"/>
                <w:iCs w:val="0"/>
                <w:color w:val="000000"/>
                <w:kern w:val="0"/>
                <w:sz w:val="28"/>
                <w:szCs w:val="28"/>
                <w:u w:val="none"/>
                <w:lang w:val="en-US" w:eastAsia="zh-CN" w:bidi="ar"/>
              </w:rPr>
              <w:t>碮</w:t>
            </w:r>
            <w:r>
              <w:rPr>
                <w:rFonts w:hint="default" w:ascii="仿宋_GB2312" w:hAnsi="等线" w:eastAsia="仿宋_GB2312" w:cs="仿宋_GB2312"/>
                <w:i w:val="0"/>
                <w:iCs w:val="0"/>
                <w:color w:val="000000"/>
                <w:kern w:val="0"/>
                <w:sz w:val="28"/>
                <w:szCs w:val="28"/>
                <w:u w:val="none"/>
                <w:lang w:val="en-US" w:eastAsia="zh-CN" w:bidi="ar"/>
              </w:rPr>
              <w:t>子沟</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22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102</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涞源青玉矿业有限公司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涞源县杨家庄镇支家庄村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68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103</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涞源县亚隆建材有限公司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涞源县杨家庄镇附图峪村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136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104</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涞源县鑫盛建材有限公司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涞源县走马驿镇白道安村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105</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涞源县鑫岩建材有限公司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涞源县走马驿镇六岭沟</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r>
        <w:tblPrEx>
          <w:tblCellMar>
            <w:top w:w="0" w:type="dxa"/>
            <w:left w:w="0" w:type="dxa"/>
            <w:bottom w:w="0" w:type="dxa"/>
            <w:right w:w="0" w:type="dxa"/>
          </w:tblCellMar>
        </w:tblPrEx>
        <w:trPr>
          <w:trHeight w:val="900" w:hRule="atLeast"/>
        </w:trPr>
        <w:tc>
          <w:tcPr>
            <w:tcW w:w="64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106</w:t>
            </w:r>
          </w:p>
        </w:tc>
        <w:tc>
          <w:tcPr>
            <w:tcW w:w="3054"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涞源县龙马兴业石材有限公司</w:t>
            </w:r>
          </w:p>
        </w:tc>
        <w:tc>
          <w:tcPr>
            <w:tcW w:w="2168"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涞源县银坊镇长祥沟村</w:t>
            </w:r>
          </w:p>
        </w:tc>
        <w:tc>
          <w:tcPr>
            <w:tcW w:w="140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建材</w:t>
            </w:r>
          </w:p>
        </w:tc>
        <w:tc>
          <w:tcPr>
            <w:tcW w:w="1786"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仿宋_GB2312" w:hAnsi="等线" w:eastAsia="仿宋_GB2312" w:cs="仿宋_GB2312"/>
                <w:i w:val="0"/>
                <w:color w:val="000000"/>
                <w:sz w:val="28"/>
                <w:szCs w:val="28"/>
                <w:u w:val="none"/>
              </w:rPr>
            </w:pPr>
            <w:r>
              <w:rPr>
                <w:rFonts w:hint="default" w:ascii="仿宋_GB2312" w:hAnsi="等线" w:eastAsia="仿宋_GB2312" w:cs="仿宋_GB2312"/>
                <w:i w:val="0"/>
                <w:iCs w:val="0"/>
                <w:color w:val="000000"/>
                <w:kern w:val="0"/>
                <w:sz w:val="28"/>
                <w:szCs w:val="28"/>
                <w:u w:val="none"/>
                <w:lang w:val="en-US" w:eastAsia="zh-CN" w:bidi="ar"/>
              </w:rPr>
              <w:t>砂石骨料监管监察中队</w:t>
            </w:r>
          </w:p>
        </w:tc>
        <w:tc>
          <w:tcPr>
            <w:tcW w:w="64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bottom"/>
          </w:tcPr>
          <w:p>
            <w:pPr>
              <w:spacing w:line="240" w:lineRule="auto"/>
              <w:rPr>
                <w:rFonts w:hint="eastAsia" w:ascii="仿宋_GB2312" w:hAnsi="等线" w:eastAsia="仿宋_GB2312" w:cs="仿宋_GB2312"/>
                <w:i w:val="0"/>
                <w:color w:val="000000"/>
                <w:sz w:val="28"/>
                <w:szCs w:val="28"/>
                <w:u w:val="none"/>
              </w:rPr>
            </w:pPr>
          </w:p>
        </w:tc>
      </w:tr>
    </w:tbl>
    <w:p>
      <w:pPr>
        <w:rPr>
          <w:rFonts w:hint="eastAsia" w:ascii="仿宋_GB2312" w:hAnsi="仿宋_GB2312" w:eastAsia="仿宋_GB2312" w:cs="仿宋_GB2312"/>
          <w:sz w:val="32"/>
          <w:szCs w:val="32"/>
          <w:lang w:val="en-US" w:eastAsia="zh-CN"/>
        </w:rPr>
        <w:sectPr>
          <w:pgSz w:w="11906" w:h="16838"/>
          <w:pgMar w:top="1440" w:right="1800" w:bottom="1440" w:left="1800" w:header="851" w:footer="992" w:gutter="0"/>
          <w:cols w:space="720" w:num="1"/>
          <w:docGrid w:type="lines" w:linePitch="312" w:charSpace="0"/>
        </w:sectPr>
      </w:pPr>
    </w:p>
    <w:p>
      <w:pPr>
        <w:keepNext w:val="0"/>
        <w:keepLines w:val="0"/>
        <w:pageBreakBefore w:val="0"/>
        <w:kinsoku/>
        <w:wordWrap/>
        <w:overflowPunct/>
        <w:topLinePunct w:val="0"/>
        <w:autoSpaceDE/>
        <w:autoSpaceDN/>
        <w:bidi w:val="0"/>
        <w:spacing w:line="560" w:lineRule="exact"/>
        <w:jc w:val="center"/>
        <w:textAlignment w:val="auto"/>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lang w:eastAsia="zh-CN"/>
        </w:rPr>
        <w:t>2024</w:t>
      </w:r>
      <w:r>
        <w:rPr>
          <w:rFonts w:hint="eastAsia" w:ascii="方正小标宋简体" w:hAnsi="方正小标宋简体" w:eastAsia="方正小标宋简体" w:cs="方正小标宋简体"/>
          <w:kern w:val="0"/>
          <w:sz w:val="44"/>
          <w:szCs w:val="44"/>
        </w:rPr>
        <w:t>年度监督检查时间及任务分配表</w:t>
      </w:r>
    </w:p>
    <w:tbl>
      <w:tblPr>
        <w:tblStyle w:val="7"/>
        <w:tblW w:w="13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311"/>
        <w:gridCol w:w="896"/>
        <w:gridCol w:w="898"/>
        <w:gridCol w:w="899"/>
        <w:gridCol w:w="898"/>
        <w:gridCol w:w="897"/>
        <w:gridCol w:w="900"/>
        <w:gridCol w:w="897"/>
        <w:gridCol w:w="898"/>
        <w:gridCol w:w="899"/>
        <w:gridCol w:w="898"/>
        <w:gridCol w:w="897"/>
        <w:gridCol w:w="900"/>
        <w:gridCol w:w="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2311"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ind w:right="46" w:rightChars="22"/>
              <w:jc w:val="center"/>
              <w:textAlignment w:val="auto"/>
              <w:rPr>
                <w:rFonts w:eastAsia="黑体"/>
                <w:kern w:val="0"/>
                <w:szCs w:val="21"/>
              </w:rPr>
            </w:pPr>
            <w:r>
              <w:rPr>
                <w:rFonts w:eastAsia="黑体"/>
                <w:b/>
                <w:bCs/>
                <w:kern w:val="0"/>
                <w:sz w:val="28"/>
                <w:szCs w:val="28"/>
              </w:rPr>
              <w:t>单位</w:t>
            </w:r>
          </w:p>
        </w:tc>
        <w:tc>
          <w:tcPr>
            <w:tcW w:w="2693"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第一季度</w:t>
            </w:r>
          </w:p>
        </w:tc>
        <w:tc>
          <w:tcPr>
            <w:tcW w:w="269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第二季度</w:t>
            </w:r>
          </w:p>
        </w:tc>
        <w:tc>
          <w:tcPr>
            <w:tcW w:w="2694"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第三季度</w:t>
            </w:r>
          </w:p>
        </w:tc>
        <w:tc>
          <w:tcPr>
            <w:tcW w:w="269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b w:val="0"/>
                <w:bCs w:val="0"/>
                <w:kern w:val="0"/>
                <w:sz w:val="24"/>
                <w:szCs w:val="24"/>
              </w:rPr>
            </w:pPr>
            <w:r>
              <w:rPr>
                <w:rFonts w:eastAsia="黑体"/>
                <w:b w:val="0"/>
                <w:bCs w:val="0"/>
                <w:kern w:val="0"/>
                <w:sz w:val="24"/>
                <w:szCs w:val="24"/>
              </w:rPr>
              <w:t>第四季度</w:t>
            </w:r>
          </w:p>
        </w:tc>
        <w:tc>
          <w:tcPr>
            <w:tcW w:w="711"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 w:val="24"/>
              </w:rPr>
            </w:pPr>
            <w:r>
              <w:rPr>
                <w:rFonts w:eastAsia="黑体"/>
                <w:kern w:val="0"/>
                <w:sz w:val="24"/>
              </w:rPr>
              <w:t>小计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25" w:hRule="atLeast"/>
          <w:jc w:val="center"/>
        </w:trPr>
        <w:tc>
          <w:tcPr>
            <w:tcW w:w="2311"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eastAsia="黑体"/>
                <w:kern w:val="0"/>
                <w:szCs w:val="21"/>
              </w:rPr>
            </w:pPr>
          </w:p>
        </w:tc>
        <w:tc>
          <w:tcPr>
            <w:tcW w:w="8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重点检查企业（家</w:t>
            </w:r>
            <w:r>
              <w:rPr>
                <w:rFonts w:hint="eastAsia" w:eastAsia="黑体"/>
                <w:kern w:val="0"/>
                <w:szCs w:val="21"/>
                <w:lang w:eastAsia="zh-CN"/>
              </w:rPr>
              <w:t>次</w:t>
            </w:r>
            <w:r>
              <w:rPr>
                <w:rFonts w:eastAsia="黑体"/>
                <w:kern w:val="0"/>
                <w:szCs w:val="21"/>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一般检查企业（家</w:t>
            </w:r>
            <w:r>
              <w:rPr>
                <w:rFonts w:hint="eastAsia" w:eastAsia="黑体"/>
                <w:kern w:val="0"/>
                <w:szCs w:val="21"/>
                <w:lang w:eastAsia="zh-CN"/>
              </w:rPr>
              <w:t>次</w:t>
            </w:r>
            <w:r>
              <w:rPr>
                <w:rFonts w:eastAsia="黑体"/>
                <w:kern w:val="0"/>
                <w:szCs w:val="21"/>
              </w:rPr>
              <w:t>）</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kern w:val="0"/>
                <w:szCs w:val="21"/>
              </w:rPr>
            </w:pPr>
            <w:r>
              <w:rPr>
                <w:rFonts w:eastAsia="黑体"/>
                <w:kern w:val="0"/>
                <w:szCs w:val="21"/>
              </w:rPr>
              <w:t>专项检查企业（家</w:t>
            </w:r>
            <w:r>
              <w:rPr>
                <w:rFonts w:hint="eastAsia" w:eastAsia="黑体"/>
                <w:kern w:val="0"/>
                <w:szCs w:val="21"/>
                <w:lang w:eastAsia="zh-CN"/>
              </w:rPr>
              <w:t>次</w:t>
            </w:r>
            <w:r>
              <w:rPr>
                <w:rFonts w:eastAsia="黑体"/>
                <w:kern w:val="0"/>
                <w:szCs w:val="21"/>
              </w:rPr>
              <w:t>）</w:t>
            </w:r>
          </w:p>
        </w:tc>
        <w:tc>
          <w:tcPr>
            <w:tcW w:w="711"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560" w:lineRule="exact"/>
              <w:jc w:val="left"/>
              <w:textAlignment w:val="auto"/>
              <w:rPr>
                <w:rFonts w:eastAsia="黑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eastAsia="仿宋_GB2312"/>
                <w:b/>
                <w:bCs w:val="0"/>
                <w:color w:val="000000"/>
                <w:kern w:val="0"/>
                <w:sz w:val="24"/>
                <w:szCs w:val="24"/>
                <w:lang w:val="en-US" w:eastAsia="zh-CN"/>
              </w:rPr>
            </w:pPr>
            <w:r>
              <w:rPr>
                <w:rFonts w:hint="eastAsia" w:eastAsia="仿宋_GB2312"/>
                <w:b/>
                <w:bCs w:val="0"/>
                <w:color w:val="000000"/>
                <w:kern w:val="0"/>
                <w:sz w:val="24"/>
                <w:szCs w:val="24"/>
                <w:lang w:val="en-US" w:eastAsia="zh-CN"/>
              </w:rPr>
              <w:t>矿山监管监察一中队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ascii="Times New Roman" w:hAnsi="Times New Roman" w:eastAsia="仿宋_GB2312" w:cs="Times New Roman"/>
                <w:kern w:val="0"/>
                <w:sz w:val="22"/>
                <w:szCs w:val="24"/>
                <w:lang w:val="en-US" w:eastAsia="zh-CN" w:bidi="ar-SA"/>
              </w:rPr>
            </w:pPr>
            <w:r>
              <w:rPr>
                <w:rFonts w:hint="eastAsia" w:ascii="Times New Roman" w:hAnsi="Times New Roman" w:eastAsia="仿宋_GB2312" w:cs="Times New Roman"/>
                <w:kern w:val="0"/>
                <w:sz w:val="22"/>
                <w:szCs w:val="24"/>
                <w:lang w:val="en-US" w:eastAsia="zh-CN" w:bidi="ar-SA"/>
              </w:rPr>
              <w:t>4</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eastAsia="仿宋_GB2312"/>
                <w:b/>
                <w:bCs w:val="0"/>
                <w:color w:val="000000"/>
                <w:kern w:val="0"/>
                <w:sz w:val="24"/>
                <w:szCs w:val="24"/>
                <w:lang w:val="en-US" w:eastAsia="zh-CN"/>
              </w:rPr>
            </w:pPr>
            <w:r>
              <w:rPr>
                <w:rFonts w:hint="eastAsia" w:eastAsia="仿宋_GB2312"/>
                <w:b/>
                <w:bCs w:val="0"/>
                <w:color w:val="000000"/>
                <w:kern w:val="0"/>
                <w:sz w:val="24"/>
                <w:szCs w:val="24"/>
                <w:lang w:val="en-US" w:eastAsia="zh-CN"/>
              </w:rPr>
              <w:t>矿山监管监察二中队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9</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lang w:val="en-US" w:eastAsia="zh-CN"/>
              </w:rPr>
            </w:pP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9</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lang w:val="en-US" w:eastAsia="zh-CN"/>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9</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lang w:val="en-US" w:eastAsia="zh-CN"/>
              </w:rPr>
            </w:pP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ascii="Times New Roman" w:hAnsi="Times New Roman" w:eastAsia="仿宋_GB2312" w:cs="Times New Roman"/>
                <w:kern w:val="0"/>
                <w:sz w:val="22"/>
                <w:szCs w:val="24"/>
                <w:lang w:val="en-US" w:eastAsia="zh-CN" w:bidi="ar-SA"/>
              </w:rPr>
            </w:pPr>
            <w:r>
              <w:rPr>
                <w:rFonts w:hint="eastAsia" w:ascii="Times New Roman" w:hAnsi="Times New Roman" w:eastAsia="仿宋_GB2312" w:cs="Times New Roman"/>
                <w:kern w:val="0"/>
                <w:sz w:val="22"/>
                <w:szCs w:val="24"/>
                <w:lang w:val="en-US" w:eastAsia="zh-CN" w:bidi="ar-SA"/>
              </w:rPr>
              <w:t>9</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lang w:val="en-US" w:eastAsia="zh-CN"/>
              </w:rPr>
            </w:pP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eastAsia="仿宋_GB2312"/>
                <w:b/>
                <w:bCs w:val="0"/>
                <w:color w:val="000000"/>
                <w:kern w:val="0"/>
                <w:sz w:val="24"/>
                <w:szCs w:val="24"/>
                <w:lang w:eastAsia="zh-CN"/>
              </w:rPr>
            </w:pPr>
            <w:r>
              <w:rPr>
                <w:rFonts w:hint="eastAsia" w:eastAsia="仿宋_GB2312"/>
                <w:b/>
                <w:bCs w:val="0"/>
                <w:color w:val="000000"/>
                <w:kern w:val="0"/>
                <w:sz w:val="24"/>
                <w:szCs w:val="24"/>
                <w:lang w:eastAsia="zh-CN"/>
              </w:rPr>
              <w:t>选矿监管监察中队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12</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12</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12</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ascii="Times New Roman" w:hAnsi="Times New Roman" w:eastAsia="仿宋_GB2312" w:cs="Times New Roman"/>
                <w:kern w:val="0"/>
                <w:sz w:val="22"/>
                <w:szCs w:val="24"/>
                <w:lang w:val="en-US" w:eastAsia="zh-CN" w:bidi="ar-SA"/>
              </w:rPr>
            </w:pPr>
            <w:r>
              <w:rPr>
                <w:rFonts w:hint="eastAsia" w:ascii="Times New Roman" w:hAnsi="Times New Roman" w:eastAsia="仿宋_GB2312" w:cs="Times New Roman"/>
                <w:kern w:val="0"/>
                <w:sz w:val="22"/>
                <w:szCs w:val="24"/>
                <w:lang w:val="en-US" w:eastAsia="zh-CN" w:bidi="ar-SA"/>
              </w:rPr>
              <w:t>12</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eastAsia="仿宋_GB2312"/>
                <w:b/>
                <w:bCs w:val="0"/>
                <w:color w:val="000000"/>
                <w:kern w:val="0"/>
                <w:sz w:val="24"/>
                <w:szCs w:val="24"/>
                <w:lang w:eastAsia="zh-CN"/>
              </w:rPr>
            </w:pPr>
            <w:r>
              <w:rPr>
                <w:rFonts w:hint="eastAsia" w:eastAsia="仿宋_GB2312"/>
                <w:b/>
                <w:bCs w:val="0"/>
                <w:color w:val="000000"/>
                <w:kern w:val="0"/>
                <w:sz w:val="24"/>
                <w:szCs w:val="24"/>
                <w:lang w:eastAsia="zh-CN"/>
              </w:rPr>
              <w:t>危险化学品监管监察中队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44</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44</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44</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ascii="Times New Roman" w:hAnsi="Times New Roman" w:eastAsia="仿宋_GB2312" w:cs="Times New Roman"/>
                <w:kern w:val="0"/>
                <w:sz w:val="22"/>
                <w:szCs w:val="24"/>
                <w:lang w:val="en-US" w:eastAsia="zh-CN" w:bidi="ar-SA"/>
              </w:rPr>
            </w:pPr>
            <w:r>
              <w:rPr>
                <w:rFonts w:hint="eastAsia" w:ascii="Times New Roman" w:hAnsi="Times New Roman" w:eastAsia="仿宋_GB2312" w:cs="Times New Roman"/>
                <w:kern w:val="0"/>
                <w:sz w:val="22"/>
                <w:szCs w:val="24"/>
                <w:lang w:val="en-US" w:eastAsia="zh-CN" w:bidi="ar-SA"/>
              </w:rPr>
              <w:t>44</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6"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eastAsia="仿宋_GB2312"/>
                <w:b/>
                <w:bCs w:val="0"/>
                <w:color w:val="000000"/>
                <w:kern w:val="0"/>
                <w:sz w:val="24"/>
                <w:szCs w:val="24"/>
                <w:lang w:val="en-US" w:eastAsia="zh-CN"/>
              </w:rPr>
            </w:pPr>
            <w:r>
              <w:rPr>
                <w:rFonts w:hint="eastAsia" w:eastAsia="仿宋_GB2312"/>
                <w:b/>
                <w:bCs w:val="0"/>
                <w:color w:val="000000"/>
                <w:kern w:val="0"/>
                <w:sz w:val="24"/>
                <w:szCs w:val="24"/>
                <w:lang w:val="en-US" w:eastAsia="zh-CN"/>
              </w:rPr>
              <w:t>工商贸监管监察中队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16</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16</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17</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16</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0"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eastAsia="仿宋_GB2312"/>
                <w:b/>
                <w:bCs w:val="0"/>
                <w:color w:val="000000"/>
                <w:kern w:val="0"/>
                <w:sz w:val="24"/>
                <w:szCs w:val="24"/>
                <w:lang w:eastAsia="zh-CN"/>
              </w:rPr>
            </w:pPr>
            <w:r>
              <w:rPr>
                <w:rFonts w:hint="eastAsia" w:eastAsia="仿宋_GB2312"/>
                <w:b/>
                <w:bCs w:val="0"/>
                <w:color w:val="000000"/>
                <w:kern w:val="0"/>
                <w:sz w:val="24"/>
                <w:szCs w:val="24"/>
                <w:lang w:eastAsia="zh-CN"/>
              </w:rPr>
              <w:t>砂石骨料监管监察中队</w:t>
            </w:r>
          </w:p>
        </w:tc>
        <w:tc>
          <w:tcPr>
            <w:tcW w:w="8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4</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5</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67" w:hRule="exact"/>
          <w:jc w:val="center"/>
        </w:trPr>
        <w:tc>
          <w:tcPr>
            <w:tcW w:w="23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eastAsia="黑体"/>
                <w:b/>
                <w:bCs w:val="0"/>
                <w:kern w:val="0"/>
                <w:sz w:val="24"/>
                <w:szCs w:val="24"/>
              </w:rPr>
            </w:pPr>
            <w:r>
              <w:rPr>
                <w:rFonts w:hint="eastAsia" w:eastAsia="仿宋_GB2312"/>
                <w:b/>
                <w:bCs w:val="0"/>
                <w:color w:val="000000"/>
                <w:kern w:val="0"/>
                <w:sz w:val="24"/>
                <w:szCs w:val="24"/>
                <w:lang w:eastAsia="zh-CN"/>
              </w:rPr>
              <w:t>合计</w:t>
            </w:r>
          </w:p>
        </w:tc>
        <w:tc>
          <w:tcPr>
            <w:tcW w:w="8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72</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25</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72</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26</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72</w:t>
            </w: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27</w:t>
            </w:r>
          </w:p>
        </w:tc>
        <w:tc>
          <w:tcPr>
            <w:tcW w:w="89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89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72</w:t>
            </w:r>
          </w:p>
        </w:tc>
        <w:tc>
          <w:tcPr>
            <w:tcW w:w="89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28</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eastAsia" w:eastAsia="仿宋_GB2312"/>
                <w:kern w:val="0"/>
                <w:sz w:val="22"/>
              </w:rPr>
            </w:pPr>
          </w:p>
        </w:tc>
        <w:tc>
          <w:tcPr>
            <w:tcW w:w="71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560" w:lineRule="exact"/>
              <w:jc w:val="center"/>
              <w:textAlignment w:val="auto"/>
              <w:rPr>
                <w:rFonts w:hint="default" w:eastAsia="仿宋_GB2312"/>
                <w:kern w:val="0"/>
                <w:sz w:val="22"/>
                <w:lang w:val="en-US" w:eastAsia="zh-CN"/>
              </w:rPr>
            </w:pPr>
            <w:r>
              <w:rPr>
                <w:rFonts w:hint="eastAsia" w:eastAsia="仿宋_GB2312"/>
                <w:kern w:val="0"/>
                <w:sz w:val="22"/>
                <w:lang w:val="en-US" w:eastAsia="zh-CN"/>
              </w:rPr>
              <w:t>394</w:t>
            </w:r>
          </w:p>
        </w:tc>
      </w:tr>
    </w:tbl>
    <w:p>
      <w:pPr>
        <w:rPr>
          <w:rFonts w:hint="default" w:ascii="仿宋_GB2312" w:hAnsi="仿宋_GB2312" w:eastAsia="仿宋_GB2312" w:cs="仿宋_GB2312"/>
          <w:sz w:val="32"/>
          <w:szCs w:val="32"/>
          <w:lang w:val="en-US" w:eastAsia="zh-CN"/>
        </w:rPr>
      </w:pP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等线">
    <w:altName w:val="Latha"/>
    <w:panose1 w:val="00000000000000000000"/>
    <w:charset w:val="00"/>
    <w:family w:val="auto"/>
    <w:pitch w:val="default"/>
    <w:sig w:usb0="00000000" w:usb1="00000000" w:usb2="00000000" w:usb3="00000000" w:csb0="00000000" w:csb1="00000000"/>
  </w:font>
  <w:font w:name="方正小标宋简体">
    <w:altName w:val="Arial Unicode MS"/>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Latha">
    <w:panose1 w:val="020B0604020202020204"/>
    <w:charset w:val="00"/>
    <w:family w:val="auto"/>
    <w:pitch w:val="default"/>
    <w:sig w:usb0="001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noLineBreaksAfter w:lang="zh-CN" w:val="$([{£¥·‘“〈《「『【〔〖〝﹙﹛﹝＄（．［｛￡￥"/>
  <w:noLineBreaksBefore w:lang="zh-CN" w:val="!%),.:;&gt;?]}¢¨°·ˇˉ―‖’”…‰′″›℃∶、。〃〉》」』】〕〗〞︶︺︾﹀﹄﹚﹜﹞！＂％＇），．：；？］｀｜｝～￠"/>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MTM5ODAwMjYwZjczMDQ3MzE1YmFlNTcwZGNkZWExYTYifQ=="/>
  </w:docVars>
  <w:rsids>
    <w:rsidRoot w:val="00000000"/>
    <w:rsid w:val="04155C07"/>
    <w:rsid w:val="06C30EB5"/>
    <w:rsid w:val="0D750961"/>
    <w:rsid w:val="10DB5354"/>
    <w:rsid w:val="12F65536"/>
    <w:rsid w:val="16CA46B8"/>
    <w:rsid w:val="1CF7078D"/>
    <w:rsid w:val="211B4037"/>
    <w:rsid w:val="23E825F1"/>
    <w:rsid w:val="241B218B"/>
    <w:rsid w:val="2B125780"/>
    <w:rsid w:val="2DC631F9"/>
    <w:rsid w:val="317962E7"/>
    <w:rsid w:val="328175ED"/>
    <w:rsid w:val="34756D69"/>
    <w:rsid w:val="36A708DB"/>
    <w:rsid w:val="3BC55010"/>
    <w:rsid w:val="459341F0"/>
    <w:rsid w:val="498D301D"/>
    <w:rsid w:val="4C217983"/>
    <w:rsid w:val="514D2C92"/>
    <w:rsid w:val="534806CA"/>
    <w:rsid w:val="54C20FD5"/>
    <w:rsid w:val="56B211E7"/>
    <w:rsid w:val="581262F0"/>
    <w:rsid w:val="5CFC20BD"/>
    <w:rsid w:val="5D6B7971"/>
    <w:rsid w:val="5ED9308A"/>
    <w:rsid w:val="61E26672"/>
    <w:rsid w:val="66327413"/>
    <w:rsid w:val="67BB5693"/>
    <w:rsid w:val="6AD60AD5"/>
    <w:rsid w:val="6B642F2D"/>
    <w:rsid w:val="717C1E5D"/>
    <w:rsid w:val="729C7988"/>
    <w:rsid w:val="74622F51"/>
    <w:rsid w:val="7805400F"/>
    <w:rsid w:val="785A1AE4"/>
    <w:rsid w:val="7AF427E2"/>
    <w:rsid w:val="7EE204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autoRedefine/>
    <w:qFormat/>
    <w:uiPriority w:val="0"/>
    <w:pPr>
      <w:keepNext/>
      <w:keepLines/>
      <w:widowControl w:val="0"/>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4">
    <w:name w:val="heading 3"/>
    <w:basedOn w:val="1"/>
    <w:next w:val="1"/>
    <w:autoRedefine/>
    <w:qFormat/>
    <w:uiPriority w:val="0"/>
    <w:pPr>
      <w:keepNext/>
      <w:keepLines/>
      <w:widowControl w:val="0"/>
      <w:spacing w:before="260" w:after="260" w:line="415" w:lineRule="auto"/>
      <w:outlineLvl w:val="2"/>
    </w:pPr>
    <w:rPr>
      <w:b/>
      <w:bCs/>
      <w:sz w:val="32"/>
      <w:szCs w:val="32"/>
    </w:rPr>
  </w:style>
  <w:style w:type="character" w:default="1" w:styleId="8">
    <w:name w:val="Default Paragraph Font"/>
    <w:autoRedefine/>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9">
    <w:name w:val="font11"/>
    <w:basedOn w:val="8"/>
    <w:autoRedefine/>
    <w:qFormat/>
    <w:uiPriority w:val="0"/>
    <w:rPr>
      <w:rFonts w:hint="eastAsia" w:ascii="仿宋_GB2312" w:eastAsia="仿宋_GB2312" w:cs="仿宋_GB2312"/>
      <w:color w:val="000000"/>
      <w:sz w:val="28"/>
      <w:szCs w:val="28"/>
      <w:u w:val="none"/>
    </w:rPr>
  </w:style>
  <w:style w:type="character" w:customStyle="1" w:styleId="10">
    <w:name w:val="font01"/>
    <w:basedOn w:val="8"/>
    <w:autoRedefine/>
    <w:qFormat/>
    <w:uiPriority w:val="0"/>
    <w:rPr>
      <w:rFonts w:hint="eastAsia" w:ascii="仿宋_GB2312" w:eastAsia="仿宋_GB2312" w:cs="仿宋_GB2312"/>
      <w:color w:val="000000"/>
      <w:sz w:val="28"/>
      <w:szCs w:val="28"/>
      <w:u w:val="none"/>
    </w:rPr>
  </w:style>
  <w:style w:type="character" w:customStyle="1" w:styleId="11">
    <w:name w:val="font21"/>
    <w:basedOn w:val="8"/>
    <w:autoRedefine/>
    <w:qFormat/>
    <w:uiPriority w:val="0"/>
    <w:rPr>
      <w:rFonts w:hint="eastAsia" w:ascii="仿宋_GB2312" w:eastAsia="仿宋_GB2312" w:cs="仿宋_GB2312"/>
      <w:color w:val="000000"/>
      <w:sz w:val="28"/>
      <w:szCs w:val="28"/>
      <w:u w:val="none"/>
    </w:rPr>
  </w:style>
  <w:style w:type="character" w:customStyle="1" w:styleId="12">
    <w:name w:val="font31"/>
    <w:basedOn w:val="8"/>
    <w:autoRedefine/>
    <w:qFormat/>
    <w:uiPriority w:val="0"/>
    <w:rPr>
      <w:rFonts w:hint="default" w:ascii="仿宋_GB2312" w:eastAsia="仿宋_GB2312" w:cs="仿宋_GB2312"/>
      <w:color w:val="000000"/>
      <w:sz w:val="28"/>
      <w:szCs w:val="28"/>
      <w:u w:val="none"/>
    </w:rPr>
  </w:style>
  <w:style w:type="character" w:customStyle="1" w:styleId="13">
    <w:name w:val="font41"/>
    <w:basedOn w:val="8"/>
    <w:autoRedefine/>
    <w:qFormat/>
    <w:uiPriority w:val="0"/>
    <w:rPr>
      <w:rFonts w:hint="default"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13</Pages>
  <Words>5938</Words>
  <Characters>6114</Characters>
  <Lines>284</Lines>
  <Paragraphs>92</Paragraphs>
  <TotalTime>0</TotalTime>
  <ScaleCrop>false</ScaleCrop>
  <LinksUpToDate>false</LinksUpToDate>
  <CharactersWithSpaces>6181</CharactersWithSpaces>
  <Application>WPS Office_12.1.0.16388_F1E327BC-269C-435d-A152-05C5408002CA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2021-05-08T07:28:00Z</dcterms:created>
  <dc:creator>User274</dc:creator>
  <cp:lastModifiedBy></cp:lastModifiedBy>
  <cp:lastPrinted>2023-05-18T02:01:00Z</cp:lastPrinted>
  <dcterms:modified xsi:type="dcterms:W3CDTF">2024-03-11T23:51:57Z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E6C5B40078E84CA7BF055EF542DD4287_12</vt:lpwstr>
  </property>
</Properties>
</file>