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 xmlns:a="http://schemas.openxmlformats.org/drawingml/2006/main" xmlns:wps="http://schemas.microsoft.com/office/word/2010/wordprocessingShape" xmlns:wp="http://schemas.openxmlformats.org/drawingml/2006/wordprocessingDrawing" xmlns:pic="http://schemas.openxmlformats.org/drawingml/2006/picture" xmlns:mc="http://schemas.openxmlformats.org/markup-compatibility/2006" xmlns:wpg="http://schemas.microsoft.com/office/word/2010/wordprocessingGroup" xmlns:wpc="http://schemas.microsoft.com/office/word/2010/wordprocessingCanvas" xmlns:w10="urn:schemas-microsoft-com:office:word" xmlns:w14="http://schemas.microsoft.com/office/word/2010/wordml" xmlns:w15="http://schemas.microsoft.com/office/word/2012/wordml" xmlns:a14="http://schemas.microsoft.com/office/drawing/2010/main" mc:Ignorable="w14 w15">
  <w:body>
    <w:p>
      <w:pPr>
        <w:rPr>
          <w:b/>
          <w:bCs/>
          <w:sz w:val="44"/>
          <w:szCs w:val="44"/>
        </w:rPr>
      </w:pPr>
    </w:p>
    <w:p>
      <w:pPr>
        <w:rPr>
          <w:b/>
          <w:bCs/>
          <w:sz w:val="44"/>
          <w:szCs w:val="44"/>
        </w:rPr>
      </w:pPr>
    </w:p>
    <w:p>
      <w:pPr>
        <w:rPr>
          <w:b/>
          <w:bCs/>
          <w:sz w:val="44"/>
          <w:szCs w:val="44"/>
        </w:rPr>
      </w:pPr>
    </w:p>
    <w:p>
      <w:pPr>
        <w:rPr>
          <w:b/>
          <w:bCs/>
          <w:sz w:val="44"/>
          <w:szCs w:val="44"/>
        </w:rPr>
      </w:pPr>
    </w:p>
    <w:p>
      <w:pPr>
        <w:rPr>
          <w:b/>
          <w:bCs/>
          <w:sz w:val="44"/>
          <w:szCs w:val="44"/>
        </w:rPr>
      </w:pPr>
    </w:p>
    <w:p>
      <w:pPr>
        <w:rPr>
          <w:b/>
          <w:bCs/>
          <w:sz w:val="44"/>
          <w:szCs w:val="44"/>
        </w:rPr>
      </w:pPr>
    </w:p>
    <w:p>
      <w:pPr>
        <w:jc w:val="center"/>
        <w:rPr>
          <w:rFonts w:ascii="仿宋" w:eastAsia="仿宋" w:hint="eastAsia"/>
          <w:sz w:val="32"/>
          <w:szCs w:val="32"/>
        </w:rPr>
      </w:pPr>
      <w:r>
        <w:rPr>
          <w:rFonts w:ascii="仿宋" w:eastAsia="仿宋" w:hint="eastAsia"/>
          <w:sz w:val="32"/>
          <w:szCs w:val="32"/>
        </w:rPr>
        <w:t>涞农【2024】</w:t>
      </w:r>
      <w:r>
        <w:rPr>
          <w:rFonts w:ascii="仿宋" w:eastAsia="仿宋"/>
          <w:sz w:val="32"/>
          <w:szCs w:val="32"/>
        </w:rPr>
        <w:t>14</w:t>
      </w:r>
      <w:bookmarkStart w:id="0" w:name="_GoBack"/>
      <w:bookmarkEnd w:id="0"/>
      <w:r>
        <w:rPr>
          <w:rFonts w:ascii="仿宋" w:eastAsia="仿宋" w:hint="eastAsia"/>
          <w:sz w:val="32"/>
          <w:szCs w:val="32"/>
        </w:rPr>
        <w:t>号</w:t>
      </w:r>
    </w:p>
    <w:p>
      <w:pPr>
        <w:rPr>
          <w:b/>
          <w:bCs/>
          <w:sz w:val="44"/>
          <w:szCs w:val="44"/>
        </w:rPr>
      </w:pPr>
    </w:p>
    <w:p>
      <w:pPr>
        <w:jc w:val="center"/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t>关于制定《2024年涞源县农业农村局</w:t>
      </w:r>
    </w:p>
    <w:p>
      <w:pPr>
        <w:jc w:val="center"/>
        <w:rPr>
          <w:b/>
          <w:bCs/>
          <w:sz w:val="44"/>
          <w:szCs w:val="44"/>
        </w:rPr>
      </w:pPr>
      <w:r>
        <w:rPr>
          <w:rFonts w:hint="eastAsia"/>
          <w:b/>
          <w:bCs/>
          <w:sz w:val="44"/>
          <w:szCs w:val="44"/>
        </w:rPr>
        <w:t>“双随机、一公开”</w:t>
      </w:r>
      <w:r>
        <w:rPr>
          <w:b/>
          <w:bCs/>
          <w:sz w:val="44"/>
          <w:szCs w:val="44"/>
        </w:rPr>
        <w:t>监管工作培训方案》的通知</w:t>
      </w:r>
    </w:p>
    <w:p>
      <w:pPr>
        <w:rPr>
          <w:rFonts w:ascii="仿宋" w:eastAsia="仿宋"/>
          <w:sz w:val="32"/>
          <w:szCs w:val="32"/>
        </w:rPr>
      </w:pPr>
      <w:r>
        <w:rPr>
          <w:rFonts w:ascii="仿宋" w:eastAsia="仿宋"/>
          <w:sz w:val="32"/>
          <w:szCs w:val="32"/>
        </w:rPr>
        <w:t>各相关股室：</w:t>
      </w:r>
    </w:p>
    <w:p>
      <w:pPr>
        <w:ind w:firstLineChars="200" w:firstLine="640"/>
        <w:rPr>
          <w:rFonts w:ascii="仿宋" w:eastAsia="仿宋"/>
          <w:sz w:val="32"/>
          <w:szCs w:val="32"/>
        </w:rPr>
      </w:pPr>
      <w:r>
        <w:rPr>
          <w:rFonts w:ascii="仿宋" w:eastAsia="仿宋"/>
          <w:sz w:val="32"/>
          <w:szCs w:val="32"/>
        </w:rPr>
        <w:t>为深入贯彻落实各级政府关于深化</w:t>
      </w:r>
      <w:r>
        <w:rPr>
          <w:rFonts w:ascii="仿宋" w:eastAsia="仿宋" w:hint="eastAsia"/>
          <w:sz w:val="32"/>
          <w:szCs w:val="32"/>
        </w:rPr>
        <w:t>“</w:t>
      </w:r>
      <w:r>
        <w:rPr>
          <w:rFonts w:ascii="仿宋" w:eastAsia="仿宋"/>
          <w:sz w:val="32"/>
          <w:szCs w:val="32"/>
        </w:rPr>
        <w:t>放管服</w:t>
      </w:r>
      <w:r>
        <w:rPr>
          <w:rFonts w:ascii="仿宋" w:eastAsia="仿宋" w:hint="eastAsia"/>
          <w:sz w:val="32"/>
          <w:szCs w:val="32"/>
        </w:rPr>
        <w:t>”</w:t>
      </w:r>
      <w:r>
        <w:rPr>
          <w:rFonts w:ascii="仿宋" w:eastAsia="仿宋"/>
          <w:sz w:val="32"/>
          <w:szCs w:val="32"/>
        </w:rPr>
        <w:t>改革优化营商环境部署要注，不断深入推进我单位</w:t>
      </w:r>
      <w:r>
        <w:rPr>
          <w:rFonts w:ascii="仿宋" w:eastAsia="仿宋" w:hint="eastAsia"/>
          <w:sz w:val="32"/>
          <w:szCs w:val="32"/>
        </w:rPr>
        <w:t>“双随机、一公开”</w:t>
      </w:r>
      <w:r>
        <w:rPr>
          <w:rFonts w:ascii="仿宋" w:eastAsia="仿宋"/>
          <w:sz w:val="32"/>
          <w:szCs w:val="32"/>
        </w:rPr>
        <w:t>监管工作，制定了《2024年涞源县农业农村局</w:t>
      </w:r>
      <w:r>
        <w:rPr>
          <w:rFonts w:ascii="仿宋" w:eastAsia="仿宋" w:hint="eastAsia"/>
          <w:sz w:val="32"/>
          <w:szCs w:val="32"/>
        </w:rPr>
        <w:t>“双随机、一公开”</w:t>
      </w:r>
      <w:r>
        <w:rPr>
          <w:rFonts w:ascii="仿宋" w:eastAsia="仿宋"/>
          <w:sz w:val="32"/>
          <w:szCs w:val="32"/>
        </w:rPr>
        <w:t>监管工作培训方案》。现将培训方案发给大家，请各相关股室根据培训方案，提前安排，确保培训计划按时进行，扎实有效推进。</w:t>
      </w:r>
    </w:p>
    <w:p>
      <w:pPr>
        <w:rPr>
          <w:rFonts w:ascii="仿宋" w:eastAsia="仿宋"/>
          <w:sz w:val="32"/>
          <w:szCs w:val="32"/>
        </w:rPr>
      </w:pPr>
    </w:p>
    <w:p>
      <w:pPr>
        <w:rPr>
          <w:rFonts w:ascii="仿宋" w:eastAsia="仿宋"/>
          <w:sz w:val="32"/>
          <w:szCs w:val="32"/>
        </w:rPr>
      </w:pPr>
    </w:p>
    <w:p>
      <w:pPr>
        <w:jc w:val="right"/>
        <w:rPr>
          <w:rFonts w:ascii="仿宋" w:eastAsia="仿宋"/>
          <w:sz w:val="32"/>
          <w:szCs w:val="32"/>
        </w:rPr>
      </w:pPr>
      <w:r>
        <w:rPr>
          <w:rFonts w:ascii="仿宋" w:eastAsia="仿宋"/>
          <w:sz w:val="32"/>
          <w:szCs w:val="32"/>
        </w:rPr>
        <w:t>涞源县农业农村局</w:t>
      </w:r>
    </w:p>
    <w:p>
      <w:pPr>
        <w:jc w:val="right"/>
        <w:rPr>
          <w:rFonts w:ascii="仿宋" w:eastAsia="仿宋"/>
          <w:sz w:val="32"/>
          <w:szCs w:val="32"/>
        </w:rPr>
      </w:pPr>
      <w:r>
        <w:rPr>
          <w:rFonts w:ascii="仿宋" w:eastAsia="仿宋"/>
          <w:sz w:val="32"/>
          <w:szCs w:val="32"/>
        </w:rPr>
        <w:t>2024年1月31日</w:t>
      </w:r>
    </w:p>
    <w:p>
      <w:pPr>
        <w:jc w:val="center"/>
        <w:rPr>
          <w:rFonts w:ascii="宋体" w:hint="eastAsia"/>
          <w:b/>
          <w:bCs/>
          <w:sz w:val="44"/>
          <w:szCs w:val="44"/>
        </w:rPr>
      </w:pPr>
      <w:r>
        <w:rPr>
          <w:rFonts w:ascii="宋体" w:hint="eastAsia"/>
          <w:b/>
          <w:bCs/>
          <w:sz w:val="44"/>
          <w:szCs w:val="44"/>
        </w:rPr>
        <w:t>2024年涞源县农业农村局</w:t>
      </w:r>
    </w:p>
    <w:p>
      <w:pPr>
        <w:jc w:val="center"/>
        <w:rPr>
          <w:rFonts w:ascii="宋体" w:hint="eastAsia"/>
          <w:b/>
          <w:bCs/>
          <w:sz w:val="44"/>
          <w:szCs w:val="44"/>
        </w:rPr>
      </w:pPr>
      <w:r>
        <w:rPr>
          <w:rFonts w:ascii="宋体" w:hint="eastAsia"/>
          <w:b/>
          <w:bCs/>
          <w:sz w:val="44"/>
          <w:szCs w:val="44"/>
        </w:rPr>
        <w:t>“双随机、一公开”监管工作培训方案</w:t>
      </w:r>
    </w:p>
    <w:p>
      <w:pPr>
        <w:spacing w:line="700" w:lineRule="exact"/>
        <w:ind w:firstLineChars="200" w:firstLine="640"/>
        <w:rPr>
          <w:rFonts w:ascii="仿宋" w:eastAsia="仿宋" w:hint="eastAsia"/>
          <w:sz w:val="32"/>
          <w:szCs w:val="32"/>
        </w:rPr>
      </w:pPr>
      <w:r>
        <w:rPr>
          <w:rFonts w:ascii="仿宋" w:eastAsia="仿宋" w:hint="eastAsia"/>
          <w:sz w:val="32"/>
          <w:szCs w:val="32"/>
        </w:rPr>
        <w:t>为不断加强我单位“双随机、一公开”的监管业务能力和监管水平，制定此培训方案：</w:t>
      </w:r>
    </w:p>
    <w:p>
      <w:pPr>
        <w:spacing w:line="700" w:lineRule="exact"/>
        <w:ind w:left="626"/>
        <w:rPr>
          <w:rFonts w:ascii="仿宋" w:eastAsia="仿宋" w:hint="eastAsia"/>
          <w:sz w:val="32"/>
          <w:szCs w:val="32"/>
        </w:rPr>
      </w:pPr>
      <w:r>
        <w:rPr>
          <w:rFonts w:ascii="仿宋" w:eastAsia="仿宋"/>
          <w:sz w:val="32"/>
          <w:szCs w:val="32"/>
        </w:rPr>
        <w:t>一、</w:t>
      </w:r>
      <w:r>
        <w:rPr>
          <w:rFonts w:ascii="仿宋" w:eastAsia="仿宋" w:hint="eastAsia"/>
          <w:sz w:val="32"/>
          <w:szCs w:val="32"/>
        </w:rPr>
        <w:t>培训人员</w:t>
      </w:r>
    </w:p>
    <w:p>
      <w:pPr>
        <w:spacing w:line="700" w:lineRule="exact"/>
        <w:ind w:left="626"/>
        <w:rPr>
          <w:rFonts w:ascii="仿宋" w:eastAsia="仿宋" w:hint="eastAsia"/>
          <w:sz w:val="32"/>
          <w:szCs w:val="32"/>
        </w:rPr>
      </w:pPr>
      <w:r>
        <w:rPr>
          <w:rFonts w:ascii="仿宋" w:eastAsia="仿宋" w:hint="eastAsia"/>
          <w:sz w:val="32"/>
          <w:szCs w:val="32"/>
        </w:rPr>
        <w:t>执法人员和相关股室人员</w:t>
      </w:r>
    </w:p>
    <w:p>
      <w:pPr>
        <w:spacing w:line="700" w:lineRule="exact"/>
        <w:ind w:firstLineChars="200" w:firstLine="640"/>
        <w:rPr>
          <w:rFonts w:ascii="仿宋" w:eastAsia="仿宋" w:hint="eastAsia"/>
          <w:sz w:val="32"/>
          <w:szCs w:val="32"/>
        </w:rPr>
      </w:pPr>
      <w:r>
        <w:rPr>
          <w:rFonts w:ascii="仿宋" w:eastAsia="仿宋" w:hint="eastAsia"/>
          <w:sz w:val="32"/>
          <w:szCs w:val="32"/>
        </w:rPr>
        <w:t>二、培训方式</w:t>
      </w:r>
    </w:p>
    <w:p>
      <w:pPr>
        <w:spacing w:line="700" w:lineRule="exact"/>
        <w:ind w:firstLineChars="200" w:firstLine="640"/>
        <w:rPr>
          <w:rFonts w:ascii="仿宋" w:eastAsia="仿宋" w:hint="eastAsia"/>
          <w:sz w:val="32"/>
          <w:szCs w:val="32"/>
        </w:rPr>
      </w:pPr>
      <w:r>
        <w:rPr>
          <w:rFonts w:ascii="仿宋" w:eastAsia="仿宋" w:hint="eastAsia"/>
          <w:sz w:val="32"/>
          <w:szCs w:val="32"/>
        </w:rPr>
        <w:t>采取集中培训和分散培训相结合的方式</w:t>
      </w:r>
    </w:p>
    <w:p>
      <w:pPr>
        <w:spacing w:line="700" w:lineRule="exact"/>
        <w:ind w:firstLineChars="200" w:firstLine="640"/>
        <w:rPr>
          <w:rFonts w:ascii="仿宋" w:eastAsia="仿宋" w:hint="eastAsia"/>
          <w:sz w:val="32"/>
          <w:szCs w:val="32"/>
        </w:rPr>
      </w:pPr>
      <w:r>
        <w:rPr>
          <w:rFonts w:ascii="仿宋" w:eastAsia="仿宋" w:hint="eastAsia"/>
          <w:sz w:val="32"/>
          <w:szCs w:val="32"/>
        </w:rPr>
        <w:t>三、培训时间</w:t>
      </w:r>
    </w:p>
    <w:p>
      <w:pPr>
        <w:spacing w:line="700" w:lineRule="exact"/>
        <w:ind w:firstLineChars="200" w:firstLine="640"/>
        <w:rPr>
          <w:rFonts w:ascii="仿宋" w:eastAsia="仿宋" w:hint="eastAsia"/>
          <w:sz w:val="32"/>
          <w:szCs w:val="32"/>
        </w:rPr>
      </w:pPr>
      <w:r>
        <w:rPr>
          <w:rFonts w:ascii="仿宋" w:eastAsia="仿宋" w:hint="eastAsia"/>
          <w:sz w:val="32"/>
          <w:szCs w:val="32"/>
        </w:rPr>
        <w:t>计划组织培训两次：</w:t>
      </w:r>
    </w:p>
    <w:p>
      <w:pPr>
        <w:spacing w:line="700" w:lineRule="exact"/>
        <w:ind w:firstLineChars="200" w:firstLine="640"/>
        <w:rPr>
          <w:rFonts w:ascii="仿宋" w:eastAsia="仿宋" w:hint="eastAsia"/>
          <w:sz w:val="32"/>
          <w:szCs w:val="32"/>
        </w:rPr>
      </w:pPr>
      <w:r>
        <w:rPr>
          <w:rFonts w:ascii="仿宋" w:eastAsia="仿宋" w:hint="eastAsia"/>
          <w:sz w:val="32"/>
          <w:szCs w:val="32"/>
        </w:rPr>
        <w:t>第一次：3-5月份</w:t>
      </w:r>
    </w:p>
    <w:p>
      <w:pPr>
        <w:spacing w:line="700" w:lineRule="exact"/>
        <w:ind w:firstLineChars="200" w:firstLine="640"/>
        <w:rPr>
          <w:rFonts w:ascii="仿宋" w:eastAsia="仿宋" w:hint="eastAsia"/>
          <w:sz w:val="32"/>
          <w:szCs w:val="32"/>
        </w:rPr>
      </w:pPr>
      <w:r>
        <w:rPr>
          <w:rFonts w:ascii="仿宋" w:eastAsia="仿宋" w:hint="eastAsia"/>
          <w:sz w:val="32"/>
          <w:szCs w:val="32"/>
        </w:rPr>
        <w:t>第二次：6-8月份</w:t>
      </w:r>
    </w:p>
    <w:p>
      <w:pPr>
        <w:spacing w:line="700" w:lineRule="exact"/>
        <w:ind w:firstLineChars="200" w:firstLine="640"/>
        <w:rPr>
          <w:rFonts w:ascii="仿宋" w:eastAsia="仿宋" w:hint="eastAsia"/>
          <w:sz w:val="32"/>
          <w:szCs w:val="32"/>
        </w:rPr>
      </w:pPr>
      <w:r>
        <w:rPr>
          <w:rFonts w:ascii="仿宋" w:eastAsia="仿宋" w:hint="eastAsia"/>
          <w:sz w:val="32"/>
          <w:szCs w:val="32"/>
        </w:rPr>
        <w:t>依据工作需要具体培训时间另行通知。</w:t>
      </w:r>
    </w:p>
    <w:p>
      <w:pPr>
        <w:spacing w:line="700" w:lineRule="exact"/>
        <w:ind w:firstLineChars="200" w:firstLine="640"/>
        <w:rPr>
          <w:rFonts w:ascii="仿宋" w:eastAsia="仿宋" w:hint="eastAsia"/>
          <w:sz w:val="32"/>
          <w:szCs w:val="32"/>
        </w:rPr>
      </w:pPr>
      <w:r>
        <w:rPr>
          <w:rFonts w:ascii="仿宋" w:eastAsia="仿宋" w:hint="eastAsia"/>
          <w:sz w:val="32"/>
          <w:szCs w:val="32"/>
        </w:rPr>
        <w:t xml:space="preserve">四、培训目标和内容 </w:t>
      </w:r>
    </w:p>
    <w:p>
      <w:pPr>
        <w:spacing w:line="700" w:lineRule="exact"/>
        <w:ind w:firstLineChars="200" w:firstLine="640"/>
        <w:rPr>
          <w:rFonts w:ascii="仿宋" w:eastAsia="仿宋" w:hint="eastAsia"/>
          <w:sz w:val="32"/>
          <w:szCs w:val="32"/>
        </w:rPr>
      </w:pPr>
      <w:r>
        <w:rPr>
          <w:rFonts w:ascii="仿宋" w:eastAsia="仿宋" w:hint="eastAsia"/>
          <w:sz w:val="32"/>
          <w:szCs w:val="32"/>
        </w:rPr>
        <w:t>培训目标：使受训人员深入学习各级关于“双随机、一公开”监管工作部署要求，认真贯彻落实全省市场监管工作会议精神，加强“双随机、一公开”监管理论学习，提高河北省双随机监管工作平台操作能力，提高“双随机、一公开”监管与企业信息风险分级分类相结合的能力，提高业务能力和执法水平。</w:t>
      </w:r>
    </w:p>
    <w:p>
      <w:pPr>
        <w:spacing w:line="700" w:lineRule="exact"/>
        <w:ind w:firstLineChars="200" w:firstLine="640"/>
        <w:rPr>
          <w:rFonts w:ascii="仿宋" w:eastAsia="仿宋" w:hint="eastAsia"/>
          <w:sz w:val="32"/>
          <w:szCs w:val="32"/>
        </w:rPr>
      </w:pPr>
      <w:r>
        <w:rPr>
          <w:rFonts w:ascii="仿宋" w:eastAsia="仿宋" w:hint="eastAsia"/>
          <w:sz w:val="32"/>
          <w:szCs w:val="32"/>
        </w:rPr>
        <w:t>培训内容：《“双随机、一公开”监管抽查工作规范》、“双随机、一公开”监管工作政策解读；河北省双随机监管工作平台使用培训讲座及疑难问题解答。</w:t>
      </w:r>
    </w:p>
    <w:p>
      <w:pPr>
        <w:spacing w:line="700" w:lineRule="exact"/>
        <w:ind w:firstLine="0"/>
        <w:rPr>
          <w:rFonts w:ascii="仿宋" w:eastAsia="仿宋" w:hint="eastAsia"/>
          <w:sz w:val="32"/>
          <w:szCs w:val="32"/>
        </w:rPr>
      </w:pPr>
    </w:p>
    <w:p>
      <w:pPr>
        <w:spacing w:line="700" w:lineRule="exact"/>
        <w:ind w:firstLineChars="200" w:firstLine="640"/>
        <w:rPr>
          <w:rFonts w:ascii="仿宋" w:eastAsia="仿宋" w:hint="eastAsia"/>
          <w:sz w:val="32"/>
          <w:szCs w:val="32"/>
        </w:rPr>
        <w:sectPr>
          <w:pgSz w:w="11906" w:h="16838"/>
          <w:pgMar w:top="1440" w:right="1800" w:bottom="1440" w:left="1800" w:header="851" w:footer="992" w:gutter="0"/>
          <w:docGrid w:type="lines" w:linePitch="312" w:charSpace="0"/>
        </w:sectPr>
      </w:pPr>
      <w:r>
        <w:rPr>
          <w:rFonts w:ascii="仿宋" w:eastAsia="仿宋" w:hint="eastAsia"/>
          <w:sz w:val="32"/>
          <w:szCs w:val="32"/>
        </w:rPr>
        <w:t>附件：2024年度涞源县农业农村局“双随机、一公开”监管工作培训计划</w:t>
      </w:r>
    </w:p>
    <w:p>
      <w:pPr>
        <w:ind w:firstLine="0"/>
        <w:rPr>
          <w:rFonts w:ascii="仿宋" w:eastAsia="仿宋" w:hint="eastAsia"/>
          <w:sz w:val="32"/>
          <w:szCs w:val="32"/>
        </w:rPr>
      </w:pPr>
      <w:r>
        <w:rPr>
          <w:rFonts w:ascii="仿宋" w:eastAsia="仿宋" w:hint="eastAsia"/>
          <w:sz w:val="32"/>
          <w:szCs w:val="32"/>
        </w:rPr>
        <w:t>附件</w:t>
      </w:r>
    </w:p>
    <w:p>
      <w:pPr>
        <w:ind w:firstLine="0"/>
        <w:jc w:val="center"/>
        <w:rPr>
          <w:rFonts w:ascii="宋体" w:hint="eastAsia"/>
          <w:b/>
          <w:bCs/>
          <w:sz w:val="44"/>
          <w:szCs w:val="44"/>
        </w:rPr>
      </w:pPr>
      <w:r>
        <w:rPr>
          <w:rFonts w:ascii="宋体" w:hint="eastAsia"/>
          <w:b/>
          <w:bCs/>
          <w:sz w:val="44"/>
          <w:szCs w:val="44"/>
        </w:rPr>
        <w:t>2024年度涞源县农业农村局“双随机、一公开”监管工作培训计划</w:t>
      </w:r>
    </w:p>
    <w:tbl>
      <w:tblPr>
        <w:jc w:val="lef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29"/>
        <w:gridCol w:w="6286"/>
        <w:gridCol w:w="2713"/>
        <w:gridCol w:w="2418"/>
      </w:tblGrid>
      <w:tr>
        <w:tc>
          <w:tcPr>
            <w:tcW w:w="2529" w:type="dxa"/>
          </w:tcPr>
          <w:p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ascii="仿宋" w:eastAsia="仿宋" w:hint="eastAsia"/>
                <w:sz w:val="32"/>
                <w:szCs w:val="32"/>
              </w:rPr>
            </w:pPr>
            <w:r>
              <w:rPr>
                <w:rFonts w:ascii="仿宋" w:eastAsia="仿宋" w:hint="eastAsia"/>
                <w:sz w:val="32"/>
                <w:szCs w:val="32"/>
              </w:rPr>
              <w:t>培训时间</w:t>
            </w:r>
          </w:p>
        </w:tc>
        <w:tc>
          <w:tcPr>
            <w:tcW w:w="6286" w:type="dxa"/>
          </w:tcPr>
          <w:p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ascii="仿宋" w:eastAsia="仿宋" w:hint="eastAsia"/>
                <w:sz w:val="32"/>
                <w:szCs w:val="32"/>
              </w:rPr>
            </w:pPr>
            <w:r>
              <w:rPr>
                <w:rFonts w:ascii="仿宋" w:eastAsia="仿宋" w:hint="eastAsia"/>
                <w:sz w:val="32"/>
                <w:szCs w:val="32"/>
              </w:rPr>
              <w:t>培训内容</w:t>
            </w:r>
          </w:p>
        </w:tc>
        <w:tc>
          <w:tcPr>
            <w:tcW w:w="2713" w:type="dxa"/>
          </w:tcPr>
          <w:p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ascii="仿宋" w:eastAsia="仿宋" w:hint="eastAsia"/>
                <w:sz w:val="32"/>
                <w:szCs w:val="32"/>
              </w:rPr>
            </w:pPr>
            <w:r>
              <w:rPr>
                <w:rFonts w:ascii="仿宋" w:eastAsia="仿宋" w:hint="eastAsia"/>
                <w:sz w:val="32"/>
                <w:szCs w:val="32"/>
              </w:rPr>
              <w:t>参加人员</w:t>
            </w:r>
          </w:p>
        </w:tc>
        <w:tc>
          <w:tcPr>
            <w:tcW w:w="2418" w:type="dxa"/>
          </w:tcPr>
          <w:p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ascii="仿宋" w:eastAsia="仿宋" w:hint="eastAsia"/>
                <w:sz w:val="32"/>
                <w:szCs w:val="32"/>
              </w:rPr>
            </w:pPr>
            <w:r>
              <w:rPr>
                <w:rFonts w:ascii="仿宋" w:eastAsia="仿宋" w:hint="eastAsia"/>
                <w:sz w:val="32"/>
                <w:szCs w:val="32"/>
              </w:rPr>
              <w:t>培训方式</w:t>
            </w:r>
          </w:p>
        </w:tc>
      </w:tr>
      <w:tr>
        <w:trPr>
          <w:trHeight w:val="2779"/>
        </w:trPr>
        <w:tc>
          <w:tcPr>
            <w:tcW w:w="2529" w:type="dxa"/>
            <w:vAlign w:val="center"/>
          </w:tcPr>
          <w:p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ascii="仿宋" w:eastAsia="仿宋" w:hint="eastAsia"/>
                <w:sz w:val="32"/>
                <w:szCs w:val="32"/>
              </w:rPr>
            </w:pPr>
            <w:r>
              <w:rPr>
                <w:rFonts w:ascii="仿宋" w:eastAsia="仿宋" w:hint="eastAsia"/>
                <w:sz w:val="32"/>
                <w:szCs w:val="32"/>
              </w:rPr>
              <w:t>2024年3-5月份</w:t>
            </w:r>
          </w:p>
        </w:tc>
        <w:tc>
          <w:tcPr>
            <w:tcW w:w="6286" w:type="dxa"/>
          </w:tcPr>
          <w:p>
            <w:pPr>
              <w:ind w:firstLine="0"/>
              <w:rPr>
                <w:rFonts w:ascii="仿宋" w:eastAsia="仿宋" w:hint="eastAsia"/>
                <w:sz w:val="32"/>
                <w:szCs w:val="32"/>
              </w:rPr>
            </w:pPr>
            <w:r>
              <w:rPr>
                <w:rFonts w:ascii="仿宋" w:eastAsia="仿宋" w:hint="eastAsia"/>
                <w:sz w:val="32"/>
                <w:szCs w:val="32"/>
              </w:rPr>
              <w:t>《“双随机、一公开”监管抽查工作规范》、“双随机、一公开”监管工作政策解读；河北省双随机监管工作平台使用培训讲座及疑难问题解答。</w:t>
            </w:r>
          </w:p>
        </w:tc>
        <w:tc>
          <w:tcPr>
            <w:tcW w:w="2713" w:type="dxa"/>
            <w:vAlign w:val="center"/>
          </w:tcPr>
          <w:p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ascii="仿宋" w:eastAsia="仿宋" w:hint="eastAsia"/>
                <w:sz w:val="32"/>
                <w:szCs w:val="32"/>
              </w:rPr>
            </w:pPr>
            <w:r>
              <w:rPr>
                <w:rFonts w:ascii="仿宋" w:eastAsia="仿宋" w:hint="eastAsia"/>
                <w:sz w:val="32"/>
                <w:szCs w:val="32"/>
              </w:rPr>
              <w:t>执法人员和相关股室人员</w:t>
            </w:r>
          </w:p>
        </w:tc>
        <w:tc>
          <w:tcPr>
            <w:tcW w:w="2418" w:type="dxa"/>
            <w:vAlign w:val="center"/>
          </w:tcPr>
          <w:p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ascii="仿宋" w:eastAsia="仿宋" w:hint="eastAsia"/>
                <w:sz w:val="32"/>
                <w:szCs w:val="32"/>
              </w:rPr>
            </w:pPr>
            <w:r>
              <w:rPr>
                <w:rFonts w:ascii="仿宋" w:eastAsia="仿宋" w:hint="eastAsia"/>
                <w:sz w:val="32"/>
                <w:szCs w:val="32"/>
              </w:rPr>
              <w:t>现场培训与分散培训相结合</w:t>
            </w:r>
          </w:p>
        </w:tc>
      </w:tr>
      <w:tr>
        <w:trPr>
          <w:trHeight w:val="2653"/>
        </w:trPr>
        <w:tc>
          <w:tcPr>
            <w:tcW w:w="2529" w:type="dxa"/>
            <w:vAlign w:val="center"/>
          </w:tcPr>
          <w:p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ascii="仿宋" w:eastAsia="仿宋" w:hint="eastAsia"/>
                <w:sz w:val="32"/>
                <w:szCs w:val="32"/>
              </w:rPr>
            </w:pPr>
            <w:r>
              <w:rPr>
                <w:rFonts w:ascii="仿宋" w:eastAsia="仿宋" w:hint="eastAsia"/>
                <w:sz w:val="32"/>
                <w:szCs w:val="32"/>
              </w:rPr>
              <w:t>2024年6-8月份</w:t>
            </w:r>
          </w:p>
        </w:tc>
        <w:tc>
          <w:tcPr>
            <w:tcW w:w="6286" w:type="dxa"/>
          </w:tcPr>
          <w:p>
            <w:pPr>
              <w:ind w:firstLine="0"/>
              <w:rPr>
                <w:rFonts w:ascii="仿宋" w:eastAsia="仿宋" w:hint="eastAsia"/>
                <w:sz w:val="32"/>
                <w:szCs w:val="32"/>
              </w:rPr>
            </w:pPr>
            <w:r>
              <w:rPr>
                <w:rFonts w:ascii="仿宋" w:eastAsia="仿宋" w:hint="eastAsia"/>
                <w:sz w:val="32"/>
                <w:szCs w:val="32"/>
              </w:rPr>
              <w:t>《“双随机、一公开”监管抽查工作规范》、“双随机、一公开”监管工作政策解读；河北省双随机监管工作平台使用培训讲座及疑难问题解答。</w:t>
            </w:r>
          </w:p>
        </w:tc>
        <w:tc>
          <w:tcPr>
            <w:tcW w:w="2713" w:type="dxa"/>
            <w:vAlign w:val="center"/>
          </w:tcPr>
          <w:p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ascii="仿宋" w:eastAsia="仿宋" w:hint="eastAsia"/>
                <w:sz w:val="32"/>
                <w:szCs w:val="32"/>
              </w:rPr>
            </w:pPr>
            <w:r>
              <w:rPr>
                <w:rFonts w:ascii="仿宋" w:eastAsia="仿宋" w:hint="eastAsia"/>
                <w:sz w:val="32"/>
                <w:szCs w:val="32"/>
              </w:rPr>
              <w:t>执法人员和相关股室人员</w:t>
            </w:r>
          </w:p>
        </w:tc>
        <w:tc>
          <w:tcPr>
            <w:tcW w:w="2418" w:type="dxa"/>
            <w:vAlign w:val="center"/>
          </w:tcPr>
          <w:p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ascii="仿宋" w:eastAsia="仿宋" w:hint="eastAsia"/>
                <w:sz w:val="32"/>
                <w:szCs w:val="32"/>
              </w:rPr>
            </w:pPr>
            <w:r>
              <w:rPr>
                <w:rFonts w:ascii="仿宋" w:eastAsia="仿宋" w:hint="eastAsia"/>
                <w:sz w:val="32"/>
                <w:szCs w:val="32"/>
              </w:rPr>
              <w:t>现场培训与分散培训相结合</w:t>
            </w:r>
          </w:p>
        </w:tc>
      </w:tr>
    </w:tbl>
    <w:p>
      <w:pPr>
        <w:ind w:firstLine="0"/>
        <w:rPr>
          <w:rFonts w:ascii="仿宋" w:eastAsia="仿宋" w:hint="eastAsia"/>
          <w:sz w:val="32"/>
          <w:szCs w:val="32"/>
        </w:rPr>
      </w:pPr>
    </w:p>
    <w:sectPr>
      <w:pgSz w:w="16838" w:h="11906" w:orient="landscape"/>
      <w:pgMar w:top="1800" w:right="1440" w:bottom="1800" w:left="1440" w:header="851" w:footer="992" w:gutter="0"/>
      <w:docGrid w:type="lines" w:linePitch="312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仿宋">
    <w:panose1 w:val="02010609060101010101"/>
    <w:charset w:val="86"/>
    <w:family w:val="auto"/>
    <w:pitch w:val="variable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auto"/>
    <w:pitch w:val="variable"/>
    <w:sig w:usb0="00000A87" w:usb1="00000000" w:usb2="00000000" w:usb3="00000000" w:csb0="400001BF" w:csb1="DFF7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panose1 w:val="02010609060101010101"/>
    <w:charset w:val="86"/>
    <w:family w:val="auto"/>
    <w:pitch w:val="variable"/>
    <w:sig w:usb0="800002BF" w:usb1="38CF7CFA" w:usb2="00000016" w:usb3="00000000" w:csb0="00040001" w:csb1="00000000"/>
  </w:font>
</w:fonts>
</file>

<file path=word/settings.xml><?xml version="1.0" encoding="utf-8"?>
<w:settings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>
  <w:zoom w:percent="110"/>
  <w:displayBackgroundShape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noPunctuationKerning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ulTrailSpace/>
    <w:doNotExpandShiftReturn/>
    <w:adjustLineHeightInTable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style w:type="paragraph" w:default="1" w:styleId="0">
    <w:name w:val="Normal"/>
    <w:pPr>
      <w:widowControl w:val="0"/>
      <w:jc w:val="both"/>
    </w:pPr>
    <w:rPr>
      <w:rFonts w:ascii="Calibri" w:eastAsia="宋体" w:cs="Arial" w:hAnsi="Calibri"/>
      <w:kern w:val="2"/>
      <w:sz w:val="21"/>
      <w:szCs w:val="22"/>
      <w:lang w:val="en-US" w:eastAsia="zh-CN" w:bidi="ar-SA"/>
    </w:rPr>
  </w:style>
  <w:style w:type="paragraph" w:styleId="1">
    <w:name w:val="heading 1"/>
    <w:basedOn w:val="0"/>
    <w:next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0"/>
    <w:next w:val="0"/>
    <w:pPr>
      <w:keepNext/>
      <w:keepLines/>
      <w:spacing w:before="260" w:after="260" w:line="415" w:lineRule="auto"/>
      <w:outlineLvl w:val="1"/>
    </w:pPr>
    <w:rPr>
      <w:rFonts w:ascii="Times New Roman" w:eastAsia="黑体" w:hAnsi="Times New Roman"/>
      <w:b/>
      <w:bCs/>
      <w:sz w:val="32"/>
      <w:szCs w:val="32"/>
    </w:rPr>
  </w:style>
  <w:style w:type="paragraph" w:styleId="3">
    <w:name w:val="heading 3"/>
    <w:basedOn w:val="0"/>
    <w:next w:val="0"/>
    <w:pPr>
      <w:keepNext/>
      <w:keepLines/>
      <w:spacing w:before="260" w:after="260" w:line="415" w:lineRule="auto"/>
      <w:outlineLvl w:val="2"/>
    </w:pPr>
    <w:rPr>
      <w:b/>
      <w:bCs/>
      <w:sz w:val="32"/>
      <w:szCs w:val="32"/>
    </w:rPr>
  </w:style>
  <w:style w:type="character" w:default="1" w:styleId="10">
    <w:name w:val="Default Paragraph Font"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fontTable" Target="fontTable.xml"/></Relationships>
</file>

<file path=docProps/app.xml><?xml version="1.0" encoding="utf-8"?>
<Properties xmlns="http://schemas.openxmlformats.org/officeDocument/2006/extended-properties">
  <Template>Normal.eit</Template>
  <TotalTime>67</TotalTime>
  <Application>Yozo_Office27021597764231179</Application>
  <Pages>4</Pages>
  <Words>824</Words>
  <Characters>861</Characters>
  <Lines>74</Lines>
  <Paragraphs>37</Paragraphs>
  <CharactersWithSpaces>861</CharactersWithSpaces>
  <Company>Yozosoft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creator>User274</dc:creator>
  <cp:lastModifiedBy>dh</cp:lastModifiedBy>
  <cp:revision>1</cp:revision>
  <dcterms:created xsi:type="dcterms:W3CDTF">2021-05-08T07:28:00Z</dcterms:created>
  <dcterms:modified xsi:type="dcterms:W3CDTF">2024-02-04T02:39:53Z</dcterms:modified>
</cp:coreProperties>
</file>