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  <w:t>涞源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县水土保持工程建设以奖代补项目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2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02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年度工作方案</w:t>
      </w:r>
    </w:p>
    <w:bookmarkEnd w:id="0"/>
    <w:p>
      <w:pPr>
        <w:keepNext w:val="0"/>
        <w:keepLines w:val="0"/>
        <w:pageBreakBefore w:val="0"/>
        <w:widowControl w:val="0"/>
        <w:tabs>
          <w:tab w:val="center" w:pos="4153"/>
          <w:tab w:val="left" w:pos="58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eastAsia="仿宋_GB2312" w:hAnsiTheme="minorEastAsia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center" w:pos="4153"/>
          <w:tab w:val="left" w:pos="58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_GB2312" w:eastAsia="仿宋_GB2312" w:hAnsiTheme="minorEastAsia"/>
          <w:sz w:val="32"/>
          <w:szCs w:val="32"/>
        </w:rPr>
      </w:pPr>
      <w:r>
        <w:rPr>
          <w:rFonts w:hint="eastAsia" w:ascii="仿宋_GB2312" w:eastAsia="仿宋_GB2312" w:hAnsiTheme="minorEastAsia"/>
          <w:sz w:val="32"/>
          <w:szCs w:val="32"/>
        </w:rPr>
        <w:t>为进一步调动社会力量参与水土流失治理的积极性，提高水土流失治理速度和效益，发挥水土保持巩固拓展脱贫攻坚成果，推进乡村振兴和生态文明建设的支撑作用，我县制定出台了《</w:t>
      </w:r>
      <w:r>
        <w:rPr>
          <w:rFonts w:hint="eastAsia" w:ascii="仿宋_GB2312" w:eastAsia="仿宋_GB2312" w:hAnsiTheme="minorEastAsia"/>
          <w:sz w:val="32"/>
          <w:szCs w:val="32"/>
          <w:lang w:eastAsia="zh-CN"/>
        </w:rPr>
        <w:t>涞源</w:t>
      </w:r>
      <w:r>
        <w:rPr>
          <w:rFonts w:hint="eastAsia" w:ascii="仿宋_GB2312" w:eastAsia="仿宋_GB2312" w:hAnsiTheme="minorEastAsia"/>
          <w:sz w:val="32"/>
          <w:szCs w:val="32"/>
        </w:rPr>
        <w:t>县水土保持工程建设以奖代补实施细则》。为做好2</w:t>
      </w:r>
      <w:r>
        <w:rPr>
          <w:rFonts w:ascii="仿宋_GB2312" w:eastAsia="仿宋_GB2312" w:hAnsiTheme="minorEastAsia"/>
          <w:sz w:val="32"/>
          <w:szCs w:val="32"/>
        </w:rPr>
        <w:t>02</w:t>
      </w:r>
      <w:r>
        <w:rPr>
          <w:rFonts w:hint="eastAsia" w:ascii="仿宋_GB2312" w:eastAsia="仿宋_GB2312" w:hAnsiTheme="minorEastAsia"/>
          <w:sz w:val="32"/>
          <w:szCs w:val="32"/>
          <w:lang w:val="en-US" w:eastAsia="zh-CN"/>
        </w:rPr>
        <w:t>4</w:t>
      </w:r>
      <w:r>
        <w:rPr>
          <w:rFonts w:hint="eastAsia" w:ascii="仿宋_GB2312" w:eastAsia="仿宋_GB2312" w:hAnsiTheme="minorEastAsia"/>
          <w:sz w:val="32"/>
          <w:szCs w:val="32"/>
        </w:rPr>
        <w:t>年度水土保持工程建设以奖代补工作，根据实施细则有关规定并结合我县实际，制定本方案。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一、实施区域</w:t>
      </w:r>
    </w:p>
    <w:p>
      <w:pPr>
        <w:keepNext w:val="0"/>
        <w:keepLines w:val="0"/>
        <w:pageBreakBefore w:val="0"/>
        <w:widowControl w:val="0"/>
        <w:tabs>
          <w:tab w:val="center" w:pos="4153"/>
          <w:tab w:val="left" w:pos="58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eastAsia="仿宋_GB2312" w:hAnsiTheme="minorEastAsia"/>
          <w:sz w:val="32"/>
          <w:szCs w:val="32"/>
        </w:rPr>
      </w:pPr>
      <w:r>
        <w:rPr>
          <w:rFonts w:hint="eastAsia" w:ascii="仿宋_GB2312" w:eastAsia="仿宋_GB2312" w:hAnsiTheme="minorEastAsia"/>
          <w:sz w:val="32"/>
          <w:szCs w:val="32"/>
        </w:rPr>
        <w:t>将《</w:t>
      </w:r>
      <w:r>
        <w:rPr>
          <w:rFonts w:hint="eastAsia" w:ascii="仿宋_GB2312" w:eastAsia="仿宋_GB2312" w:hAnsiTheme="minorEastAsia"/>
          <w:sz w:val="32"/>
          <w:szCs w:val="32"/>
          <w:lang w:eastAsia="zh-CN"/>
        </w:rPr>
        <w:t>涞源</w:t>
      </w:r>
      <w:r>
        <w:rPr>
          <w:rFonts w:hint="eastAsia" w:ascii="仿宋_GB2312" w:eastAsia="仿宋_GB2312" w:hAnsiTheme="minorEastAsia"/>
          <w:sz w:val="32"/>
          <w:szCs w:val="32"/>
        </w:rPr>
        <w:t>县水土保持规划（2020-2030年）》</w:t>
      </w:r>
      <w:r>
        <w:rPr>
          <w:rFonts w:hint="eastAsia" w:ascii="仿宋_GB2312" w:eastAsia="仿宋_GB2312" w:hAnsiTheme="minorEastAsia"/>
          <w:sz w:val="32"/>
          <w:szCs w:val="32"/>
          <w:lang w:eastAsia="zh-CN"/>
        </w:rPr>
        <w:t>中</w:t>
      </w:r>
      <w:r>
        <w:rPr>
          <w:rFonts w:hint="eastAsia" w:ascii="仿宋_GB2312" w:eastAsia="仿宋_GB2312" w:hAnsiTheme="minorEastAsia"/>
          <w:sz w:val="32"/>
          <w:szCs w:val="32"/>
        </w:rPr>
        <w:t>水土流失重点治理区</w:t>
      </w:r>
      <w:r>
        <w:rPr>
          <w:rFonts w:hint="eastAsia" w:ascii="仿宋_GB2312" w:eastAsia="仿宋_GB2312" w:hAnsiTheme="minorEastAsia"/>
          <w:sz w:val="32"/>
          <w:szCs w:val="32"/>
          <w:lang w:eastAsia="zh-CN"/>
        </w:rPr>
        <w:t>确定</w:t>
      </w:r>
      <w:r>
        <w:rPr>
          <w:rFonts w:hint="eastAsia" w:ascii="仿宋_GB2312" w:eastAsia="仿宋_GB2312" w:hAnsiTheme="minorEastAsia"/>
          <w:sz w:val="32"/>
          <w:szCs w:val="32"/>
        </w:rPr>
        <w:t>为水土保持工程建设以奖代补项目实施范围。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二、年度任务</w:t>
      </w:r>
    </w:p>
    <w:p>
      <w:pPr>
        <w:keepNext w:val="0"/>
        <w:keepLines w:val="0"/>
        <w:pageBreakBefore w:val="0"/>
        <w:widowControl w:val="0"/>
        <w:tabs>
          <w:tab w:val="center" w:pos="4153"/>
          <w:tab w:val="left" w:pos="58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eastAsia="仿宋_GB2312" w:hAnsiTheme="minorEastAsia"/>
          <w:sz w:val="32"/>
          <w:szCs w:val="32"/>
        </w:rPr>
      </w:pPr>
      <w:r>
        <w:rPr>
          <w:rFonts w:hint="eastAsia" w:ascii="仿宋_GB2312" w:eastAsia="仿宋_GB2312" w:hAnsiTheme="minorEastAsia"/>
          <w:sz w:val="32"/>
          <w:szCs w:val="32"/>
        </w:rPr>
        <w:t>计划完成水土流失综合治理面积1</w:t>
      </w:r>
      <w:r>
        <w:rPr>
          <w:rFonts w:hint="eastAsia" w:ascii="仿宋_GB2312" w:eastAsia="仿宋_GB2312" w:hAnsiTheme="minorEastAsia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hAnsiTheme="minorEastAsia"/>
          <w:sz w:val="32"/>
          <w:szCs w:val="32"/>
        </w:rPr>
        <w:t>平方公里，总投资550万元，其中奖补资金350万元。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三、建设内容</w:t>
      </w:r>
    </w:p>
    <w:p>
      <w:pPr>
        <w:keepNext w:val="0"/>
        <w:keepLines w:val="0"/>
        <w:pageBreakBefore w:val="0"/>
        <w:widowControl w:val="0"/>
        <w:tabs>
          <w:tab w:val="center" w:pos="4153"/>
          <w:tab w:val="left" w:pos="58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eastAsia="仿宋_GB2312" w:hAnsiTheme="minorEastAsia"/>
          <w:sz w:val="32"/>
          <w:szCs w:val="32"/>
        </w:rPr>
      </w:pPr>
      <w:r>
        <w:rPr>
          <w:rFonts w:hint="eastAsia" w:ascii="仿宋_GB2312" w:eastAsia="仿宋_GB2312" w:hAnsiTheme="minorEastAsia"/>
          <w:sz w:val="32"/>
          <w:szCs w:val="32"/>
        </w:rPr>
        <w:t>主要建设内容</w:t>
      </w:r>
      <w:r>
        <w:rPr>
          <w:rFonts w:hint="eastAsia" w:ascii="仿宋_GB2312" w:eastAsia="仿宋_GB2312" w:hAnsiTheme="minorEastAsia"/>
          <w:sz w:val="32"/>
          <w:szCs w:val="32"/>
          <w:lang w:eastAsia="zh-CN"/>
        </w:rPr>
        <w:t>：</w:t>
      </w:r>
      <w:r>
        <w:rPr>
          <w:rFonts w:hint="eastAsia" w:ascii="仿宋_GB2312" w:eastAsia="仿宋_GB2312" w:hAnsiTheme="minorEastAsia"/>
          <w:sz w:val="32"/>
          <w:szCs w:val="32"/>
        </w:rPr>
        <w:t>谷坊、护村护地坝、小型蓄引水工程、沟头防护、水蚀林地治理、梯田、坡面截排水工程</w:t>
      </w:r>
      <w:r>
        <w:rPr>
          <w:rFonts w:hint="eastAsia" w:ascii="仿宋_GB2312" w:eastAsia="仿宋_GB2312" w:hAnsiTheme="minorEastAsia"/>
          <w:sz w:val="32"/>
          <w:szCs w:val="32"/>
          <w:lang w:eastAsia="zh-CN"/>
        </w:rPr>
        <w:t>、</w:t>
      </w:r>
      <w:r>
        <w:rPr>
          <w:rFonts w:hint="eastAsia" w:ascii="仿宋_GB2312" w:eastAsia="仿宋_GB2312" w:hAnsiTheme="minorEastAsia"/>
          <w:sz w:val="32"/>
          <w:szCs w:val="32"/>
        </w:rPr>
        <w:t>作业路、</w:t>
      </w:r>
      <w:r>
        <w:rPr>
          <w:rFonts w:hint="eastAsia" w:ascii="仿宋_GB2312" w:eastAsia="仿宋_GB2312" w:hAnsiTheme="minorEastAsia"/>
          <w:sz w:val="32"/>
          <w:szCs w:val="32"/>
          <w:lang w:eastAsia="zh-CN"/>
        </w:rPr>
        <w:t>围网、护栏、灌溉、</w:t>
      </w:r>
      <w:r>
        <w:rPr>
          <w:rFonts w:hint="eastAsia" w:ascii="仿宋_GB2312" w:eastAsia="仿宋_GB2312" w:hAnsiTheme="minorEastAsia"/>
          <w:sz w:val="32"/>
          <w:szCs w:val="32"/>
        </w:rPr>
        <w:t>水土保持林、经果林、种草</w:t>
      </w:r>
      <w:r>
        <w:rPr>
          <w:rFonts w:hint="eastAsia" w:ascii="仿宋_GB2312" w:eastAsia="仿宋_GB2312" w:hAnsiTheme="minorEastAsia"/>
          <w:sz w:val="32"/>
          <w:szCs w:val="32"/>
          <w:lang w:eastAsia="zh-CN"/>
        </w:rPr>
        <w:t>、封育治理</w:t>
      </w:r>
      <w:r>
        <w:rPr>
          <w:rFonts w:hint="eastAsia" w:ascii="仿宋_GB2312" w:eastAsia="仿宋_GB2312" w:hAnsiTheme="minorEastAsia"/>
          <w:sz w:val="32"/>
          <w:szCs w:val="32"/>
        </w:rPr>
        <w:t>等措施。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四、奖补标准</w:t>
      </w:r>
    </w:p>
    <w:p>
      <w:pPr>
        <w:keepNext w:val="0"/>
        <w:keepLines w:val="0"/>
        <w:pageBreakBefore w:val="0"/>
        <w:widowControl w:val="0"/>
        <w:tabs>
          <w:tab w:val="center" w:pos="4153"/>
          <w:tab w:val="left" w:pos="58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eastAsia="仿宋_GB2312" w:hAnsiTheme="minorEastAsia"/>
          <w:sz w:val="32"/>
          <w:szCs w:val="32"/>
        </w:rPr>
      </w:pPr>
      <w:r>
        <w:rPr>
          <w:rFonts w:hint="eastAsia" w:ascii="仿宋_GB2312" w:eastAsia="仿宋_GB2312" w:hAnsiTheme="minorEastAsia"/>
          <w:sz w:val="32"/>
          <w:szCs w:val="32"/>
        </w:rPr>
        <w:t>各项水保措施的奖补标准按照《</w:t>
      </w:r>
      <w:r>
        <w:rPr>
          <w:rFonts w:hint="eastAsia" w:ascii="仿宋_GB2312" w:eastAsia="仿宋_GB2312" w:hAnsiTheme="minorEastAsia"/>
          <w:sz w:val="32"/>
          <w:szCs w:val="32"/>
          <w:lang w:eastAsia="zh-CN"/>
        </w:rPr>
        <w:t>涞源</w:t>
      </w:r>
      <w:r>
        <w:rPr>
          <w:rFonts w:hint="eastAsia" w:ascii="仿宋_GB2312" w:eastAsia="仿宋_GB2312" w:hAnsiTheme="minorEastAsia"/>
          <w:sz w:val="32"/>
          <w:szCs w:val="32"/>
        </w:rPr>
        <w:t>县水土保持工程建设以奖代补实施细则》的有关规定执行。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五、组织实施及保障措施</w:t>
      </w:r>
    </w:p>
    <w:p>
      <w:pPr>
        <w:keepNext w:val="0"/>
        <w:keepLines w:val="0"/>
        <w:pageBreakBefore w:val="0"/>
        <w:widowControl w:val="0"/>
        <w:tabs>
          <w:tab w:val="center" w:pos="4153"/>
          <w:tab w:val="left" w:pos="58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_GB2312" w:eastAsia="仿宋_GB2312" w:hAnsiTheme="minorEastAsia"/>
          <w:b/>
          <w:sz w:val="32"/>
          <w:szCs w:val="32"/>
        </w:rPr>
      </w:pPr>
      <w:r>
        <w:rPr>
          <w:rFonts w:hint="eastAsia" w:ascii="仿宋_GB2312" w:eastAsia="仿宋_GB2312" w:hAnsiTheme="minorEastAsia"/>
          <w:b/>
          <w:sz w:val="32"/>
          <w:szCs w:val="32"/>
        </w:rPr>
        <w:t>（一）抓好项目报审</w:t>
      </w:r>
    </w:p>
    <w:p>
      <w:pPr>
        <w:keepNext w:val="0"/>
        <w:keepLines w:val="0"/>
        <w:pageBreakBefore w:val="0"/>
        <w:widowControl w:val="0"/>
        <w:tabs>
          <w:tab w:val="center" w:pos="4153"/>
          <w:tab w:val="left" w:pos="58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eastAsia="仿宋_GB2312" w:hAnsiTheme="minorEastAsia"/>
          <w:sz w:val="32"/>
          <w:szCs w:val="32"/>
        </w:rPr>
      </w:pPr>
      <w:r>
        <w:rPr>
          <w:rFonts w:hint="eastAsia" w:ascii="仿宋_GB2312" w:eastAsia="仿宋_GB2312" w:hAnsiTheme="minorEastAsia"/>
          <w:sz w:val="32"/>
          <w:szCs w:val="32"/>
        </w:rPr>
        <w:t>实施区域内有意愿的建设主体，要按照“申报指南”和“实施细则”的有关要求积极申报。当地村委会和乡（镇）政府主动配合，做好申报项目的初审和汇总上报。水利和财政部门要按照实施细则的有关规定，做好项目的</w:t>
      </w:r>
      <w:r>
        <w:rPr>
          <w:rFonts w:hint="eastAsia" w:ascii="仿宋_GB2312" w:eastAsia="仿宋_GB2312" w:hAnsiTheme="minorEastAsia"/>
          <w:sz w:val="32"/>
          <w:szCs w:val="32"/>
          <w:lang w:eastAsia="zh-CN"/>
        </w:rPr>
        <w:t>选取</w:t>
      </w:r>
      <w:r>
        <w:rPr>
          <w:rFonts w:hint="eastAsia" w:ascii="仿宋_GB2312" w:eastAsia="仿宋_GB2312" w:hAnsiTheme="minorEastAsia"/>
          <w:sz w:val="32"/>
          <w:szCs w:val="32"/>
        </w:rPr>
        <w:t>和公示工作，确保</w:t>
      </w:r>
      <w:r>
        <w:rPr>
          <w:rFonts w:hint="eastAsia" w:ascii="仿宋_GB2312" w:eastAsia="仿宋_GB2312" w:hAnsiTheme="minorEastAsia"/>
          <w:sz w:val="32"/>
          <w:szCs w:val="32"/>
          <w:lang w:eastAsia="zh-CN"/>
        </w:rPr>
        <w:t>此项</w:t>
      </w:r>
      <w:r>
        <w:rPr>
          <w:rFonts w:hint="eastAsia" w:ascii="仿宋_GB2312" w:eastAsia="仿宋_GB2312" w:hAnsiTheme="minorEastAsia"/>
          <w:sz w:val="32"/>
          <w:szCs w:val="32"/>
        </w:rPr>
        <w:t>工作顺利开展。</w:t>
      </w:r>
    </w:p>
    <w:p>
      <w:pPr>
        <w:keepNext w:val="0"/>
        <w:keepLines w:val="0"/>
        <w:pageBreakBefore w:val="0"/>
        <w:widowControl w:val="0"/>
        <w:tabs>
          <w:tab w:val="center" w:pos="4153"/>
          <w:tab w:val="left" w:pos="58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eastAsia="仿宋_GB2312" w:hAnsiTheme="minorEastAsia"/>
          <w:b/>
          <w:sz w:val="32"/>
          <w:szCs w:val="32"/>
        </w:rPr>
      </w:pPr>
      <w:r>
        <w:rPr>
          <w:rFonts w:hint="eastAsia" w:ascii="仿宋_GB2312" w:eastAsia="仿宋_GB2312" w:hAnsiTheme="minorEastAsia"/>
          <w:b/>
          <w:sz w:val="32"/>
          <w:szCs w:val="32"/>
        </w:rPr>
        <w:t xml:space="preserve"> (二）搞好技术服务</w:t>
      </w:r>
    </w:p>
    <w:p>
      <w:pPr>
        <w:keepNext w:val="0"/>
        <w:keepLines w:val="0"/>
        <w:pageBreakBefore w:val="0"/>
        <w:widowControl w:val="0"/>
        <w:tabs>
          <w:tab w:val="center" w:pos="4153"/>
          <w:tab w:val="left" w:pos="58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eastAsia="仿宋_GB2312" w:hAnsiTheme="minorEastAsia"/>
          <w:sz w:val="32"/>
          <w:szCs w:val="32"/>
        </w:rPr>
      </w:pPr>
      <w:r>
        <w:rPr>
          <w:rFonts w:hint="eastAsia" w:ascii="仿宋_GB2312" w:eastAsia="仿宋_GB2312" w:hAnsiTheme="minorEastAsia"/>
          <w:sz w:val="32"/>
          <w:szCs w:val="32"/>
        </w:rPr>
        <w:t>县水利部门要按照《</w:t>
      </w:r>
      <w:r>
        <w:rPr>
          <w:rFonts w:hint="eastAsia" w:ascii="仿宋_GB2312" w:eastAsia="仿宋_GB2312" w:hAnsiTheme="minorEastAsia"/>
          <w:sz w:val="32"/>
          <w:szCs w:val="32"/>
          <w:lang w:eastAsia="zh-CN"/>
        </w:rPr>
        <w:t>涞源</w:t>
      </w:r>
      <w:r>
        <w:rPr>
          <w:rFonts w:hint="eastAsia" w:ascii="仿宋_GB2312" w:eastAsia="仿宋_GB2312" w:hAnsiTheme="minorEastAsia"/>
          <w:sz w:val="32"/>
          <w:szCs w:val="32"/>
        </w:rPr>
        <w:t>县水土保持规划（2020-2030年）》，明确防治区的功能定位，为民间资本参与治理提供参考。主动为投资主体的规划设计、工程建设提供技术咨询和现场指导服务，协助建设主体接受有关部门的监督检查和绩效评价等。</w:t>
      </w:r>
    </w:p>
    <w:p>
      <w:pPr>
        <w:keepNext w:val="0"/>
        <w:keepLines w:val="0"/>
        <w:pageBreakBefore w:val="0"/>
        <w:widowControl w:val="0"/>
        <w:tabs>
          <w:tab w:val="center" w:pos="4153"/>
          <w:tab w:val="left" w:pos="58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eastAsia="仿宋_GB2312" w:hAnsiTheme="minorEastAsia"/>
          <w:b/>
          <w:sz w:val="32"/>
          <w:szCs w:val="32"/>
        </w:rPr>
      </w:pPr>
      <w:r>
        <w:rPr>
          <w:rFonts w:hint="eastAsia" w:ascii="仿宋_GB2312" w:eastAsia="仿宋_GB2312" w:hAnsiTheme="minorEastAsia"/>
          <w:b/>
          <w:sz w:val="32"/>
          <w:szCs w:val="32"/>
        </w:rPr>
        <w:t xml:space="preserve">（三）强化项目监管 </w:t>
      </w:r>
    </w:p>
    <w:p>
      <w:pPr>
        <w:keepNext w:val="0"/>
        <w:keepLines w:val="0"/>
        <w:pageBreakBefore w:val="0"/>
        <w:widowControl w:val="0"/>
        <w:tabs>
          <w:tab w:val="center" w:pos="4153"/>
          <w:tab w:val="left" w:pos="58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eastAsia="仿宋_GB2312" w:hAnsiTheme="minorEastAsia"/>
          <w:sz w:val="32"/>
          <w:szCs w:val="32"/>
        </w:rPr>
      </w:pPr>
      <w:r>
        <w:rPr>
          <w:rFonts w:hint="eastAsia" w:ascii="仿宋_GB2312" w:eastAsia="仿宋_GB2312" w:hAnsiTheme="minorEastAsia"/>
          <w:sz w:val="32"/>
          <w:szCs w:val="32"/>
        </w:rPr>
        <w:t>在保证参与者享有相关合同权益时，县水利部门要按照</w:t>
      </w:r>
      <w:r>
        <w:rPr>
          <w:rFonts w:hint="eastAsia" w:ascii="仿宋_GB2312" w:eastAsia="仿宋_GB2312" w:hAnsiTheme="minorEastAsia"/>
          <w:sz w:val="32"/>
          <w:szCs w:val="32"/>
          <w:lang w:eastAsia="zh-CN"/>
        </w:rPr>
        <w:t>项目</w:t>
      </w:r>
      <w:r>
        <w:rPr>
          <w:rFonts w:hint="eastAsia" w:ascii="仿宋_GB2312" w:eastAsia="仿宋_GB2312" w:hAnsiTheme="minorEastAsia"/>
          <w:sz w:val="32"/>
          <w:szCs w:val="32"/>
        </w:rPr>
        <w:t>实施方案、水土保持工程建设技术规范和质量标准，加强项目监督检查，确保按时、按质、按量完成治理任务。</w:t>
      </w:r>
    </w:p>
    <w:p>
      <w:pPr>
        <w:keepNext w:val="0"/>
        <w:keepLines w:val="0"/>
        <w:pageBreakBefore w:val="0"/>
        <w:widowControl w:val="0"/>
        <w:tabs>
          <w:tab w:val="center" w:pos="4153"/>
          <w:tab w:val="left" w:pos="58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eastAsia="仿宋_GB2312" w:hAnsiTheme="minorEastAsia"/>
          <w:b/>
          <w:sz w:val="32"/>
          <w:szCs w:val="32"/>
          <w:lang w:eastAsia="zh-CN"/>
        </w:rPr>
      </w:pPr>
      <w:r>
        <w:rPr>
          <w:rFonts w:hint="eastAsia" w:ascii="仿宋_GB2312" w:eastAsia="仿宋_GB2312" w:hAnsiTheme="minorEastAsia"/>
          <w:b/>
          <w:sz w:val="32"/>
          <w:szCs w:val="32"/>
          <w:lang w:eastAsia="zh-CN"/>
        </w:rPr>
        <w:t xml:space="preserve">（四）严格资金管理 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" w:line="560" w:lineRule="exact"/>
        <w:ind w:left="111" w:firstLine="643"/>
        <w:textAlignment w:val="auto"/>
        <w:rPr>
          <w:rFonts w:hint="eastAsia" w:ascii="仿宋_GB2312" w:eastAsia="仿宋_GB2312" w:hAnsiTheme="minorEastAsia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="Microsoft JhengHei" w:hAnsiTheme="minorEastAsia"/>
          <w:b/>
          <w:spacing w:val="-59"/>
          <w:sz w:val="32"/>
          <w:szCs w:val="32"/>
          <w:lang w:eastAsia="zh-CN"/>
        </w:rPr>
        <w:t xml:space="preserve"> </w:t>
      </w:r>
      <w:r>
        <w:rPr>
          <w:rFonts w:hint="eastAsia" w:ascii="仿宋_GB2312" w:eastAsia="仿宋_GB2312" w:hAnsiTheme="minorEastAsia" w:cstheme="minorBidi"/>
          <w:kern w:val="2"/>
          <w:sz w:val="32"/>
          <w:szCs w:val="32"/>
          <w:lang w:val="en-US" w:eastAsia="zh-CN" w:bidi="ar-SA"/>
        </w:rPr>
        <w:t>县财政水利部门要加强沟通协调，科学设计奖补资金的兑现流程和制约措施，坚决杜绝奖补资金被截留、挪用、套取等现象的发生，确保奖补资金使用安全、规范、高效。</w:t>
      </w:r>
    </w:p>
    <w:p>
      <w:pPr>
        <w:keepNext w:val="0"/>
        <w:keepLines w:val="0"/>
        <w:pageBreakBefore w:val="0"/>
        <w:widowControl w:val="0"/>
        <w:tabs>
          <w:tab w:val="center" w:pos="4153"/>
          <w:tab w:val="left" w:pos="58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eastAsia="仿宋_GB2312" w:hAnsiTheme="minorEastAsia"/>
          <w:b/>
          <w:sz w:val="32"/>
          <w:szCs w:val="32"/>
          <w:lang w:eastAsia="zh-CN"/>
        </w:rPr>
      </w:pPr>
      <w:r>
        <w:rPr>
          <w:rFonts w:hint="eastAsia" w:ascii="仿宋_GB2312" w:eastAsia="仿宋_GB2312" w:hAnsiTheme="minorEastAsia"/>
          <w:b/>
          <w:sz w:val="32"/>
          <w:szCs w:val="32"/>
          <w:lang w:eastAsia="zh-CN"/>
        </w:rPr>
        <w:t>（五）落实管护责任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" w:line="560" w:lineRule="exact"/>
        <w:ind w:left="111" w:firstLine="643"/>
        <w:textAlignment w:val="auto"/>
        <w:rPr>
          <w:rFonts w:hint="eastAsia" w:ascii="仿宋_GB2312" w:eastAsia="仿宋_GB2312" w:hAnsiTheme="minorEastAsia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hAnsiTheme="minorEastAsia" w:cstheme="minorBidi"/>
          <w:kern w:val="2"/>
          <w:sz w:val="32"/>
          <w:szCs w:val="32"/>
          <w:lang w:val="en-US" w:eastAsia="zh-CN" w:bidi="ar-SA"/>
        </w:rPr>
        <w:t>项目竣工验收后，建设主体要与县水利部门签订工程管护责任书。在明确产权归属的基础上，严格落实工程管护范围、管护内容、管护责任，确保工程长期正常发挥效益。</w:t>
      </w:r>
    </w:p>
    <w:p>
      <w:pPr>
        <w:keepNext w:val="0"/>
        <w:keepLines w:val="0"/>
        <w:pageBreakBefore w:val="0"/>
        <w:widowControl w:val="0"/>
        <w:tabs>
          <w:tab w:val="center" w:pos="4153"/>
          <w:tab w:val="left" w:pos="58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8" w:firstLineChars="200"/>
        <w:jc w:val="left"/>
        <w:textAlignment w:val="auto"/>
        <w:rPr>
          <w:rFonts w:ascii="仿宋_GB2312" w:eastAsia="仿宋_GB2312" w:cs="Microsoft JhengHei" w:hAnsiTheme="minorEastAsia"/>
          <w:b/>
          <w:spacing w:val="-43"/>
          <w:sz w:val="32"/>
          <w:szCs w:val="32"/>
        </w:rPr>
      </w:pPr>
      <w:r>
        <w:rPr>
          <w:rFonts w:hint="eastAsia" w:ascii="仿宋_GB2312" w:eastAsia="仿宋_GB2312" w:cs="Microsoft JhengHei" w:hAnsiTheme="minorEastAsia"/>
          <w:b/>
          <w:spacing w:val="2"/>
          <w:sz w:val="32"/>
          <w:szCs w:val="32"/>
        </w:rPr>
        <w:t>（六）注重宣</w:t>
      </w:r>
      <w:r>
        <w:rPr>
          <w:rFonts w:hint="eastAsia" w:ascii="仿宋_GB2312" w:eastAsia="仿宋_GB2312" w:cs="Microsoft JhengHei" w:hAnsiTheme="minorEastAsia"/>
          <w:b/>
          <w:sz w:val="32"/>
          <w:szCs w:val="32"/>
        </w:rPr>
        <w:t>传</w:t>
      </w:r>
      <w:r>
        <w:rPr>
          <w:rFonts w:hint="eastAsia" w:ascii="仿宋_GB2312" w:eastAsia="仿宋_GB2312" w:cs="Microsoft JhengHei" w:hAnsiTheme="minorEastAsia"/>
          <w:b/>
          <w:spacing w:val="2"/>
          <w:sz w:val="32"/>
          <w:szCs w:val="32"/>
        </w:rPr>
        <w:t>引导</w:t>
      </w:r>
      <w:r>
        <w:rPr>
          <w:rFonts w:hint="eastAsia" w:ascii="仿宋_GB2312" w:eastAsia="仿宋_GB2312" w:cs="Microsoft JhengHei" w:hAnsiTheme="minorEastAsia"/>
          <w:b/>
          <w:spacing w:val="-43"/>
          <w:sz w:val="32"/>
          <w:szCs w:val="32"/>
        </w:rPr>
        <w:t xml:space="preserve"> 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" w:line="560" w:lineRule="exact"/>
        <w:ind w:left="111" w:firstLine="643"/>
        <w:textAlignment w:val="auto"/>
        <w:rPr>
          <w:rFonts w:hint="eastAsia" w:ascii="仿宋_GB2312" w:eastAsia="仿宋_GB2312" w:hAnsiTheme="minorEastAsia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hAnsiTheme="minorEastAsia" w:cstheme="minorBidi"/>
          <w:kern w:val="2"/>
          <w:sz w:val="32"/>
          <w:szCs w:val="32"/>
          <w:lang w:val="en-US" w:eastAsia="zh-CN" w:bidi="ar-SA"/>
        </w:rPr>
        <w:t>利用各种新闻媒介做好政策解读，充分宣传水土保持工程以奖代补工作的重大意义和优惠政策，扩大社会影响，在全县范围内形成关心、支持和踊跃参与水土保持工程建设以奖代补工作的良好氛围。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4" w:firstLineChars="189"/>
        <w:jc w:val="left"/>
        <w:textAlignment w:val="auto"/>
        <w:rPr>
          <w:rFonts w:ascii="仿宋_GB2312" w:eastAsia="仿宋_GB2312" w:hAnsiTheme="minorEastAsia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4" w:firstLineChars="189"/>
        <w:jc w:val="left"/>
        <w:textAlignment w:val="auto"/>
        <w:rPr>
          <w:rFonts w:hint="eastAsia" w:ascii="仿宋_GB2312" w:eastAsia="仿宋_GB2312" w:hAnsiTheme="min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inorEastAsia"/>
          <w:sz w:val="32"/>
          <w:szCs w:val="32"/>
          <w:lang w:eastAsia="zh-CN"/>
        </w:rPr>
        <w:t>附件：</w:t>
      </w:r>
      <w:r>
        <w:rPr>
          <w:rFonts w:hint="eastAsia" w:ascii="仿宋_GB2312" w:eastAsia="仿宋_GB2312" w:hAnsiTheme="minorEastAsia"/>
          <w:sz w:val="32"/>
          <w:szCs w:val="32"/>
          <w:lang w:val="en-US" w:eastAsia="zh-CN"/>
        </w:rPr>
        <w:t>1、申报指南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4" w:firstLineChars="189"/>
        <w:jc w:val="left"/>
        <w:textAlignment w:val="auto"/>
        <w:rPr>
          <w:rFonts w:hint="default" w:ascii="仿宋_GB2312" w:eastAsia="仿宋_GB2312" w:hAnsiTheme="min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inorEastAsia"/>
          <w:sz w:val="32"/>
          <w:szCs w:val="32"/>
          <w:lang w:val="en-US" w:eastAsia="zh-CN"/>
        </w:rPr>
        <w:t xml:space="preserve">      2、申报表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4" w:firstLineChars="189"/>
        <w:jc w:val="left"/>
        <w:textAlignment w:val="auto"/>
        <w:rPr>
          <w:rFonts w:ascii="仿宋_GB2312" w:eastAsia="仿宋_GB2312" w:hAnsiTheme="minorEastAsia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4" w:firstLineChars="189"/>
        <w:jc w:val="left"/>
        <w:textAlignment w:val="auto"/>
        <w:rPr>
          <w:rFonts w:ascii="仿宋_GB2312" w:eastAsia="仿宋_GB2312" w:hAnsiTheme="minorEastAsia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4" w:firstLineChars="189"/>
        <w:jc w:val="left"/>
        <w:textAlignment w:val="auto"/>
        <w:rPr>
          <w:rFonts w:ascii="仿宋_GB2312" w:eastAsia="仿宋_GB2312" w:hAnsiTheme="minorEastAsia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4" w:firstLineChars="189"/>
        <w:jc w:val="center"/>
        <w:textAlignment w:val="auto"/>
        <w:rPr>
          <w:rFonts w:ascii="仿宋_GB2312" w:eastAsia="仿宋_GB2312" w:hAnsiTheme="minorEastAsia"/>
          <w:sz w:val="32"/>
          <w:szCs w:val="32"/>
        </w:rPr>
      </w:pPr>
      <w:r>
        <w:rPr>
          <w:rFonts w:hint="eastAsia" w:ascii="仿宋_GB2312" w:eastAsia="仿宋_GB2312" w:hAnsiTheme="minorEastAsia"/>
          <w:sz w:val="32"/>
          <w:szCs w:val="32"/>
        </w:rPr>
        <w:t xml:space="preserve">                                 </w:t>
      </w:r>
      <w:r>
        <w:rPr>
          <w:rFonts w:hint="eastAsia" w:ascii="仿宋_GB2312" w:eastAsia="仿宋_GB2312" w:hAnsiTheme="minorEastAsia"/>
          <w:sz w:val="32"/>
          <w:szCs w:val="32"/>
          <w:lang w:eastAsia="zh-CN"/>
        </w:rPr>
        <w:t>涞源</w:t>
      </w:r>
      <w:r>
        <w:rPr>
          <w:rFonts w:hint="eastAsia" w:ascii="仿宋_GB2312" w:eastAsia="仿宋_GB2312" w:hAnsiTheme="minorEastAsia"/>
          <w:sz w:val="32"/>
          <w:szCs w:val="32"/>
        </w:rPr>
        <w:t>县水利局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4" w:firstLineChars="189"/>
        <w:jc w:val="center"/>
        <w:textAlignment w:val="auto"/>
        <w:rPr>
          <w:rFonts w:ascii="仿宋_GB2312" w:eastAsia="仿宋_GB2312" w:hAnsiTheme="minorEastAsia"/>
          <w:sz w:val="32"/>
          <w:szCs w:val="32"/>
        </w:rPr>
      </w:pPr>
      <w:r>
        <w:rPr>
          <w:rFonts w:hint="eastAsia" w:ascii="仿宋_GB2312" w:eastAsia="仿宋_GB2312" w:hAnsiTheme="minorEastAsia"/>
          <w:sz w:val="32"/>
          <w:szCs w:val="32"/>
          <w:lang w:val="en-US" w:eastAsia="zh-CN"/>
        </w:rPr>
        <w:t xml:space="preserve">                                </w:t>
      </w:r>
      <w:r>
        <w:rPr>
          <w:rFonts w:hint="eastAsia" w:ascii="仿宋_GB2312" w:eastAsia="仿宋_GB2312" w:hAnsiTheme="minorEastAsia"/>
          <w:sz w:val="32"/>
          <w:szCs w:val="32"/>
        </w:rPr>
        <w:t>202</w:t>
      </w:r>
      <w:r>
        <w:rPr>
          <w:rFonts w:hint="eastAsia" w:ascii="仿宋_GB2312" w:eastAsia="仿宋_GB2312" w:hAnsiTheme="minorEastAsia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 w:hAnsiTheme="minorEastAsia"/>
          <w:sz w:val="32"/>
          <w:szCs w:val="32"/>
        </w:rPr>
        <w:t>年</w:t>
      </w:r>
      <w:r>
        <w:rPr>
          <w:rFonts w:hint="eastAsia" w:ascii="仿宋_GB2312" w:eastAsia="仿宋_GB2312" w:hAnsiTheme="minorEastAsia"/>
          <w:sz w:val="32"/>
          <w:szCs w:val="32"/>
          <w:lang w:val="en-US" w:eastAsia="zh-CN"/>
        </w:rPr>
        <w:t>10</w:t>
      </w:r>
      <w:r>
        <w:rPr>
          <w:rFonts w:hint="eastAsia" w:ascii="仿宋_GB2312" w:eastAsia="仿宋_GB2312" w:hAnsiTheme="minorEastAsia"/>
          <w:sz w:val="32"/>
          <w:szCs w:val="32"/>
        </w:rPr>
        <w:t>月</w:t>
      </w:r>
      <w:r>
        <w:rPr>
          <w:rFonts w:hint="eastAsia" w:ascii="仿宋_GB2312" w:eastAsia="仿宋_GB2312" w:hAnsiTheme="minorEastAsia"/>
          <w:sz w:val="32"/>
          <w:szCs w:val="32"/>
          <w:lang w:val="en-US" w:eastAsia="zh-CN"/>
        </w:rPr>
        <w:t>23</w:t>
      </w:r>
      <w:r>
        <w:rPr>
          <w:rFonts w:hint="eastAsia" w:ascii="仿宋_GB2312" w:eastAsia="仿宋_GB2312" w:hAnsiTheme="minorEastAsia"/>
          <w:sz w:val="32"/>
          <w:szCs w:val="32"/>
        </w:rPr>
        <w:t>日</w:t>
      </w:r>
    </w:p>
    <w:p>
      <w:pPr>
        <w:ind w:firstLine="604" w:firstLineChars="189"/>
        <w:jc w:val="left"/>
        <w:rPr>
          <w:rFonts w:ascii="仿宋_GB2312" w:eastAsia="仿宋_GB2312" w:hAnsiTheme="minorEastAsia"/>
          <w:sz w:val="32"/>
          <w:szCs w:val="32"/>
        </w:rPr>
      </w:pPr>
    </w:p>
    <w:p>
      <w:pPr>
        <w:jc w:val="left"/>
        <w:rPr>
          <w:rFonts w:ascii="方正小标宋简体" w:eastAsia="方正小标宋简体"/>
          <w:sz w:val="32"/>
          <w:szCs w:val="32"/>
        </w:rPr>
      </w:pPr>
    </w:p>
    <w:p>
      <w:pPr>
        <w:jc w:val="left"/>
        <w:rPr>
          <w:rFonts w:ascii="方正小标宋简体" w:eastAsia="方正小标宋简体"/>
          <w:sz w:val="32"/>
          <w:szCs w:val="32"/>
        </w:rPr>
      </w:pPr>
    </w:p>
    <w:p>
      <w:pPr>
        <w:jc w:val="left"/>
        <w:rPr>
          <w:rFonts w:ascii="方正小标宋简体" w:eastAsia="方正小标宋简体"/>
          <w:sz w:val="32"/>
          <w:szCs w:val="32"/>
        </w:rPr>
      </w:pPr>
    </w:p>
    <w:p>
      <w:pPr>
        <w:jc w:val="left"/>
        <w:rPr>
          <w:rFonts w:ascii="方正小标宋简体" w:eastAsia="方正小标宋简体"/>
          <w:sz w:val="32"/>
          <w:szCs w:val="32"/>
        </w:rPr>
      </w:pPr>
    </w:p>
    <w:p>
      <w:pPr>
        <w:jc w:val="left"/>
        <w:rPr>
          <w:rFonts w:ascii="方正小标宋简体" w:eastAsia="方正小标宋简体"/>
          <w:sz w:val="32"/>
          <w:szCs w:val="32"/>
        </w:rPr>
      </w:pPr>
    </w:p>
    <w:p>
      <w:pPr>
        <w:jc w:val="left"/>
        <w:rPr>
          <w:rFonts w:ascii="方正小标宋简体" w:eastAsia="方正小标宋简体"/>
          <w:sz w:val="32"/>
          <w:szCs w:val="32"/>
        </w:rPr>
      </w:pPr>
    </w:p>
    <w:p>
      <w:pPr>
        <w:jc w:val="left"/>
        <w:rPr>
          <w:rFonts w:ascii="方正小标宋简体" w:eastAsia="方正小标宋简体"/>
          <w:sz w:val="32"/>
          <w:szCs w:val="32"/>
        </w:rPr>
      </w:pPr>
    </w:p>
    <w:p>
      <w:pPr>
        <w:jc w:val="left"/>
        <w:rPr>
          <w:rFonts w:ascii="方正小标宋简体" w:eastAsia="方正小标宋简体"/>
          <w:sz w:val="32"/>
          <w:szCs w:val="32"/>
        </w:rPr>
      </w:pPr>
    </w:p>
    <w:p>
      <w:pPr>
        <w:jc w:val="left"/>
        <w:rPr>
          <w:rFonts w:ascii="方正小标宋简体" w:eastAsia="方正小标宋简体"/>
          <w:sz w:val="32"/>
          <w:szCs w:val="32"/>
        </w:rPr>
      </w:pPr>
    </w:p>
    <w:p>
      <w:pPr>
        <w:jc w:val="left"/>
        <w:rPr>
          <w:rFonts w:ascii="方正小标宋简体" w:eastAsia="方正小标宋简体"/>
          <w:sz w:val="32"/>
          <w:szCs w:val="32"/>
        </w:rPr>
      </w:pPr>
    </w:p>
    <w:p>
      <w:pPr>
        <w:jc w:val="left"/>
        <w:rPr>
          <w:rFonts w:ascii="方正小标宋简体" w:eastAsia="方正小标宋简体"/>
          <w:sz w:val="32"/>
          <w:szCs w:val="32"/>
        </w:rPr>
      </w:pPr>
    </w:p>
    <w:p>
      <w:pPr>
        <w:spacing w:before="54"/>
        <w:ind w:left="12" w:leftChars="0" w:hanging="12" w:firstLineChars="0"/>
        <w:jc w:val="left"/>
        <w:rPr>
          <w:rFonts w:hint="eastAsia" w:ascii="Microsoft JhengHei" w:hAnsi="Microsoft JhengHei" w:eastAsia="宋体" w:cs="Microsoft JhengHei"/>
          <w:b/>
          <w:color w:val="333333"/>
          <w:spacing w:val="-1"/>
          <w:sz w:val="28"/>
          <w:szCs w:val="28"/>
          <w:lang w:val="en-US" w:eastAsia="zh-CN"/>
        </w:rPr>
      </w:pPr>
      <w:r>
        <w:rPr>
          <w:rFonts w:hint="eastAsia" w:ascii="Microsoft JhengHei" w:hAnsi="Microsoft JhengHei" w:eastAsia="宋体" w:cs="Microsoft JhengHei"/>
          <w:b/>
          <w:color w:val="333333"/>
          <w:spacing w:val="-1"/>
          <w:sz w:val="28"/>
          <w:szCs w:val="28"/>
          <w:lang w:eastAsia="zh-CN"/>
        </w:rPr>
        <w:t>附件</w:t>
      </w:r>
      <w:r>
        <w:rPr>
          <w:rFonts w:hint="eastAsia" w:ascii="Microsoft JhengHei" w:hAnsi="Microsoft JhengHei" w:eastAsia="宋体" w:cs="Microsoft JhengHei"/>
          <w:b/>
          <w:color w:val="333333"/>
          <w:spacing w:val="-1"/>
          <w:sz w:val="28"/>
          <w:szCs w:val="28"/>
          <w:lang w:val="en-US" w:eastAsia="zh-CN"/>
        </w:rPr>
        <w:t>1</w:t>
      </w:r>
    </w:p>
    <w:p>
      <w:pPr>
        <w:keepNext w:val="0"/>
        <w:keepLines w:val="0"/>
        <w:pageBreakBefore w:val="0"/>
        <w:widowControl w:val="0"/>
        <w:tabs>
          <w:tab w:val="left" w:pos="3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涞源县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水土保持工程建设以奖代补项目</w:t>
      </w:r>
    </w:p>
    <w:p>
      <w:pPr>
        <w:keepNext w:val="0"/>
        <w:keepLines w:val="0"/>
        <w:pageBreakBefore w:val="0"/>
        <w:widowControl w:val="0"/>
        <w:tabs>
          <w:tab w:val="left" w:pos="3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申 报 指 南</w:t>
      </w:r>
    </w:p>
    <w:p>
      <w:pPr>
        <w:keepNext w:val="0"/>
        <w:keepLines w:val="0"/>
        <w:pageBreakBefore w:val="0"/>
        <w:widowControl w:val="0"/>
        <w:tabs>
          <w:tab w:val="left" w:pos="3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申报</w:t>
      </w:r>
      <w:r>
        <w:rPr>
          <w:rFonts w:hint="eastAsia" w:ascii="黑体" w:hAnsi="黑体" w:eastAsia="黑体" w:cs="黑体"/>
          <w:sz w:val="32"/>
          <w:szCs w:val="32"/>
        </w:rPr>
        <w:t>对象</w:t>
      </w:r>
    </w:p>
    <w:p>
      <w:pPr>
        <w:keepNext w:val="0"/>
        <w:keepLines w:val="0"/>
        <w:pageBreakBefore w:val="0"/>
        <w:widowControl w:val="0"/>
        <w:tabs>
          <w:tab w:val="left" w:pos="3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自愿出资投劳参与水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土</w:t>
      </w:r>
      <w:r>
        <w:rPr>
          <w:rFonts w:hint="eastAsia" w:ascii="仿宋_GB2312" w:hAnsi="仿宋_GB2312" w:eastAsia="仿宋_GB2312" w:cs="仿宋_GB2312"/>
          <w:sz w:val="32"/>
          <w:szCs w:val="32"/>
        </w:rPr>
        <w:t>流失治理并承担建后管护责任的建设主体列为奖补对象。主要包括农民合作社、家庭农场、村组集体、专业大户、农户及其他企业、社会组织等。</w:t>
      </w:r>
    </w:p>
    <w:p>
      <w:pPr>
        <w:keepNext w:val="0"/>
        <w:keepLines w:val="0"/>
        <w:pageBreakBefore w:val="0"/>
        <w:widowControl w:val="0"/>
        <w:tabs>
          <w:tab w:val="left" w:pos="3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申报</w:t>
      </w:r>
      <w:r>
        <w:rPr>
          <w:rFonts w:hint="eastAsia" w:ascii="黑体" w:hAnsi="黑体" w:eastAsia="黑体" w:cs="黑体"/>
          <w:sz w:val="32"/>
          <w:szCs w:val="32"/>
        </w:rPr>
        <w:t>范围</w:t>
      </w:r>
    </w:p>
    <w:p>
      <w:pPr>
        <w:keepNext w:val="0"/>
        <w:keepLines w:val="0"/>
        <w:pageBreakBefore w:val="0"/>
        <w:widowControl w:val="0"/>
        <w:tabs>
          <w:tab w:val="left" w:pos="3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适用于施工单项合同估算价不超过400万元，材料、苗木等货物采购价单项合同估算价不超过200万元的水土保持工程。</w:t>
      </w:r>
    </w:p>
    <w:p>
      <w:pPr>
        <w:keepNext w:val="0"/>
        <w:keepLines w:val="0"/>
        <w:pageBreakBefore w:val="0"/>
        <w:widowControl w:val="0"/>
        <w:tabs>
          <w:tab w:val="left" w:pos="3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纳入奖补范围措施为：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（一）工程措施：谷坊、护村护地坝、小型蓄引水工程、沟头防护、水蚀林地治理、梯田、坡面截排水工程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作业路、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围网、护栏、灌溉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（二）植物措施：水土保持林、经果林、种草；（三）其他措施：封育治理和生态清洁小流域建设相关措施等。上述所有措施应符合《水土保持综合治理技术规范》、《北方土石山区水土流失综合治理技术标准》。</w:t>
      </w:r>
    </w:p>
    <w:p>
      <w:pPr>
        <w:keepNext w:val="0"/>
        <w:keepLines w:val="0"/>
        <w:pageBreakBefore w:val="0"/>
        <w:widowControl w:val="0"/>
        <w:tabs>
          <w:tab w:val="left" w:pos="3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以下措施或项目不纳入奖补范围：</w:t>
      </w:r>
    </w:p>
    <w:p>
      <w:pPr>
        <w:keepNext w:val="0"/>
        <w:keepLines w:val="0"/>
        <w:pageBreakBefore w:val="0"/>
        <w:widowControl w:val="0"/>
        <w:tabs>
          <w:tab w:val="left" w:pos="3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（一）与水土保持关系不密切的农村基础设施建设项目以及征地移民、景观建造等；</w:t>
      </w:r>
    </w:p>
    <w:p>
      <w:pPr>
        <w:keepNext w:val="0"/>
        <w:keepLines w:val="0"/>
        <w:pageBreakBefore w:val="0"/>
        <w:widowControl w:val="0"/>
        <w:tabs>
          <w:tab w:val="left" w:pos="3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（二）设计容量100立方米以上的蓄水池、设计容量1万立方米以上的塘坝及其他实施难度大、安全风险高的水土保持工程措施；</w:t>
      </w:r>
    </w:p>
    <w:p>
      <w:pPr>
        <w:keepNext w:val="0"/>
        <w:keepLines w:val="0"/>
        <w:pageBreakBefore w:val="0"/>
        <w:widowControl w:val="0"/>
        <w:tabs>
          <w:tab w:val="left" w:pos="3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（三）本细则出台前已完成的项目和治理措施；</w:t>
      </w:r>
    </w:p>
    <w:p>
      <w:pPr>
        <w:keepNext w:val="0"/>
        <w:keepLines w:val="0"/>
        <w:pageBreakBefore w:val="0"/>
        <w:widowControl w:val="0"/>
        <w:tabs>
          <w:tab w:val="left" w:pos="3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（四）已获得其他投资补助的项目（或建设内容）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3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三、奖补标准</w:t>
      </w:r>
    </w:p>
    <w:p>
      <w:pPr>
        <w:keepNext w:val="0"/>
        <w:keepLines w:val="0"/>
        <w:pageBreakBefore w:val="0"/>
        <w:widowControl w:val="0"/>
        <w:tabs>
          <w:tab w:val="left" w:pos="3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根据不同的治理措施、治理需求差异化的奖补标准，具体奖补标准如下：</w:t>
      </w:r>
    </w:p>
    <w:p>
      <w:pPr>
        <w:keepNext w:val="0"/>
        <w:keepLines w:val="0"/>
        <w:pageBreakBefore w:val="0"/>
        <w:widowControl w:val="0"/>
        <w:tabs>
          <w:tab w:val="left" w:pos="3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（一）对于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没有经济效益</w:t>
      </w:r>
      <w:r>
        <w:rPr>
          <w:rFonts w:hint="eastAsia" w:ascii="仿宋_GB2312" w:hAnsi="仿宋_GB2312" w:eastAsia="仿宋_GB2312" w:cs="仿宋_GB2312"/>
          <w:sz w:val="32"/>
          <w:szCs w:val="32"/>
        </w:rPr>
        <w:t>的水保林、封禁治理、谷坊、护村护地坝、水蚀林地治理、沟头防护、坡面截排水工程及生态清洁小流域建设相关措施等，按照不高于结算价款的70%进行奖补；</w:t>
      </w:r>
    </w:p>
    <w:p>
      <w:pPr>
        <w:keepNext w:val="0"/>
        <w:keepLines w:val="0"/>
        <w:pageBreakBefore w:val="0"/>
        <w:widowControl w:val="0"/>
        <w:tabs>
          <w:tab w:val="left" w:pos="3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（二）对于以经济效益为主的经果林、梯田、小型蓄引水工程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作业路、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围网、护栏、灌溉</w:t>
      </w:r>
      <w:r>
        <w:rPr>
          <w:rFonts w:hint="eastAsia" w:ascii="仿宋_GB2312" w:hAnsi="仿宋_GB2312" w:eastAsia="仿宋_GB2312" w:cs="仿宋_GB2312"/>
          <w:sz w:val="32"/>
          <w:szCs w:val="32"/>
        </w:rPr>
        <w:t>等措施，按照不高于结算价款的50%进行奖补。</w:t>
      </w:r>
    </w:p>
    <w:p>
      <w:pPr>
        <w:keepNext w:val="0"/>
        <w:keepLines w:val="0"/>
        <w:pageBreakBefore w:val="0"/>
        <w:widowControl w:val="0"/>
        <w:tabs>
          <w:tab w:val="left" w:pos="3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申报</w:t>
      </w:r>
      <w:r>
        <w:rPr>
          <w:rFonts w:hint="eastAsia" w:ascii="黑体" w:hAnsi="黑体" w:eastAsia="黑体" w:cs="黑体"/>
          <w:sz w:val="32"/>
          <w:szCs w:val="32"/>
        </w:rPr>
        <w:t>程序</w:t>
      </w:r>
    </w:p>
    <w:p>
      <w:pPr>
        <w:keepNext w:val="0"/>
        <w:keepLines w:val="0"/>
        <w:pageBreakBefore w:val="0"/>
        <w:widowControl w:val="0"/>
        <w:tabs>
          <w:tab w:val="left" w:pos="3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/>
          <w:kern w:val="0"/>
          <w:sz w:val="32"/>
          <w:szCs w:val="32"/>
          <w:lang w:bidi="ar"/>
        </w:rPr>
        <w:t>（一）</w:t>
      </w:r>
      <w:r>
        <w:rPr>
          <w:rFonts w:hint="eastAsia" w:ascii="楷体_GB2312" w:hAnsi="楷体_GB2312" w:eastAsia="楷体_GB2312" w:cs="楷体_GB2312"/>
          <w:color w:val="000000"/>
          <w:kern w:val="0"/>
          <w:sz w:val="32"/>
          <w:szCs w:val="32"/>
          <w:lang w:eastAsia="zh-CN" w:bidi="ar"/>
        </w:rPr>
        <w:t>填写申请表。</w:t>
      </w:r>
      <w:r>
        <w:rPr>
          <w:rFonts w:hint="eastAsia" w:ascii="仿宋_GB2312" w:hAnsi="仿宋_GB2312" w:eastAsia="仿宋_GB2312" w:cs="仿宋_GB2312"/>
          <w:sz w:val="32"/>
          <w:szCs w:val="32"/>
        </w:rPr>
        <w:t>建设主体按要求填写《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涞源县</w:t>
      </w:r>
      <w:r>
        <w:rPr>
          <w:rFonts w:hint="eastAsia" w:ascii="仿宋_GB2312" w:hAnsi="仿宋_GB2312" w:eastAsia="仿宋_GB2312" w:cs="仿宋_GB2312"/>
          <w:sz w:val="32"/>
          <w:szCs w:val="32"/>
        </w:rPr>
        <w:t>水土保持工程建设以奖代补项目申报表》，明确建设时间、地点、内容、申请资金奖补规模等内容，由所在村委签署审核意见后报送至所在乡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政府，由乡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（镇）</w:t>
      </w:r>
      <w:r>
        <w:rPr>
          <w:rFonts w:hint="eastAsia" w:ascii="仿宋_GB2312" w:hAnsi="仿宋_GB2312" w:eastAsia="仿宋_GB2312" w:cs="仿宋_GB2312"/>
          <w:sz w:val="32"/>
          <w:szCs w:val="32"/>
        </w:rPr>
        <w:t>政府统一申报。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/>
          <w:kern w:val="0"/>
          <w:sz w:val="32"/>
          <w:szCs w:val="32"/>
          <w:lang w:bidi="ar"/>
        </w:rPr>
        <w:t>（二）</w:t>
      </w:r>
      <w:r>
        <w:rPr>
          <w:rFonts w:hint="eastAsia" w:ascii="楷体_GB2312" w:hAnsi="楷体_GB2312" w:eastAsia="楷体_GB2312" w:cs="楷体_GB2312"/>
          <w:color w:val="000000"/>
          <w:kern w:val="0"/>
          <w:sz w:val="32"/>
          <w:szCs w:val="32"/>
          <w:lang w:eastAsia="zh-CN" w:bidi="ar"/>
        </w:rPr>
        <w:t>审核公示。</w:t>
      </w:r>
      <w:r>
        <w:rPr>
          <w:rFonts w:hint="eastAsia" w:ascii="仿宋_GB2312" w:hAnsi="仿宋_GB2312" w:eastAsia="仿宋_GB2312" w:cs="仿宋_GB2312"/>
          <w:sz w:val="32"/>
          <w:szCs w:val="32"/>
        </w:rPr>
        <w:t>申报表经乡（镇）政府复核后，汇总提交县水利局。县水利局商财政局对项目实施的真实性、可行性和必要性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通过</w:t>
      </w:r>
      <w:r>
        <w:rPr>
          <w:rFonts w:hint="eastAsia" w:ascii="仿宋_GB2312" w:hAnsi="仿宋_GB2312" w:eastAsia="仿宋_GB2312" w:cs="仿宋_GB2312"/>
          <w:sz w:val="32"/>
          <w:szCs w:val="32"/>
        </w:rPr>
        <w:t>组织专家审核或竞争比选的方式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，公平</w:t>
      </w:r>
      <w:r>
        <w:rPr>
          <w:rFonts w:hint="eastAsia" w:ascii="仿宋_GB2312" w:hAnsi="仿宋_GB2312" w:eastAsia="仿宋_GB2312" w:cs="仿宋_GB2312"/>
          <w:sz w:val="32"/>
          <w:szCs w:val="32"/>
        </w:rPr>
        <w:t>公正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</w:rPr>
        <w:t>确定以奖代补建设主体，结果在县政府网站和涉及的乡（镇）、村进行公示，公示期为7日历天，并拍照备案登记。</w:t>
      </w:r>
    </w:p>
    <w:p>
      <w:pPr>
        <w:keepNext w:val="0"/>
        <w:keepLines w:val="0"/>
        <w:pageBreakBefore w:val="0"/>
        <w:widowControl w:val="0"/>
        <w:tabs>
          <w:tab w:val="center" w:pos="4153"/>
          <w:tab w:val="left" w:pos="58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（三）奖补对象确定。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公示结束后，无异议，将公示的建设主体确定为本年度奖补对象。</w:t>
      </w:r>
    </w:p>
    <w:p>
      <w:pPr>
        <w:jc w:val="left"/>
        <w:rPr>
          <w:rFonts w:ascii="方正小标宋简体" w:eastAsia="方正小标宋简体"/>
          <w:sz w:val="32"/>
          <w:szCs w:val="32"/>
        </w:rPr>
      </w:pPr>
    </w:p>
    <w:p>
      <w:pPr>
        <w:jc w:val="left"/>
        <w:rPr>
          <w:rFonts w:ascii="方正小标宋简体" w:eastAsia="方正小标宋简体"/>
          <w:sz w:val="32"/>
          <w:szCs w:val="32"/>
        </w:rPr>
      </w:pPr>
    </w:p>
    <w:p>
      <w:pPr>
        <w:jc w:val="left"/>
        <w:rPr>
          <w:rFonts w:ascii="方正小标宋简体" w:eastAsia="方正小标宋简体"/>
          <w:sz w:val="32"/>
          <w:szCs w:val="32"/>
        </w:rPr>
      </w:pPr>
    </w:p>
    <w:p>
      <w:pPr>
        <w:spacing w:before="54"/>
        <w:ind w:left="12" w:leftChars="0" w:hanging="12" w:firstLineChars="0"/>
        <w:jc w:val="left"/>
        <w:rPr>
          <w:rFonts w:hint="default" w:ascii="Microsoft JhengHei" w:hAnsi="Microsoft JhengHei" w:eastAsia="宋体" w:cs="Microsoft JhengHei"/>
          <w:b/>
          <w:color w:val="333333"/>
          <w:spacing w:val="-1"/>
          <w:sz w:val="28"/>
          <w:szCs w:val="28"/>
          <w:lang w:val="en-US" w:eastAsia="zh-CN"/>
        </w:rPr>
      </w:pPr>
      <w:r>
        <w:rPr>
          <w:rFonts w:hint="eastAsia" w:ascii="Microsoft JhengHei" w:hAnsi="Microsoft JhengHei" w:eastAsia="宋体" w:cs="Microsoft JhengHei"/>
          <w:b/>
          <w:color w:val="333333"/>
          <w:spacing w:val="-1"/>
          <w:sz w:val="28"/>
          <w:szCs w:val="28"/>
          <w:lang w:eastAsia="zh-CN"/>
        </w:rPr>
        <w:t>附件</w:t>
      </w:r>
      <w:r>
        <w:rPr>
          <w:rFonts w:hint="eastAsia" w:ascii="Microsoft JhengHei" w:hAnsi="Microsoft JhengHei" w:eastAsia="宋体" w:cs="Microsoft JhengHei"/>
          <w:b/>
          <w:color w:val="333333"/>
          <w:spacing w:val="-1"/>
          <w:sz w:val="28"/>
          <w:szCs w:val="28"/>
          <w:lang w:val="en-US" w:eastAsia="zh-CN"/>
        </w:rPr>
        <w:t>2</w:t>
      </w:r>
    </w:p>
    <w:p>
      <w:pPr>
        <w:spacing w:before="54"/>
        <w:ind w:left="512"/>
        <w:jc w:val="center"/>
        <w:rPr>
          <w:rFonts w:ascii="黑体" w:hAnsi="黑体" w:eastAsia="黑体" w:cs="Microsoft JhengHei"/>
          <w:sz w:val="32"/>
          <w:szCs w:val="32"/>
        </w:rPr>
      </w:pPr>
      <w:r>
        <w:rPr>
          <w:rFonts w:hint="eastAsia" w:ascii="黑体" w:hAnsi="黑体" w:eastAsia="黑体" w:cs="Microsoft JhengHei"/>
          <w:sz w:val="32"/>
          <w:szCs w:val="32"/>
          <w:lang w:eastAsia="zh-CN"/>
        </w:rPr>
        <w:t>涞源县</w:t>
      </w:r>
      <w:r>
        <w:rPr>
          <w:rFonts w:hint="eastAsia" w:ascii="黑体" w:hAnsi="黑体" w:eastAsia="黑体" w:cs="Microsoft JhengHei"/>
          <w:sz w:val="32"/>
          <w:szCs w:val="32"/>
        </w:rPr>
        <w:t>水土保持工程建设以奖代补项目申报表</w:t>
      </w:r>
    </w:p>
    <w:p>
      <w:pPr>
        <w:spacing w:before="2" w:line="130" w:lineRule="exact"/>
        <w:rPr>
          <w:sz w:val="13"/>
          <w:szCs w:val="13"/>
        </w:rPr>
      </w:pPr>
    </w:p>
    <w:p>
      <w:pPr>
        <w:spacing w:line="200" w:lineRule="exact"/>
        <w:rPr>
          <w:sz w:val="20"/>
          <w:szCs w:val="20"/>
        </w:rPr>
      </w:pPr>
    </w:p>
    <w:tbl>
      <w:tblPr>
        <w:tblStyle w:val="19"/>
        <w:tblW w:w="8618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66"/>
        <w:gridCol w:w="1815"/>
        <w:gridCol w:w="420"/>
        <w:gridCol w:w="1536"/>
        <w:gridCol w:w="279"/>
        <w:gridCol w:w="200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7" w:hRule="exact"/>
          <w:jc w:val="center"/>
        </w:trPr>
        <w:tc>
          <w:tcPr>
            <w:tcW w:w="2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8"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spacing w:val="-1"/>
                <w:sz w:val="24"/>
                <w:szCs w:val="24"/>
              </w:rPr>
              <w:t>申请主</w:t>
            </w:r>
            <w:r>
              <w:rPr>
                <w:rFonts w:hint="eastAsia" w:asciiTheme="minorEastAsia" w:hAnsiTheme="minorEastAsia" w:eastAsiaTheme="minorEastAsia" w:cstheme="minorEastAsia"/>
                <w:color w:val="333333"/>
                <w:sz w:val="24"/>
                <w:szCs w:val="24"/>
              </w:rPr>
              <w:t>体</w:t>
            </w:r>
          </w:p>
        </w:tc>
        <w:tc>
          <w:tcPr>
            <w:tcW w:w="22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8"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spacing w:val="-1"/>
                <w:sz w:val="24"/>
                <w:szCs w:val="24"/>
                <w:lang w:eastAsia="zh-CN"/>
              </w:rPr>
              <w:t>联系方式</w:t>
            </w:r>
          </w:p>
        </w:tc>
        <w:tc>
          <w:tcPr>
            <w:tcW w:w="22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en-US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8" w:hRule="exact"/>
          <w:jc w:val="center"/>
        </w:trPr>
        <w:tc>
          <w:tcPr>
            <w:tcW w:w="2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8"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spacing w:val="-1"/>
                <w:sz w:val="24"/>
                <w:szCs w:val="24"/>
                <w:lang w:eastAsia="zh-CN"/>
              </w:rPr>
              <w:t>申报工程</w:t>
            </w:r>
            <w:r>
              <w:rPr>
                <w:rFonts w:hint="eastAsia" w:asciiTheme="minorEastAsia" w:hAnsiTheme="minorEastAsia" w:eastAsiaTheme="minorEastAsia" w:cstheme="minorEastAsia"/>
                <w:color w:val="333333"/>
                <w:spacing w:val="-1"/>
                <w:sz w:val="24"/>
                <w:szCs w:val="24"/>
              </w:rPr>
              <w:t>建设地</w:t>
            </w:r>
            <w:r>
              <w:rPr>
                <w:rFonts w:hint="eastAsia" w:asciiTheme="minorEastAsia" w:hAnsiTheme="minorEastAsia" w:eastAsiaTheme="minorEastAsia" w:cstheme="minorEastAsia"/>
                <w:color w:val="333333"/>
                <w:sz w:val="24"/>
                <w:szCs w:val="24"/>
              </w:rPr>
              <w:t>点</w:t>
            </w:r>
          </w:p>
        </w:tc>
        <w:tc>
          <w:tcPr>
            <w:tcW w:w="605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en-US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6" w:hRule="exact"/>
          <w:jc w:val="center"/>
        </w:trPr>
        <w:tc>
          <w:tcPr>
            <w:tcW w:w="2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18"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333333"/>
                <w:spacing w:val="-1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spacing w:val="-1"/>
                <w:sz w:val="24"/>
                <w:szCs w:val="24"/>
                <w:lang w:eastAsia="zh-CN"/>
              </w:rPr>
              <w:t>申请奖补建设</w:t>
            </w:r>
          </w:p>
          <w:p>
            <w:pPr>
              <w:pStyle w:val="18"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333333"/>
                <w:spacing w:val="-1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spacing w:val="-1"/>
                <w:sz w:val="24"/>
                <w:szCs w:val="24"/>
                <w:lang w:eastAsia="zh-CN"/>
              </w:rPr>
              <w:t>内容及规模</w:t>
            </w:r>
          </w:p>
        </w:tc>
        <w:tc>
          <w:tcPr>
            <w:tcW w:w="605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0" w:hRule="exact"/>
          <w:jc w:val="center"/>
        </w:trPr>
        <w:tc>
          <w:tcPr>
            <w:tcW w:w="256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pStyle w:val="18"/>
              <w:adjustRightInd w:val="0"/>
              <w:snapToGrid w:val="0"/>
              <w:spacing w:line="360" w:lineRule="auto"/>
              <w:jc w:val="center"/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  <w:t>项目总投资</w:t>
            </w:r>
          </w:p>
          <w:p>
            <w:pPr>
              <w:pStyle w:val="18"/>
              <w:adjustRightInd w:val="0"/>
              <w:snapToGri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（万元）</w:t>
            </w:r>
          </w:p>
        </w:tc>
        <w:tc>
          <w:tcPr>
            <w:tcW w:w="181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235" w:type="dxa"/>
            <w:gridSpan w:val="3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szCs w:val="24"/>
                <w:lang w:eastAsia="en-US"/>
              </w:rPr>
              <w:t>申请奖补金额</w:t>
            </w:r>
          </w:p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color w:val="333333"/>
                <w:kern w:val="0"/>
                <w:sz w:val="24"/>
                <w:szCs w:val="24"/>
                <w:lang w:eastAsia="zh-CN"/>
              </w:rPr>
              <w:t>（万元）</w:t>
            </w:r>
          </w:p>
        </w:tc>
        <w:tc>
          <w:tcPr>
            <w:tcW w:w="20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en-US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0" w:hRule="exact"/>
          <w:jc w:val="center"/>
        </w:trPr>
        <w:tc>
          <w:tcPr>
            <w:tcW w:w="256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spacing w:val="-1"/>
                <w:sz w:val="24"/>
                <w:szCs w:val="24"/>
              </w:rPr>
              <w:t>申请主</w:t>
            </w:r>
            <w:r>
              <w:rPr>
                <w:rFonts w:hint="eastAsia" w:asciiTheme="minorEastAsia" w:hAnsiTheme="minorEastAsia" w:eastAsiaTheme="minorEastAsia" w:cstheme="minorEastAsia"/>
                <w:color w:val="333333"/>
                <w:sz w:val="24"/>
                <w:szCs w:val="24"/>
              </w:rPr>
              <w:t>体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eastAsia="zh-CN"/>
              </w:rPr>
              <w:t>承诺</w:t>
            </w:r>
          </w:p>
        </w:tc>
        <w:tc>
          <w:tcPr>
            <w:tcW w:w="6052" w:type="dxa"/>
            <w:gridSpan w:val="5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eastAsia="zh-CN"/>
              </w:rPr>
              <w:t>承诺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en-US"/>
              </w:rPr>
              <w:t>项目合法合规，符合相关部门政策规定</w:t>
            </w:r>
          </w:p>
          <w:p>
            <w:pPr>
              <w:adjustRightInd w:val="0"/>
              <w:snapToGrid w:val="0"/>
              <w:jc w:val="center"/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/>
              </w:rPr>
              <w:t xml:space="preserve">                                                    </w:t>
            </w:r>
            <w:r>
              <w:rPr>
                <w:rFonts w:hint="eastAsia" w:asciiTheme="minorEastAsia" w:hAnsiTheme="minorEastAsia" w:eastAsiaTheme="minorEastAsia" w:cstheme="minorEastAsia"/>
                <w:color w:val="333333"/>
                <w:spacing w:val="-1"/>
                <w:sz w:val="24"/>
                <w:szCs w:val="24"/>
              </w:rPr>
              <w:t>申请主</w:t>
            </w:r>
            <w:r>
              <w:rPr>
                <w:rFonts w:hint="eastAsia" w:asciiTheme="minorEastAsia" w:hAnsiTheme="minorEastAsia" w:eastAsiaTheme="minorEastAsia" w:cstheme="minorEastAsia"/>
                <w:color w:val="333333"/>
                <w:sz w:val="24"/>
                <w:szCs w:val="24"/>
              </w:rPr>
              <w:t>体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/>
              </w:rPr>
              <w:t>法人签字盖章：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0" w:hRule="exact"/>
          <w:jc w:val="center"/>
        </w:trPr>
        <w:tc>
          <w:tcPr>
            <w:tcW w:w="2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pStyle w:val="18"/>
              <w:adjustRightInd w:val="0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spacing w:val="-1"/>
                <w:sz w:val="24"/>
                <w:szCs w:val="24"/>
              </w:rPr>
              <w:t>村</w:t>
            </w:r>
            <w:r>
              <w:rPr>
                <w:rFonts w:hint="eastAsia" w:asciiTheme="minorEastAsia" w:hAnsiTheme="minorEastAsia" w:eastAsiaTheme="minorEastAsia" w:cstheme="minorEastAsia"/>
                <w:color w:val="333333"/>
                <w:spacing w:val="-1"/>
                <w:sz w:val="24"/>
                <w:szCs w:val="24"/>
                <w:lang w:eastAsia="zh-CN"/>
              </w:rPr>
              <w:t>委会意见</w:t>
            </w:r>
          </w:p>
        </w:tc>
        <w:tc>
          <w:tcPr>
            <w:tcW w:w="181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235" w:type="dxa"/>
            <w:gridSpan w:val="3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8"/>
              <w:adjustRightInd w:val="0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spacing w:val="-1"/>
                <w:sz w:val="24"/>
                <w:szCs w:val="24"/>
                <w:lang w:eastAsia="zh-CN"/>
              </w:rPr>
              <w:t>乡（镇）</w:t>
            </w:r>
            <w:r>
              <w:rPr>
                <w:rFonts w:hint="eastAsia" w:asciiTheme="minorEastAsia" w:hAnsiTheme="minorEastAsia" w:eastAsiaTheme="minorEastAsia" w:cstheme="minorEastAsia"/>
                <w:color w:val="333333"/>
                <w:sz w:val="24"/>
                <w:szCs w:val="24"/>
                <w:lang w:eastAsia="zh-CN"/>
              </w:rPr>
              <w:t>政</w:t>
            </w:r>
          </w:p>
          <w:p>
            <w:pPr>
              <w:pStyle w:val="18"/>
              <w:adjustRightInd w:val="0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spacing w:val="-1"/>
                <w:sz w:val="24"/>
                <w:szCs w:val="24"/>
                <w:lang w:eastAsia="zh-CN"/>
              </w:rPr>
              <w:t>府审核意</w:t>
            </w:r>
            <w:r>
              <w:rPr>
                <w:rFonts w:hint="eastAsia" w:asciiTheme="minorEastAsia" w:hAnsiTheme="minorEastAsia" w:eastAsiaTheme="minorEastAsia" w:cstheme="minorEastAsia"/>
                <w:color w:val="333333"/>
                <w:sz w:val="24"/>
                <w:szCs w:val="24"/>
                <w:lang w:eastAsia="zh-CN"/>
              </w:rPr>
              <w:t>见</w:t>
            </w:r>
          </w:p>
        </w:tc>
        <w:tc>
          <w:tcPr>
            <w:tcW w:w="20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zh-CN"/>
              </w:rPr>
            </w:pPr>
          </w:p>
        </w:tc>
      </w:tr>
    </w:tbl>
    <w:p>
      <w:pPr>
        <w:jc w:val="left"/>
        <w:rPr>
          <w:rFonts w:hint="eastAsia" w:ascii="方正小标宋简体" w:eastAsia="方正小标宋简体"/>
          <w:sz w:val="32"/>
          <w:szCs w:val="32"/>
          <w:lang w:eastAsia="zh-CN"/>
        </w:rPr>
      </w:pPr>
    </w:p>
    <w:sectPr>
      <w:pgSz w:w="11906" w:h="16838"/>
      <w:pgMar w:top="1559" w:right="1531" w:bottom="1559" w:left="1531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FjOGQwYzk1MzBjYWQzYmFlMzkyZWYyMmVlOWIwNWMifQ=="/>
  </w:docVars>
  <w:rsids>
    <w:rsidRoot w:val="000F74B8"/>
    <w:rsid w:val="000432CE"/>
    <w:rsid w:val="00053A8A"/>
    <w:rsid w:val="00057CF0"/>
    <w:rsid w:val="00061E0C"/>
    <w:rsid w:val="000663E9"/>
    <w:rsid w:val="000837DC"/>
    <w:rsid w:val="000B04BF"/>
    <w:rsid w:val="000E5D7E"/>
    <w:rsid w:val="000F5DFC"/>
    <w:rsid w:val="000F74B8"/>
    <w:rsid w:val="00165074"/>
    <w:rsid w:val="0019356E"/>
    <w:rsid w:val="00195846"/>
    <w:rsid w:val="001C03B5"/>
    <w:rsid w:val="0024061E"/>
    <w:rsid w:val="002A65DA"/>
    <w:rsid w:val="002B577E"/>
    <w:rsid w:val="002D5DF8"/>
    <w:rsid w:val="00323537"/>
    <w:rsid w:val="003669F9"/>
    <w:rsid w:val="003A02EB"/>
    <w:rsid w:val="00413071"/>
    <w:rsid w:val="00415C02"/>
    <w:rsid w:val="00431827"/>
    <w:rsid w:val="004339D6"/>
    <w:rsid w:val="004768F8"/>
    <w:rsid w:val="00500F98"/>
    <w:rsid w:val="00502BBF"/>
    <w:rsid w:val="00514E34"/>
    <w:rsid w:val="00537458"/>
    <w:rsid w:val="00542D42"/>
    <w:rsid w:val="005521D5"/>
    <w:rsid w:val="00584627"/>
    <w:rsid w:val="005B21C7"/>
    <w:rsid w:val="005E1AC0"/>
    <w:rsid w:val="00614FEA"/>
    <w:rsid w:val="00636297"/>
    <w:rsid w:val="006C62A1"/>
    <w:rsid w:val="006D4F2C"/>
    <w:rsid w:val="006D67D7"/>
    <w:rsid w:val="006F548B"/>
    <w:rsid w:val="007026F1"/>
    <w:rsid w:val="007066CC"/>
    <w:rsid w:val="00772743"/>
    <w:rsid w:val="00790A6C"/>
    <w:rsid w:val="007D29BD"/>
    <w:rsid w:val="007F5568"/>
    <w:rsid w:val="00892F37"/>
    <w:rsid w:val="008A3165"/>
    <w:rsid w:val="008F6FFD"/>
    <w:rsid w:val="00903157"/>
    <w:rsid w:val="009050AF"/>
    <w:rsid w:val="00926DE1"/>
    <w:rsid w:val="00957C18"/>
    <w:rsid w:val="009A451A"/>
    <w:rsid w:val="009E1E69"/>
    <w:rsid w:val="009F352D"/>
    <w:rsid w:val="00A60F5D"/>
    <w:rsid w:val="00A676F0"/>
    <w:rsid w:val="00AD04AE"/>
    <w:rsid w:val="00B07351"/>
    <w:rsid w:val="00B81997"/>
    <w:rsid w:val="00BE523B"/>
    <w:rsid w:val="00C113BC"/>
    <w:rsid w:val="00C35B6A"/>
    <w:rsid w:val="00CB1168"/>
    <w:rsid w:val="00D33C98"/>
    <w:rsid w:val="00D35F47"/>
    <w:rsid w:val="00D63A25"/>
    <w:rsid w:val="00DD1081"/>
    <w:rsid w:val="00DD4A59"/>
    <w:rsid w:val="00DF40B3"/>
    <w:rsid w:val="00E10D4F"/>
    <w:rsid w:val="00E65EB6"/>
    <w:rsid w:val="00E71200"/>
    <w:rsid w:val="00E74DDC"/>
    <w:rsid w:val="00F14A3C"/>
    <w:rsid w:val="00F42B7A"/>
    <w:rsid w:val="00F70627"/>
    <w:rsid w:val="036E517B"/>
    <w:rsid w:val="07DD60EE"/>
    <w:rsid w:val="0A8830D0"/>
    <w:rsid w:val="11C72352"/>
    <w:rsid w:val="1E164A9D"/>
    <w:rsid w:val="23DC708F"/>
    <w:rsid w:val="2D7F7D08"/>
    <w:rsid w:val="3D894941"/>
    <w:rsid w:val="44722C93"/>
    <w:rsid w:val="53911371"/>
    <w:rsid w:val="5D314719"/>
    <w:rsid w:val="62640326"/>
    <w:rsid w:val="64B153F9"/>
    <w:rsid w:val="6B690C3F"/>
    <w:rsid w:val="77CF11E8"/>
    <w:rsid w:val="79D4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semiHidden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ind w:left="108"/>
      <w:jc w:val="left"/>
    </w:pPr>
    <w:rPr>
      <w:rFonts w:ascii="Arial Unicode MS" w:hAnsi="Arial Unicode MS" w:eastAsia="Arial Unicode MS"/>
      <w:kern w:val="0"/>
      <w:sz w:val="32"/>
      <w:szCs w:val="32"/>
      <w:lang w:eastAsia="en-US"/>
    </w:rPr>
  </w:style>
  <w:style w:type="paragraph" w:styleId="4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正文文本 Char"/>
    <w:basedOn w:val="9"/>
    <w:link w:val="3"/>
    <w:qFormat/>
    <w:uiPriority w:val="1"/>
    <w:rPr>
      <w:rFonts w:ascii="Arial Unicode MS" w:hAnsi="Arial Unicode MS" w:eastAsia="Arial Unicode MS"/>
      <w:kern w:val="0"/>
      <w:sz w:val="32"/>
      <w:szCs w:val="32"/>
      <w:lang w:eastAsia="en-US"/>
    </w:rPr>
  </w:style>
  <w:style w:type="character" w:customStyle="1" w:styleId="13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4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15">
    <w:name w:val="批注文字 Char"/>
    <w:basedOn w:val="9"/>
    <w:link w:val="2"/>
    <w:semiHidden/>
    <w:qFormat/>
    <w:uiPriority w:val="99"/>
  </w:style>
  <w:style w:type="character" w:customStyle="1" w:styleId="16">
    <w:name w:val="批注主题 Char"/>
    <w:basedOn w:val="15"/>
    <w:link w:val="7"/>
    <w:semiHidden/>
    <w:qFormat/>
    <w:uiPriority w:val="99"/>
    <w:rPr>
      <w:b/>
      <w:bCs/>
    </w:rPr>
  </w:style>
  <w:style w:type="character" w:customStyle="1" w:styleId="17">
    <w:name w:val="批注框文本 Char"/>
    <w:basedOn w:val="9"/>
    <w:link w:val="4"/>
    <w:semiHidden/>
    <w:qFormat/>
    <w:uiPriority w:val="99"/>
    <w:rPr>
      <w:sz w:val="18"/>
      <w:szCs w:val="18"/>
    </w:rPr>
  </w:style>
  <w:style w:type="paragraph" w:customStyle="1" w:styleId="18">
    <w:name w:val="Table Paragraph"/>
    <w:basedOn w:val="1"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9">
    <w:name w:val="Table Normal"/>
    <w:semiHidden/>
    <w:qFormat/>
    <w:uiPriority w:val="2"/>
    <w:pPr>
      <w:widowControl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</Pages>
  <Words>1005</Words>
  <Characters>1031</Characters>
  <Lines>7</Lines>
  <Paragraphs>2</Paragraphs>
  <TotalTime>4</TotalTime>
  <ScaleCrop>false</ScaleCrop>
  <LinksUpToDate>false</LinksUpToDate>
  <CharactersWithSpaces>1070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2022-12-19T09:17:00Z</dcterms:created>
  <dc:creator>微软用户</dc:creator>
  <cp:lastModifiedBy>D</cp:lastModifiedBy>
  <cp:lastPrinted>2023-10-23T08:25:00Z</cp:lastPrinted>
  <dcterms:modified xsi:type="dcterms:W3CDTF">2023-10-23T09:34:46Z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72E2DCC7BDAC4518857EDD8332CF15F8_13</vt:lpwstr>
  </property>
</Properties>
</file>