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sz w:val="48"/>
          <w:szCs w:val="48"/>
        </w:rPr>
      </w:pPr>
    </w:p>
    <w:p>
      <w:pPr>
        <w:spacing w:beforeLines="50"/>
        <w:rPr>
          <w:rFonts w:ascii="仿宋" w:hAnsi="仿宋" w:eastAsia="仿宋" w:cs="仿宋"/>
          <w:sz w:val="48"/>
          <w:szCs w:val="48"/>
        </w:rPr>
      </w:pPr>
    </w:p>
    <w:p>
      <w:pPr>
        <w:ind w:left="-2" w:leftChars="-200" w:right="-309" w:rightChars="-147" w:hanging="418" w:hangingChars="51"/>
        <w:jc w:val="center"/>
        <w:rPr>
          <w:rFonts w:ascii="方正大标宋简体" w:eastAsia="方正大标宋简体" w:hAnsiTheme="majorEastAsia" w:cstheme="majorEastAsia"/>
          <w:bCs/>
          <w:color w:val="FF0000"/>
          <w:sz w:val="82"/>
          <w:szCs w:val="82"/>
        </w:rPr>
      </w:pPr>
      <w:r>
        <w:rPr>
          <w:rFonts w:hint="eastAsia" w:ascii="方正大标宋简体" w:eastAsia="方正大标宋简体" w:hAnsiTheme="majorEastAsia" w:cstheme="majorEastAsia"/>
          <w:bCs/>
          <w:color w:val="FF0000"/>
          <w:sz w:val="82"/>
          <w:szCs w:val="82"/>
        </w:rPr>
        <w:t>涞源县自然资源和</w:t>
      </w:r>
      <w:bookmarkStart w:id="0" w:name="_GoBack"/>
      <w:bookmarkEnd w:id="0"/>
      <w:r>
        <w:rPr>
          <w:rFonts w:hint="eastAsia" w:ascii="方正大标宋简体" w:eastAsia="方正大标宋简体" w:hAnsiTheme="majorEastAsia" w:cstheme="majorEastAsia"/>
          <w:bCs/>
          <w:color w:val="FF0000"/>
          <w:sz w:val="82"/>
          <w:szCs w:val="82"/>
        </w:rPr>
        <w:t>规划局</w:t>
      </w:r>
    </w:p>
    <w:p>
      <w:pPr>
        <w:jc w:val="center"/>
        <w:rPr>
          <w:rFonts w:ascii="仿宋" w:hAnsi="仿宋" w:eastAsia="仿宋" w:cs="仿宋"/>
          <w:sz w:val="84"/>
          <w:szCs w:val="84"/>
        </w:rPr>
      </w:pPr>
    </w:p>
    <w:p>
      <w:pPr>
        <w:jc w:val="right"/>
        <w:rPr>
          <w:rFonts w:hint="default" w:ascii="黑体" w:hAnsi="黑体" w:eastAsia="黑体" w:cs="黑体"/>
          <w:sz w:val="44"/>
          <w:szCs w:val="44"/>
          <w:lang w:val="en-US" w:eastAsia="zh-CN"/>
        </w:rPr>
      </w:pPr>
    </w:p>
    <w:p>
      <w:pPr>
        <w:jc w:val="right"/>
        <w:rPr>
          <w:rFonts w:hint="default" w:ascii="黑体" w:hAnsi="黑体" w:eastAsia="黑体" w:cs="黑体"/>
          <w:sz w:val="44"/>
          <w:szCs w:val="44"/>
          <w:lang w:val="en-US" w:eastAsia="zh-CN"/>
        </w:rPr>
      </w:pPr>
      <w:r>
        <w:rPr>
          <w:rFonts w:ascii="仿宋" w:hAnsi="仿宋" w:eastAsia="仿宋" w:cs="仿宋"/>
          <w:sz w:val="32"/>
          <w:szCs w:val="32"/>
        </w:rPr>
        <mc:AlternateContent>
          <mc:Choice Requires="wps">
            <w:drawing>
              <wp:anchor distT="0" distB="0" distL="114300" distR="114300" simplePos="0" relativeHeight="251662336" behindDoc="0" locked="0" layoutInCell="1" allowOverlap="1">
                <wp:simplePos x="0" y="0"/>
                <wp:positionH relativeFrom="column">
                  <wp:posOffset>-511810</wp:posOffset>
                </wp:positionH>
                <wp:positionV relativeFrom="paragraph">
                  <wp:posOffset>361950</wp:posOffset>
                </wp:positionV>
                <wp:extent cx="6384925" cy="635"/>
                <wp:effectExtent l="0" t="15875" r="15875" b="21590"/>
                <wp:wrapNone/>
                <wp:docPr id="2" name="直线 3"/>
                <wp:cNvGraphicFramePr/>
                <a:graphic xmlns:a="http://schemas.openxmlformats.org/drawingml/2006/main">
                  <a:graphicData uri="http://schemas.microsoft.com/office/word/2010/wordprocessingShape">
                    <wps:wsp>
                      <wps:cNvCnPr/>
                      <wps:spPr>
                        <a:xfrm flipH="1">
                          <a:off x="0" y="0"/>
                          <a:ext cx="2524125" cy="635"/>
                        </a:xfrm>
                        <a:prstGeom prst="line">
                          <a:avLst/>
                        </a:prstGeom>
                        <a:ln w="31750" cap="flat" cmpd="sng">
                          <a:solidFill>
                            <a:srgbClr val="FF0000"/>
                          </a:solidFill>
                          <a:prstDash val="solid"/>
                          <a:headEnd type="none" w="med" len="med"/>
                          <a:tailEnd type="none" w="med" len="med"/>
                        </a:ln>
                        <a:effectLst/>
                      </wps:spPr>
                      <wps:bodyPr upright="1"/>
                    </wps:wsp>
                  </a:graphicData>
                </a:graphic>
              </wp:anchor>
            </w:drawing>
          </mc:Choice>
          <mc:Fallback>
            <w:pict>
              <v:line id="直线 3" o:spid="_x0000_s1026" o:spt="20" style="position:absolute;left:0pt;flip:x;margin-left:-40.3pt;margin-top:28.5pt;height:0.05pt;width:502.75pt;z-index:251662336;mso-width-relative:page;mso-height-relative:page;" filled="f" stroked="t" coordsize="21600,21600" o:gfxdata="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Zzq5HYAAAACQEAAA8A&#10;AAAAAAAAAQAgAAAAIgAAAGRycy9kb3ducmV2LnhtbFBLAQIUABQAAAAIAIdO4kCW5jke3gEAAKgD&#10;AAAOAAAAAAAAAAEAIAAAACcBAABkcnMvZTJvRG9jLnhtbFBLBQYAAAAABgAGAFkBAAB3BQAAAAA=&#10;">
                <v:fill on="f" focussize="0,0"/>
                <v:stroke weight="2.5pt" color="#FF0000" joinstyle="round"/>
                <v:imagedata o:title=""/>
                <o:lock v:ext="edit" aspectratio="f"/>
              </v:line>
            </w:pict>
          </mc:Fallback>
        </mc:AlternateContent>
      </w:r>
    </w:p>
    <w:p>
      <w:pPr>
        <w:widowControl/>
        <w:shd w:val="clear" w:color="auto" w:fill="FFFFFF"/>
        <w:spacing w:line="560" w:lineRule="exact"/>
        <w:jc w:val="right"/>
        <w:rPr>
          <w:rFonts w:eastAsia="仿宋"/>
          <w:color w:val="000000"/>
          <w:kern w:val="0"/>
          <w:sz w:val="32"/>
          <w:szCs w:val="32"/>
        </w:rPr>
      </w:pPr>
      <w:r>
        <w:rPr>
          <w:rFonts w:hAnsi="仿宋" w:eastAsia="仿宋"/>
          <w:color w:val="000000"/>
          <w:kern w:val="0"/>
          <w:sz w:val="32"/>
          <w:szCs w:val="32"/>
        </w:rPr>
        <w:t>是否同意公开：是</w:t>
      </w:r>
    </w:p>
    <w:p>
      <w:pPr>
        <w:widowControl/>
        <w:shd w:val="clear" w:color="auto" w:fill="FFFFFF"/>
        <w:spacing w:line="560" w:lineRule="exact"/>
        <w:jc w:val="right"/>
        <w:rPr>
          <w:rFonts w:hAnsi="仿宋" w:eastAsia="仿宋"/>
          <w:color w:val="000000"/>
          <w:kern w:val="0"/>
          <w:sz w:val="32"/>
          <w:szCs w:val="32"/>
        </w:rPr>
      </w:pPr>
      <w:r>
        <w:rPr>
          <w:rFonts w:hAnsi="仿宋" w:eastAsia="仿宋"/>
          <w:color w:val="000000"/>
          <w:kern w:val="0"/>
          <w:sz w:val="32"/>
          <w:szCs w:val="32"/>
        </w:rPr>
        <w:t>办理结果：</w:t>
      </w:r>
      <w:r>
        <w:rPr>
          <w:rFonts w:hint="eastAsia" w:hAnsi="仿宋" w:eastAsia="仿宋"/>
          <w:color w:val="000000"/>
          <w:kern w:val="0"/>
          <w:sz w:val="32"/>
          <w:szCs w:val="32"/>
        </w:rPr>
        <w:t>B</w:t>
      </w:r>
    </w:p>
    <w:p>
      <w:pPr>
        <w:widowControl/>
        <w:shd w:val="clear" w:color="auto" w:fill="FFFFFF"/>
        <w:spacing w:line="560" w:lineRule="exact"/>
        <w:jc w:val="right"/>
        <w:rPr>
          <w:rFonts w:hAnsi="仿宋" w:eastAsia="仿宋"/>
          <w:color w:val="000000"/>
          <w:kern w:val="0"/>
          <w:sz w:val="32"/>
          <w:szCs w:val="32"/>
        </w:rPr>
      </w:pPr>
      <w:r>
        <w:rPr>
          <w:rFonts w:hAnsi="仿宋" w:eastAsia="仿宋"/>
          <w:color w:val="000000"/>
          <w:kern w:val="0"/>
          <w:sz w:val="32"/>
          <w:szCs w:val="32"/>
        </w:rPr>
        <w:t>涞自然资规提案字〔202</w:t>
      </w:r>
      <w:r>
        <w:rPr>
          <w:rFonts w:hint="eastAsia" w:hAnsi="仿宋" w:eastAsia="仿宋"/>
          <w:color w:val="000000"/>
          <w:kern w:val="0"/>
          <w:sz w:val="32"/>
          <w:szCs w:val="32"/>
        </w:rPr>
        <w:t>3</w:t>
      </w:r>
      <w:r>
        <w:rPr>
          <w:rFonts w:hAnsi="仿宋" w:eastAsia="仿宋"/>
          <w:color w:val="000000"/>
          <w:kern w:val="0"/>
          <w:sz w:val="32"/>
          <w:szCs w:val="32"/>
        </w:rPr>
        <w:t>〕第</w:t>
      </w:r>
      <w:r>
        <w:rPr>
          <w:rFonts w:hint="eastAsia" w:hAnsi="仿宋" w:eastAsia="仿宋"/>
          <w:color w:val="000000"/>
          <w:kern w:val="0"/>
          <w:sz w:val="32"/>
          <w:szCs w:val="32"/>
          <w:lang w:val="en-US" w:eastAsia="zh-CN"/>
        </w:rPr>
        <w:t>7</w:t>
      </w:r>
      <w:r>
        <w:rPr>
          <w:rFonts w:hAnsi="仿宋" w:eastAsia="仿宋"/>
          <w:color w:val="000000"/>
          <w:kern w:val="0"/>
          <w:sz w:val="32"/>
          <w:szCs w:val="32"/>
        </w:rPr>
        <w:t>号</w:t>
      </w:r>
    </w:p>
    <w:p>
      <w:pPr>
        <w:spacing w:line="560" w:lineRule="exact"/>
        <w:jc w:val="center"/>
        <w:rPr>
          <w:rFonts w:hint="eastAsia" w:ascii="黑体" w:hAnsi="黑体" w:eastAsia="黑体" w:cs="黑体"/>
          <w:b/>
          <w:bCs/>
          <w:color w:val="000000"/>
          <w:kern w:val="0"/>
          <w:sz w:val="44"/>
          <w:szCs w:val="44"/>
        </w:rPr>
      </w:pPr>
    </w:p>
    <w:p>
      <w:pPr>
        <w:spacing w:line="560" w:lineRule="exact"/>
        <w:jc w:val="center"/>
        <w:rPr>
          <w:rFonts w:hint="eastAsia" w:ascii="黑体" w:hAnsi="黑体" w:eastAsia="黑体" w:cs="黑体"/>
          <w:b/>
          <w:bCs/>
          <w:color w:val="000000"/>
          <w:kern w:val="0"/>
          <w:sz w:val="44"/>
          <w:szCs w:val="44"/>
        </w:rPr>
      </w:pPr>
      <w:r>
        <w:rPr>
          <w:rFonts w:hint="eastAsia" w:ascii="黑体" w:hAnsi="黑体" w:eastAsia="黑体" w:cs="黑体"/>
          <w:b/>
          <w:bCs/>
          <w:color w:val="000000"/>
          <w:kern w:val="0"/>
          <w:sz w:val="44"/>
          <w:szCs w:val="44"/>
        </w:rPr>
        <w:t>对政协涞源县第十届委员会</w:t>
      </w:r>
    </w:p>
    <w:p>
      <w:pPr>
        <w:spacing w:line="560" w:lineRule="exact"/>
        <w:jc w:val="center"/>
        <w:rPr>
          <w:rFonts w:hint="eastAsia" w:ascii="黑体" w:hAnsi="黑体" w:eastAsia="黑体" w:cs="黑体"/>
          <w:b/>
          <w:bCs/>
          <w:color w:val="000000"/>
          <w:kern w:val="0"/>
          <w:sz w:val="44"/>
          <w:szCs w:val="44"/>
        </w:rPr>
      </w:pPr>
      <w:r>
        <w:rPr>
          <w:rFonts w:hint="eastAsia" w:ascii="黑体" w:hAnsi="黑体" w:eastAsia="黑体" w:cs="黑体"/>
          <w:b/>
          <w:bCs/>
          <w:color w:val="000000"/>
          <w:kern w:val="0"/>
          <w:sz w:val="44"/>
          <w:szCs w:val="44"/>
        </w:rPr>
        <w:t>第三次会议第31号提案的答复</w:t>
      </w:r>
    </w:p>
    <w:p>
      <w:pPr>
        <w:spacing w:line="560" w:lineRule="exact"/>
        <w:jc w:val="center"/>
        <w:rPr>
          <w:rFonts w:hint="eastAsia" w:ascii="黑体" w:hAnsi="黑体" w:eastAsia="黑体" w:cs="黑体"/>
          <w:b/>
          <w:bCs/>
          <w:color w:val="000000"/>
          <w:kern w:val="0"/>
          <w:sz w:val="44"/>
          <w:szCs w:val="44"/>
        </w:rPr>
      </w:pPr>
    </w:p>
    <w:p>
      <w:pPr>
        <w:widowControl/>
        <w:shd w:val="clear" w:color="auto" w:fill="FFFFFF"/>
        <w:spacing w:line="540" w:lineRule="atLeast"/>
        <w:rPr>
          <w:rFonts w:eastAsia="仿宋"/>
          <w:color w:val="000000"/>
          <w:kern w:val="0"/>
          <w:sz w:val="32"/>
          <w:szCs w:val="32"/>
        </w:rPr>
      </w:pPr>
      <w:r>
        <w:rPr>
          <w:rFonts w:hint="eastAsia" w:hAnsi="仿宋" w:eastAsia="仿宋"/>
          <w:color w:val="000000"/>
          <w:kern w:val="0"/>
          <w:sz w:val="32"/>
          <w:szCs w:val="32"/>
        </w:rPr>
        <w:t>焦建飞、赵飞、徐小燕</w:t>
      </w:r>
      <w:r>
        <w:rPr>
          <w:rFonts w:hAnsi="仿宋" w:eastAsia="仿宋"/>
          <w:color w:val="000000"/>
          <w:kern w:val="0"/>
          <w:sz w:val="32"/>
          <w:szCs w:val="32"/>
        </w:rPr>
        <w:t>代表：</w:t>
      </w:r>
    </w:p>
    <w:p>
      <w:pPr>
        <w:widowControl/>
        <w:shd w:val="clear" w:color="auto" w:fill="FFFFFF"/>
        <w:spacing w:line="560" w:lineRule="exact"/>
        <w:ind w:firstLine="641"/>
        <w:rPr>
          <w:rFonts w:eastAsia="微软雅黑"/>
          <w:color w:val="000000"/>
          <w:kern w:val="0"/>
        </w:rPr>
      </w:pPr>
      <w:r>
        <w:rPr>
          <w:rFonts w:hint="eastAsia" w:hAnsi="仿宋" w:eastAsia="仿宋"/>
          <w:color w:val="000000"/>
          <w:kern w:val="0"/>
          <w:sz w:val="32"/>
          <w:szCs w:val="32"/>
        </w:rPr>
        <w:t>你们</w:t>
      </w:r>
      <w:r>
        <w:rPr>
          <w:rFonts w:hAnsi="仿宋" w:eastAsia="仿宋"/>
          <w:color w:val="000000"/>
          <w:kern w:val="0"/>
          <w:sz w:val="32"/>
          <w:szCs w:val="32"/>
        </w:rPr>
        <w:t>提出的</w:t>
      </w:r>
      <w:r>
        <w:rPr>
          <w:rFonts w:eastAsia="仿宋"/>
          <w:color w:val="000000"/>
          <w:kern w:val="0"/>
          <w:sz w:val="32"/>
          <w:szCs w:val="32"/>
        </w:rPr>
        <w:t>“</w:t>
      </w:r>
      <w:r>
        <w:rPr>
          <w:rFonts w:hAnsi="仿宋" w:eastAsia="仿宋"/>
          <w:color w:val="000000"/>
          <w:kern w:val="0"/>
          <w:sz w:val="32"/>
          <w:szCs w:val="32"/>
        </w:rPr>
        <w:t>解决城区商铺不动产证办理问题</w:t>
      </w:r>
      <w:r>
        <w:rPr>
          <w:rFonts w:eastAsia="仿宋"/>
          <w:color w:val="000000"/>
          <w:kern w:val="0"/>
          <w:sz w:val="32"/>
          <w:szCs w:val="32"/>
        </w:rPr>
        <w:t>”</w:t>
      </w:r>
      <w:r>
        <w:rPr>
          <w:rFonts w:hAnsi="仿宋" w:eastAsia="仿宋"/>
          <w:color w:val="000000"/>
          <w:kern w:val="0"/>
          <w:sz w:val="32"/>
          <w:szCs w:val="32"/>
        </w:rPr>
        <w:t>提案收悉，</w:t>
      </w:r>
      <w:r>
        <w:rPr>
          <w:rFonts w:hint="eastAsia" w:hAnsi="仿宋" w:eastAsia="仿宋"/>
          <w:color w:val="000000"/>
          <w:kern w:val="0"/>
          <w:sz w:val="32"/>
          <w:szCs w:val="32"/>
        </w:rPr>
        <w:t>经</w:t>
      </w:r>
      <w:r>
        <w:rPr>
          <w:rFonts w:hint="eastAsia" w:hAnsi="仿宋" w:eastAsia="仿宋"/>
          <w:sz w:val="32"/>
          <w:szCs w:val="32"/>
        </w:rPr>
        <w:t>我局会同</w:t>
      </w:r>
      <w:r>
        <w:rPr>
          <w:rFonts w:hAnsi="仿宋" w:eastAsia="仿宋"/>
          <w:sz w:val="32"/>
          <w:szCs w:val="32"/>
        </w:rPr>
        <w:t>住建及税务部门</w:t>
      </w:r>
      <w:r>
        <w:rPr>
          <w:rFonts w:hint="eastAsia" w:hAnsi="仿宋" w:eastAsia="仿宋"/>
          <w:sz w:val="32"/>
          <w:szCs w:val="32"/>
        </w:rPr>
        <w:t>研究</w:t>
      </w:r>
      <w:r>
        <w:rPr>
          <w:rFonts w:hAnsi="仿宋" w:eastAsia="仿宋"/>
          <w:sz w:val="32"/>
          <w:szCs w:val="32"/>
        </w:rPr>
        <w:t>，</w:t>
      </w:r>
      <w:r>
        <w:rPr>
          <w:rFonts w:hAnsi="仿宋" w:eastAsia="仿宋"/>
          <w:color w:val="000000"/>
          <w:kern w:val="0"/>
          <w:sz w:val="32"/>
          <w:szCs w:val="32"/>
        </w:rPr>
        <w:t>现答复如下：</w:t>
      </w:r>
    </w:p>
    <w:p>
      <w:pPr>
        <w:spacing w:line="560" w:lineRule="exact"/>
        <w:ind w:firstLine="640" w:firstLineChars="200"/>
        <w:rPr>
          <w:rFonts w:hAnsi="仿宋" w:eastAsia="仿宋"/>
          <w:sz w:val="32"/>
          <w:szCs w:val="32"/>
        </w:rPr>
      </w:pPr>
      <w:r>
        <w:rPr>
          <w:rFonts w:hAnsi="仿宋" w:eastAsia="仿宋"/>
          <w:sz w:val="32"/>
          <w:szCs w:val="32"/>
        </w:rPr>
        <w:t>建议中提出，</w:t>
      </w:r>
      <w:r>
        <w:rPr>
          <w:rFonts w:eastAsia="仿宋"/>
          <w:sz w:val="32"/>
          <w:szCs w:val="32"/>
        </w:rPr>
        <w:t>2000</w:t>
      </w:r>
      <w:r>
        <w:rPr>
          <w:rFonts w:hAnsi="仿宋" w:eastAsia="仿宋"/>
          <w:sz w:val="32"/>
          <w:szCs w:val="32"/>
        </w:rPr>
        <w:t>年</w:t>
      </w:r>
      <w:r>
        <w:rPr>
          <w:rFonts w:hint="eastAsia" w:hAnsi="仿宋" w:eastAsia="仿宋"/>
          <w:sz w:val="32"/>
          <w:szCs w:val="32"/>
        </w:rPr>
        <w:t>之</w:t>
      </w:r>
      <w:r>
        <w:rPr>
          <w:rFonts w:hAnsi="仿宋" w:eastAsia="仿宋"/>
          <w:sz w:val="32"/>
          <w:szCs w:val="32"/>
        </w:rPr>
        <w:t>后，</w:t>
      </w:r>
      <w:r>
        <w:rPr>
          <w:rFonts w:hint="eastAsia" w:hAnsi="仿宋" w:eastAsia="仿宋"/>
          <w:sz w:val="32"/>
          <w:szCs w:val="32"/>
        </w:rPr>
        <w:t>为美化环境，县政府提议在新修的</w:t>
      </w:r>
      <w:r>
        <w:rPr>
          <w:rFonts w:eastAsia="仿宋"/>
          <w:sz w:val="32"/>
          <w:szCs w:val="32"/>
        </w:rPr>
        <w:t>108</w:t>
      </w:r>
      <w:r>
        <w:rPr>
          <w:rFonts w:hAnsi="仿宋" w:eastAsia="仿宋"/>
          <w:sz w:val="32"/>
          <w:szCs w:val="32"/>
        </w:rPr>
        <w:t>国道</w:t>
      </w:r>
      <w:r>
        <w:rPr>
          <w:rFonts w:hint="eastAsia" w:hAnsi="仿宋" w:eastAsia="仿宋"/>
          <w:sz w:val="32"/>
          <w:szCs w:val="32"/>
        </w:rPr>
        <w:t>及其他</w:t>
      </w:r>
      <w:r>
        <w:rPr>
          <w:rFonts w:hAnsi="仿宋" w:eastAsia="仿宋"/>
          <w:sz w:val="32"/>
          <w:szCs w:val="32"/>
        </w:rPr>
        <w:t>县城</w:t>
      </w:r>
      <w:r>
        <w:rPr>
          <w:rFonts w:hint="eastAsia" w:hAnsi="仿宋" w:eastAsia="仿宋"/>
          <w:sz w:val="32"/>
          <w:szCs w:val="32"/>
        </w:rPr>
        <w:t>主城区道路两旁建造楼房、商铺，在当时政策引导下，用几年时间将县城建设整齐美观。受当时条件影响，大多数房屋没有合法手续</w:t>
      </w:r>
      <w:r>
        <w:rPr>
          <w:rFonts w:hAnsi="仿宋" w:eastAsia="仿宋"/>
          <w:sz w:val="32"/>
          <w:szCs w:val="32"/>
        </w:rPr>
        <w:t>”</w:t>
      </w:r>
      <w:r>
        <w:rPr>
          <w:rFonts w:hint="eastAsia" w:hAnsi="仿宋" w:eastAsia="仿宋"/>
          <w:sz w:val="32"/>
          <w:szCs w:val="32"/>
        </w:rPr>
        <w:t>。</w:t>
      </w:r>
    </w:p>
    <w:p>
      <w:pPr>
        <w:spacing w:line="560" w:lineRule="exact"/>
        <w:ind w:firstLine="640" w:firstLineChars="200"/>
        <w:rPr>
          <w:rFonts w:hAnsi="仿宋" w:eastAsia="仿宋"/>
          <w:sz w:val="32"/>
          <w:szCs w:val="32"/>
        </w:rPr>
        <w:sectPr>
          <w:pgSz w:w="11906" w:h="16838"/>
          <w:pgMar w:top="1440" w:right="1588" w:bottom="1440" w:left="1588" w:header="851" w:footer="992" w:gutter="0"/>
          <w:cols w:space="425" w:num="1"/>
          <w:docGrid w:type="lines" w:linePitch="312" w:charSpace="0"/>
        </w:sectPr>
      </w:pPr>
      <w:r>
        <w:rPr>
          <w:rFonts w:hAnsi="仿宋" w:eastAsia="仿宋"/>
          <w:sz w:val="32"/>
          <w:szCs w:val="32"/>
        </w:rPr>
        <w:t>经我局仔细调查研究和查阅相关档案，存在前置要件缺失</w:t>
      </w:r>
    </w:p>
    <w:p>
      <w:pPr>
        <w:spacing w:line="560" w:lineRule="exact"/>
        <w:ind w:firstLine="640" w:firstLineChars="200"/>
        <w:rPr>
          <w:rFonts w:eastAsia="仿宋"/>
          <w:sz w:val="32"/>
          <w:szCs w:val="32"/>
        </w:rPr>
      </w:pPr>
      <w:r>
        <w:rPr>
          <w:rFonts w:hAnsi="仿宋" w:eastAsia="仿宋"/>
          <w:sz w:val="32"/>
          <w:szCs w:val="32"/>
        </w:rPr>
        <w:t>（没有土地房产权属来源证明、没有缴纳土地出让金等规费、没有竣工验收等问题）、违法违规（规划不合法、改变用途等）、拆迁安置户不想承担相关税费等各种原因导致不能办理产权证书的情况，固然符合当时的鼓励性政策，但是并不完全符合相关的法律法规要求，多年来也有群众不断通过平台反映此类问题，我局会同有关部门均按法律政策规定及时予以回复解答。</w:t>
      </w:r>
    </w:p>
    <w:p>
      <w:pPr>
        <w:spacing w:line="560" w:lineRule="exact"/>
        <w:ind w:firstLine="640" w:firstLineChars="200"/>
        <w:rPr>
          <w:rFonts w:eastAsia="微软雅黑"/>
        </w:rPr>
      </w:pPr>
      <w:r>
        <w:rPr>
          <w:rFonts w:hAnsi="仿宋" w:eastAsia="仿宋"/>
          <w:sz w:val="32"/>
          <w:szCs w:val="32"/>
        </w:rPr>
        <w:t>按照现行的《不动产登记暂行条例实施细则》第三十五条规定</w:t>
      </w:r>
      <w:r>
        <w:rPr>
          <w:rFonts w:eastAsia="仿宋"/>
          <w:sz w:val="32"/>
          <w:szCs w:val="32"/>
        </w:rPr>
        <w:t>“</w:t>
      </w:r>
      <w:r>
        <w:rPr>
          <w:rFonts w:hAnsi="仿宋" w:eastAsia="仿宋"/>
          <w:sz w:val="32"/>
          <w:szCs w:val="32"/>
        </w:rPr>
        <w:t>申请国有建设用地使用权及房屋所有权首次登记的，应当提交下列材料：</w:t>
      </w:r>
      <w:r>
        <w:rPr>
          <w:rFonts w:eastAsia="仿宋"/>
          <w:sz w:val="32"/>
          <w:szCs w:val="32"/>
        </w:rPr>
        <w:t>1</w:t>
      </w:r>
      <w:r>
        <w:rPr>
          <w:rFonts w:hAnsi="仿宋" w:eastAsia="仿宋"/>
          <w:sz w:val="32"/>
          <w:szCs w:val="32"/>
        </w:rPr>
        <w:t>、不动产权属证书或者土地权属来源材料；</w:t>
      </w:r>
      <w:r>
        <w:rPr>
          <w:rFonts w:eastAsia="仿宋"/>
          <w:sz w:val="32"/>
          <w:szCs w:val="32"/>
        </w:rPr>
        <w:t>2</w:t>
      </w:r>
      <w:r>
        <w:rPr>
          <w:rFonts w:hAnsi="仿宋" w:eastAsia="仿宋"/>
          <w:sz w:val="32"/>
          <w:szCs w:val="32"/>
        </w:rPr>
        <w:t>、建设工程符合规划的材料；</w:t>
      </w:r>
      <w:r>
        <w:rPr>
          <w:rFonts w:eastAsia="仿宋"/>
          <w:sz w:val="32"/>
          <w:szCs w:val="32"/>
        </w:rPr>
        <w:t>3</w:t>
      </w:r>
      <w:r>
        <w:rPr>
          <w:rFonts w:hAnsi="仿宋" w:eastAsia="仿宋"/>
          <w:sz w:val="32"/>
          <w:szCs w:val="32"/>
        </w:rPr>
        <w:t>、房屋已经竣工的材料；</w:t>
      </w:r>
      <w:r>
        <w:rPr>
          <w:rFonts w:eastAsia="仿宋"/>
          <w:sz w:val="32"/>
          <w:szCs w:val="32"/>
        </w:rPr>
        <w:t>4</w:t>
      </w:r>
      <w:r>
        <w:rPr>
          <w:rFonts w:hAnsi="仿宋" w:eastAsia="仿宋"/>
          <w:sz w:val="32"/>
          <w:szCs w:val="32"/>
        </w:rPr>
        <w:t>、房地产调查或者测绘报告；</w:t>
      </w:r>
      <w:r>
        <w:rPr>
          <w:rFonts w:eastAsia="仿宋"/>
          <w:sz w:val="32"/>
          <w:szCs w:val="32"/>
        </w:rPr>
        <w:t>5</w:t>
      </w:r>
      <w:r>
        <w:rPr>
          <w:rFonts w:hAnsi="仿宋" w:eastAsia="仿宋"/>
          <w:sz w:val="32"/>
          <w:szCs w:val="32"/>
        </w:rPr>
        <w:t>、相关税费缴纳凭证。</w:t>
      </w:r>
      <w:r>
        <w:rPr>
          <w:rFonts w:eastAsia="仿宋"/>
          <w:sz w:val="32"/>
          <w:szCs w:val="32"/>
        </w:rPr>
        <w:t>”</w:t>
      </w:r>
      <w:r>
        <w:rPr>
          <w:rFonts w:hAnsi="仿宋" w:eastAsia="仿宋"/>
          <w:sz w:val="32"/>
          <w:szCs w:val="32"/>
        </w:rPr>
        <w:t>作为不动产登记的主管部门，只能依法依规对符合登记条件的进行登记。</w:t>
      </w:r>
      <w:r>
        <w:rPr>
          <w:rFonts w:hint="eastAsia" w:hAnsi="仿宋" w:eastAsia="仿宋"/>
          <w:sz w:val="32"/>
          <w:szCs w:val="32"/>
        </w:rPr>
        <w:t>按此规定，存在遗留问题的商业不动产不符合办理条件。</w:t>
      </w:r>
    </w:p>
    <w:p>
      <w:pPr>
        <w:pStyle w:val="5"/>
        <w:shd w:val="clear" w:color="auto" w:fill="FFFFFF"/>
        <w:spacing w:before="0" w:beforeAutospacing="0" w:after="0" w:afterAutospacing="0"/>
        <w:ind w:firstLine="640" w:firstLineChars="200"/>
        <w:rPr>
          <w:rFonts w:ascii="Times New Roman" w:hAnsi="仿宋" w:eastAsia="仿宋" w:cs="Times New Roman"/>
          <w:sz w:val="32"/>
          <w:szCs w:val="32"/>
        </w:rPr>
      </w:pPr>
      <w:r>
        <w:rPr>
          <w:rFonts w:ascii="Times New Roman" w:hAnsi="仿宋" w:eastAsia="仿宋" w:cs="Times New Roman"/>
          <w:sz w:val="32"/>
          <w:szCs w:val="32"/>
        </w:rPr>
        <w:t>为切实维护群众权益，解决因历史遗留问题导致的不动产产权登记问题，自然资源部出台了《关于加快解决不动产登记若干历史遗留问题的通知》（自然资发〔</w:t>
      </w:r>
      <w:r>
        <w:rPr>
          <w:rFonts w:ascii="Times New Roman" w:hAnsi="Times New Roman" w:eastAsia="仿宋" w:cs="Times New Roman"/>
          <w:sz w:val="32"/>
          <w:szCs w:val="32"/>
        </w:rPr>
        <w:t>2021</w:t>
      </w:r>
      <w:r>
        <w:rPr>
          <w:rFonts w:ascii="Times New Roman" w:hAnsi="仿宋" w:eastAsia="仿宋" w:cs="Times New Roman"/>
          <w:sz w:val="32"/>
          <w:szCs w:val="32"/>
        </w:rPr>
        <w:t>〕</w:t>
      </w:r>
      <w:r>
        <w:rPr>
          <w:rFonts w:ascii="Times New Roman" w:hAnsi="Times New Roman" w:eastAsia="仿宋" w:cs="Times New Roman"/>
          <w:sz w:val="32"/>
          <w:szCs w:val="32"/>
        </w:rPr>
        <w:t>1</w:t>
      </w:r>
      <w:r>
        <w:rPr>
          <w:rFonts w:ascii="Times New Roman" w:hAnsi="仿宋" w:eastAsia="仿宋" w:cs="Times New Roman"/>
          <w:sz w:val="32"/>
          <w:szCs w:val="32"/>
        </w:rPr>
        <w:t>号）文件，规定</w:t>
      </w:r>
      <w:r>
        <w:rPr>
          <w:rFonts w:ascii="Times New Roman" w:hAnsi="Times New Roman" w:eastAsia="仿宋" w:cs="Times New Roman"/>
          <w:sz w:val="32"/>
          <w:szCs w:val="32"/>
        </w:rPr>
        <w:t>“</w:t>
      </w:r>
      <w:r>
        <w:rPr>
          <w:rFonts w:ascii="Times New Roman" w:hAnsi="仿宋" w:eastAsia="仿宋" w:cs="Times New Roman"/>
          <w:sz w:val="32"/>
          <w:szCs w:val="32"/>
        </w:rPr>
        <w:t>主要是化解国有土地上已经出售的城镇住宅的历史遗留问题，国有土地上已经出售的商业、办公、工业等房屋涉及的历史遗留问题可参照执行</w:t>
      </w:r>
      <w:r>
        <w:rPr>
          <w:rFonts w:ascii="Times New Roman" w:hAnsi="Times New Roman" w:eastAsia="仿宋" w:cs="Times New Roman"/>
          <w:sz w:val="32"/>
          <w:szCs w:val="32"/>
        </w:rPr>
        <w:t>”</w:t>
      </w:r>
      <w:r>
        <w:rPr>
          <w:rFonts w:ascii="Times New Roman" w:hAnsi="仿宋" w:eastAsia="仿宋" w:cs="Times New Roman"/>
          <w:sz w:val="32"/>
          <w:szCs w:val="32"/>
        </w:rPr>
        <w:t>。县政府根据保政函〔</w:t>
      </w:r>
      <w:r>
        <w:rPr>
          <w:rFonts w:ascii="Times New Roman" w:hAnsi="Times New Roman" w:eastAsia="仿宋" w:cs="Times New Roman"/>
          <w:sz w:val="32"/>
          <w:szCs w:val="32"/>
        </w:rPr>
        <w:t>2022</w:t>
      </w:r>
      <w:r>
        <w:rPr>
          <w:rFonts w:ascii="Times New Roman" w:hAnsi="仿宋" w:eastAsia="仿宋" w:cs="Times New Roman"/>
          <w:sz w:val="32"/>
          <w:szCs w:val="32"/>
        </w:rPr>
        <w:t>〕</w:t>
      </w:r>
      <w:r>
        <w:rPr>
          <w:rFonts w:ascii="Times New Roman" w:hAnsi="Times New Roman" w:eastAsia="仿宋" w:cs="Times New Roman"/>
          <w:sz w:val="32"/>
          <w:szCs w:val="32"/>
        </w:rPr>
        <w:t>8</w:t>
      </w:r>
      <w:r>
        <w:rPr>
          <w:rFonts w:ascii="Times New Roman" w:hAnsi="仿宋" w:eastAsia="仿宋" w:cs="Times New Roman"/>
          <w:sz w:val="32"/>
          <w:szCs w:val="32"/>
        </w:rPr>
        <w:t>号文件，于</w:t>
      </w:r>
      <w:r>
        <w:rPr>
          <w:rFonts w:ascii="Times New Roman" w:hAnsi="Times New Roman" w:eastAsia="仿宋" w:cs="Times New Roman"/>
          <w:sz w:val="32"/>
          <w:szCs w:val="32"/>
        </w:rPr>
        <w:t>2022</w:t>
      </w:r>
      <w:r>
        <w:rPr>
          <w:rFonts w:ascii="Times New Roman" w:hAnsi="仿宋" w:eastAsia="仿宋" w:cs="Times New Roman"/>
          <w:sz w:val="32"/>
          <w:szCs w:val="32"/>
        </w:rPr>
        <w:t>年</w:t>
      </w:r>
      <w:r>
        <w:rPr>
          <w:rFonts w:ascii="Times New Roman" w:hAnsi="Times New Roman" w:eastAsia="仿宋" w:cs="Times New Roman"/>
          <w:sz w:val="32"/>
          <w:szCs w:val="32"/>
        </w:rPr>
        <w:t>2</w:t>
      </w:r>
      <w:r>
        <w:rPr>
          <w:rFonts w:ascii="Times New Roman" w:hAnsi="仿宋" w:eastAsia="仿宋" w:cs="Times New Roman"/>
          <w:sz w:val="32"/>
          <w:szCs w:val="32"/>
        </w:rPr>
        <w:t>月</w:t>
      </w:r>
      <w:r>
        <w:rPr>
          <w:rFonts w:ascii="Times New Roman" w:hAnsi="Times New Roman" w:eastAsia="仿宋" w:cs="Times New Roman"/>
          <w:sz w:val="32"/>
          <w:szCs w:val="32"/>
        </w:rPr>
        <w:t>28</w:t>
      </w:r>
      <w:r>
        <w:rPr>
          <w:rFonts w:ascii="Times New Roman" w:hAnsi="仿宋" w:eastAsia="仿宋" w:cs="Times New Roman"/>
          <w:sz w:val="32"/>
          <w:szCs w:val="32"/>
        </w:rPr>
        <w:t>日制定了我县《关于加快解决县城国有土地上已售城镇住宅和老旧小区不动产登记历史遗留问题的意见》（涞政函〔</w:t>
      </w:r>
      <w:r>
        <w:rPr>
          <w:rFonts w:ascii="Times New Roman" w:hAnsi="Times New Roman" w:eastAsia="仿宋" w:cs="Times New Roman"/>
          <w:sz w:val="32"/>
          <w:szCs w:val="32"/>
        </w:rPr>
        <w:t>2022</w:t>
      </w:r>
      <w:r>
        <w:rPr>
          <w:rFonts w:ascii="Times New Roman" w:hAnsi="仿宋" w:eastAsia="仿宋" w:cs="Times New Roman"/>
          <w:sz w:val="32"/>
          <w:szCs w:val="32"/>
        </w:rPr>
        <w:t>〕</w:t>
      </w:r>
      <w:r>
        <w:rPr>
          <w:rFonts w:ascii="Times New Roman" w:hAnsi="Times New Roman" w:eastAsia="仿宋" w:cs="Times New Roman"/>
          <w:sz w:val="32"/>
          <w:szCs w:val="32"/>
        </w:rPr>
        <w:t>6</w:t>
      </w:r>
      <w:r>
        <w:rPr>
          <w:rFonts w:ascii="Times New Roman" w:hAnsi="仿宋" w:eastAsia="仿宋" w:cs="Times New Roman"/>
          <w:sz w:val="32"/>
          <w:szCs w:val="32"/>
        </w:rPr>
        <w:t>号），规定</w:t>
      </w:r>
      <w:r>
        <w:rPr>
          <w:rFonts w:ascii="Times New Roman" w:hAnsi="Times New Roman" w:eastAsia="仿宋" w:cs="Times New Roman"/>
          <w:sz w:val="32"/>
          <w:szCs w:val="32"/>
        </w:rPr>
        <w:t>“</w:t>
      </w:r>
      <w:r>
        <w:rPr>
          <w:rFonts w:ascii="Times New Roman" w:hAnsi="仿宋" w:eastAsia="仿宋" w:cs="Times New Roman"/>
          <w:sz w:val="32"/>
          <w:szCs w:val="32"/>
        </w:rPr>
        <w:t>国有土地上已经出售的商业、办公、工业等房屋涉及的历史遗留问题可参照执行。</w:t>
      </w:r>
      <w:r>
        <w:rPr>
          <w:rFonts w:ascii="Times New Roman" w:hAnsi="Times New Roman" w:eastAsia="仿宋" w:cs="Times New Roman"/>
          <w:sz w:val="32"/>
          <w:szCs w:val="32"/>
        </w:rPr>
        <w:t>”</w:t>
      </w:r>
      <w:r>
        <w:rPr>
          <w:rFonts w:hint="eastAsia" w:ascii="Times New Roman" w:hAnsi="Times New Roman" w:eastAsia="仿宋" w:cs="Times New Roman"/>
          <w:sz w:val="32"/>
          <w:szCs w:val="32"/>
        </w:rPr>
        <w:t xml:space="preserve"> 以上各级政府及部门制定的</w:t>
      </w:r>
      <w:r>
        <w:rPr>
          <w:rFonts w:ascii="Times New Roman" w:hAnsi="仿宋" w:eastAsia="仿宋" w:cs="Times New Roman"/>
          <w:sz w:val="32"/>
          <w:szCs w:val="32"/>
        </w:rPr>
        <w:t>相关文件均是针对国有土地上不动产</w:t>
      </w:r>
      <w:r>
        <w:rPr>
          <w:rFonts w:hint="eastAsia" w:ascii="Times New Roman" w:hAnsi="仿宋" w:eastAsia="仿宋" w:cs="Times New Roman"/>
          <w:sz w:val="32"/>
          <w:szCs w:val="32"/>
        </w:rPr>
        <w:t>登记</w:t>
      </w:r>
      <w:r>
        <w:rPr>
          <w:rFonts w:ascii="Times New Roman" w:hAnsi="仿宋" w:eastAsia="仿宋" w:cs="Times New Roman"/>
          <w:sz w:val="32"/>
          <w:szCs w:val="32"/>
        </w:rPr>
        <w:t>遗留问题进行化解</w:t>
      </w:r>
      <w:r>
        <w:rPr>
          <w:rFonts w:hint="eastAsia" w:ascii="Times New Roman" w:hAnsi="仿宋" w:eastAsia="仿宋" w:cs="Times New Roman"/>
          <w:sz w:val="32"/>
          <w:szCs w:val="32"/>
        </w:rPr>
        <w:t>，</w:t>
      </w:r>
      <w:r>
        <w:rPr>
          <w:rFonts w:ascii="Times New Roman" w:hAnsi="仿宋" w:eastAsia="仿宋" w:cs="Times New Roman"/>
          <w:sz w:val="32"/>
          <w:szCs w:val="32"/>
        </w:rPr>
        <w:t>因此</w:t>
      </w:r>
      <w:r>
        <w:rPr>
          <w:rFonts w:hint="eastAsia" w:ascii="Times New Roman" w:hAnsi="仿宋" w:eastAsia="仿宋" w:cs="Times New Roman"/>
          <w:sz w:val="32"/>
          <w:szCs w:val="32"/>
        </w:rPr>
        <w:t>我县历史形成的商铺</w:t>
      </w:r>
      <w:r>
        <w:rPr>
          <w:rFonts w:ascii="Times New Roman" w:hAnsi="仿宋" w:eastAsia="仿宋" w:cs="Times New Roman"/>
          <w:sz w:val="32"/>
          <w:szCs w:val="32"/>
        </w:rPr>
        <w:t>作为不动产遗留问题一直持续至今。</w:t>
      </w:r>
    </w:p>
    <w:p>
      <w:pPr>
        <w:pStyle w:val="5"/>
        <w:shd w:val="clear" w:color="auto" w:fill="FFFFFF"/>
        <w:spacing w:before="0" w:beforeAutospacing="0" w:after="0" w:afterAutospacing="0"/>
        <w:ind w:firstLine="640" w:firstLineChars="200"/>
        <w:rPr>
          <w:rFonts w:ascii="Times New Roman" w:hAnsi="仿宋" w:eastAsia="仿宋" w:cs="Times New Roman"/>
          <w:sz w:val="32"/>
          <w:szCs w:val="32"/>
        </w:rPr>
      </w:pPr>
      <w:r>
        <w:rPr>
          <w:rFonts w:ascii="Times New Roman" w:hAnsi="仿宋" w:eastAsia="仿宋" w:cs="Times New Roman"/>
          <w:sz w:val="32"/>
          <w:szCs w:val="32"/>
        </w:rPr>
        <w:t>经了解，我县城区商铺遗留问题形成原因复杂多样，涉及道路改扩建安置、城镇面貌提升改造、自有房屋改建、合资合作建房、违法建造等各种方式形成，</w:t>
      </w:r>
      <w:r>
        <w:rPr>
          <w:rFonts w:hint="eastAsia" w:ascii="Times New Roman" w:hAnsi="仿宋" w:eastAsia="仿宋" w:cs="Times New Roman"/>
          <w:sz w:val="32"/>
          <w:szCs w:val="32"/>
        </w:rPr>
        <w:t>有的</w:t>
      </w:r>
      <w:r>
        <w:rPr>
          <w:rFonts w:ascii="Times New Roman" w:hAnsi="仿宋" w:eastAsia="仿宋" w:cs="Times New Roman"/>
          <w:sz w:val="32"/>
          <w:szCs w:val="32"/>
        </w:rPr>
        <w:t>不符合相关规划</w:t>
      </w:r>
      <w:r>
        <w:rPr>
          <w:rFonts w:hint="eastAsia" w:ascii="Times New Roman" w:hAnsi="仿宋" w:eastAsia="仿宋" w:cs="Times New Roman"/>
          <w:sz w:val="32"/>
          <w:szCs w:val="32"/>
        </w:rPr>
        <w:t>，有的符合规划但没有违法处罚到位不能</w:t>
      </w:r>
      <w:r>
        <w:rPr>
          <w:rFonts w:ascii="Times New Roman" w:hAnsi="仿宋" w:eastAsia="仿宋" w:cs="Times New Roman"/>
          <w:sz w:val="32"/>
          <w:szCs w:val="32"/>
        </w:rPr>
        <w:t>办理土地转用征收审批手续，土地性质仍为集体土地性质，同时也未纳入</w:t>
      </w:r>
      <w:r>
        <w:rPr>
          <w:rFonts w:hint="eastAsia" w:ascii="Times New Roman" w:hAnsi="仿宋" w:eastAsia="仿宋" w:cs="Times New Roman"/>
          <w:sz w:val="32"/>
          <w:szCs w:val="32"/>
        </w:rPr>
        <w:t>我</w:t>
      </w:r>
      <w:r>
        <w:rPr>
          <w:rFonts w:ascii="Times New Roman" w:hAnsi="仿宋" w:eastAsia="仿宋" w:cs="Times New Roman"/>
          <w:sz w:val="32"/>
          <w:szCs w:val="32"/>
        </w:rPr>
        <w:t>县</w:t>
      </w:r>
      <w:r>
        <w:rPr>
          <w:rFonts w:hint="eastAsia" w:ascii="Times New Roman" w:hAnsi="仿宋" w:eastAsia="仿宋" w:cs="Times New Roman"/>
          <w:sz w:val="32"/>
          <w:szCs w:val="32"/>
        </w:rPr>
        <w:t>解</w:t>
      </w:r>
      <w:r>
        <w:rPr>
          <w:rFonts w:ascii="Times New Roman" w:hAnsi="仿宋" w:eastAsia="仿宋" w:cs="Times New Roman"/>
          <w:sz w:val="32"/>
          <w:szCs w:val="32"/>
        </w:rPr>
        <w:t>决遗留问题的范围，无法参照以上文件予以解决，</w:t>
      </w:r>
      <w:r>
        <w:rPr>
          <w:rFonts w:hint="eastAsia" w:ascii="Times New Roman" w:hAnsi="仿宋" w:eastAsia="仿宋" w:cs="Times New Roman"/>
          <w:sz w:val="32"/>
          <w:szCs w:val="32"/>
        </w:rPr>
        <w:t>需先解决土地性质的转变。</w:t>
      </w:r>
    </w:p>
    <w:p>
      <w:pPr>
        <w:pStyle w:val="5"/>
        <w:shd w:val="clear" w:color="auto" w:fill="FFFFFF"/>
        <w:spacing w:before="0" w:beforeAutospacing="0" w:after="0" w:afterAutospacing="0"/>
        <w:ind w:firstLine="640" w:firstLineChars="200"/>
        <w:rPr>
          <w:rFonts w:ascii="Times New Roman" w:hAnsi="仿宋" w:eastAsia="仿宋" w:cs="Times New Roman"/>
          <w:sz w:val="32"/>
          <w:szCs w:val="32"/>
        </w:rPr>
      </w:pPr>
      <w:r>
        <w:rPr>
          <w:rFonts w:ascii="Times New Roman" w:hAnsi="Times New Roman" w:eastAsia="仿宋" w:cs="Times New Roman"/>
          <w:sz w:val="32"/>
          <w:szCs w:val="32"/>
        </w:rPr>
        <w:t>2021</w:t>
      </w:r>
      <w:r>
        <w:rPr>
          <w:rFonts w:ascii="Times New Roman" w:hAnsi="仿宋" w:eastAsia="仿宋" w:cs="Times New Roman"/>
          <w:sz w:val="32"/>
          <w:szCs w:val="32"/>
        </w:rPr>
        <w:t>年新修</w:t>
      </w:r>
      <w:r>
        <w:rPr>
          <w:rFonts w:hint="eastAsia" w:ascii="Times New Roman" w:hAnsi="仿宋" w:eastAsia="仿宋" w:cs="Times New Roman"/>
          <w:sz w:val="32"/>
          <w:szCs w:val="32"/>
        </w:rPr>
        <w:t>改</w:t>
      </w:r>
      <w:r>
        <w:rPr>
          <w:rFonts w:ascii="Times New Roman" w:hAnsi="仿宋" w:eastAsia="仿宋" w:cs="Times New Roman"/>
          <w:sz w:val="32"/>
          <w:szCs w:val="32"/>
        </w:rPr>
        <w:t>的《中华人民共和国土地管理法》已整体删除</w:t>
      </w:r>
      <w:r>
        <w:rPr>
          <w:rFonts w:hint="eastAsia" w:ascii="Times New Roman" w:hAnsi="仿宋" w:eastAsia="仿宋" w:cs="Times New Roman"/>
          <w:sz w:val="32"/>
          <w:szCs w:val="32"/>
        </w:rPr>
        <w:t>原</w:t>
      </w:r>
      <w:r>
        <w:rPr>
          <w:rFonts w:ascii="Times New Roman" w:hAnsi="仿宋" w:eastAsia="仿宋" w:cs="Times New Roman"/>
          <w:sz w:val="32"/>
          <w:szCs w:val="32"/>
        </w:rPr>
        <w:t>《中华人民共和国土地管理法》</w:t>
      </w:r>
      <w:r>
        <w:rPr>
          <w:rFonts w:ascii="Times New Roman" w:hAnsi="仿宋" w:eastAsia="仿宋" w:cs="Times New Roman"/>
          <w:b/>
          <w:bCs/>
          <w:sz w:val="32"/>
          <w:szCs w:val="32"/>
        </w:rPr>
        <w:t>第四十三条</w:t>
      </w:r>
      <w:r>
        <w:rPr>
          <w:rFonts w:hint="eastAsia" w:ascii="Times New Roman" w:hAnsi="仿宋" w:eastAsia="仿宋" w:cs="Times New Roman"/>
          <w:b/>
          <w:bCs/>
          <w:sz w:val="32"/>
          <w:szCs w:val="32"/>
        </w:rPr>
        <w:t>“</w:t>
      </w:r>
      <w:r>
        <w:rPr>
          <w:rFonts w:ascii="Times New Roman" w:hAnsi="仿宋" w:eastAsia="仿宋" w:cs="Times New Roman"/>
          <w:sz w:val="32"/>
          <w:szCs w:val="32"/>
        </w:rPr>
        <w:t>任何单位和个人进行建设，需要使用土地的，必须依法申请使用国有土地；但是，兴办乡镇企业和村民建设住宅经依法批准使用本集体经济组织农民集体所有的土地的，或者乡（镇）村公共设施和公益事业建设经依法批准使用农民集体所有的土地的除外。前款所称依法申请使用的国有土地包括国家所有的土地和国家征收的原属于农民集体所有的土地</w:t>
      </w:r>
      <w:r>
        <w:rPr>
          <w:rFonts w:ascii="Times New Roman" w:hAnsi="Times New Roman" w:eastAsia="仿宋" w:cs="Times New Roman"/>
          <w:sz w:val="32"/>
          <w:szCs w:val="32"/>
        </w:rPr>
        <w:t>”</w:t>
      </w:r>
      <w:r>
        <w:rPr>
          <w:rFonts w:ascii="Times New Roman" w:hAnsi="仿宋" w:eastAsia="仿宋" w:cs="Times New Roman"/>
          <w:sz w:val="32"/>
          <w:szCs w:val="32"/>
        </w:rPr>
        <w:t>的相关规定。</w:t>
      </w:r>
      <w:r>
        <w:rPr>
          <w:rFonts w:hint="eastAsia" w:ascii="Times New Roman" w:hAnsi="仿宋" w:eastAsia="仿宋" w:cs="Times New Roman"/>
          <w:sz w:val="32"/>
          <w:szCs w:val="32"/>
        </w:rPr>
        <w:t>”</w:t>
      </w:r>
    </w:p>
    <w:p>
      <w:pPr>
        <w:pStyle w:val="5"/>
        <w:shd w:val="clear" w:color="auto" w:fill="FFFFFF"/>
        <w:spacing w:before="0" w:beforeAutospacing="0" w:after="0" w:afterAutospacing="0"/>
        <w:ind w:firstLine="640" w:firstLineChars="200"/>
        <w:rPr>
          <w:rFonts w:ascii="Times New Roman" w:hAnsi="Times New Roman" w:eastAsia="仿宋" w:cs="Times New Roman"/>
          <w:sz w:val="32"/>
          <w:szCs w:val="32"/>
        </w:rPr>
      </w:pPr>
      <w:r>
        <w:rPr>
          <w:rFonts w:hint="eastAsia" w:ascii="Times New Roman" w:hAnsi="仿宋" w:eastAsia="仿宋" w:cs="Times New Roman"/>
          <w:sz w:val="32"/>
          <w:szCs w:val="32"/>
        </w:rPr>
        <w:t>同时，新</w:t>
      </w:r>
      <w:r>
        <w:rPr>
          <w:rFonts w:ascii="Times New Roman" w:hAnsi="仿宋" w:eastAsia="仿宋" w:cs="Times New Roman"/>
          <w:sz w:val="32"/>
          <w:szCs w:val="32"/>
        </w:rPr>
        <w:t>《中华人民共和国土地管理法》</w:t>
      </w:r>
      <w:r>
        <w:rPr>
          <w:rFonts w:hint="eastAsia" w:ascii="Times New Roman" w:hAnsi="仿宋" w:eastAsia="仿宋" w:cs="Times New Roman"/>
          <w:sz w:val="32"/>
          <w:szCs w:val="32"/>
        </w:rPr>
        <w:t>进一步缩小了征地范围，第四十五条明确规定为了公共利益可以征收集体土地的六种情形，且需同时满足符合国民经济和社会发展规划、土地利用总体规划、城乡规划和专项规划等其他条件。遗留的商铺属于经营性商业用地，即使按照第四十五条“第（五）在土地利用总体规划确定的城镇建设用地范围内，经省级以上人民政府批准由县级以上地方人民政府组织实施的成片开发建设需要用地的；”的情形也需要符合相关标准方可，因此从目前的法律和政策来看，暂不具备征收为国有建设用地的报批条件。</w:t>
      </w:r>
    </w:p>
    <w:p>
      <w:pPr>
        <w:pStyle w:val="5"/>
        <w:shd w:val="clear" w:color="auto" w:fill="FFFFFF"/>
        <w:spacing w:before="0" w:beforeAutospacing="0" w:after="0" w:afterAutospacing="0"/>
        <w:ind w:firstLine="640" w:firstLineChars="200"/>
        <w:rPr>
          <w:rFonts w:ascii="Times New Roman" w:hAnsi="仿宋" w:eastAsia="仿宋" w:cs="Times New Roman"/>
          <w:sz w:val="32"/>
          <w:szCs w:val="32"/>
        </w:rPr>
      </w:pPr>
      <w:r>
        <w:rPr>
          <w:rFonts w:ascii="Times New Roman" w:hAnsi="Times New Roman" w:eastAsia="仿宋" w:cs="Times New Roman"/>
          <w:sz w:val="32"/>
          <w:szCs w:val="32"/>
        </w:rPr>
        <w:t>2022</w:t>
      </w:r>
      <w:r>
        <w:rPr>
          <w:rFonts w:ascii="Times New Roman" w:hAnsi="仿宋" w:eastAsia="仿宋" w:cs="Times New Roman"/>
          <w:sz w:val="32"/>
          <w:szCs w:val="32"/>
        </w:rPr>
        <w:t>年</w:t>
      </w:r>
      <w:r>
        <w:rPr>
          <w:rFonts w:ascii="Times New Roman" w:hAnsi="Times New Roman" w:eastAsia="仿宋" w:cs="Times New Roman"/>
          <w:sz w:val="32"/>
          <w:szCs w:val="32"/>
        </w:rPr>
        <w:t>9</w:t>
      </w:r>
      <w:r>
        <w:rPr>
          <w:rFonts w:ascii="Times New Roman" w:hAnsi="仿宋" w:eastAsia="仿宋" w:cs="Times New Roman"/>
          <w:sz w:val="32"/>
          <w:szCs w:val="32"/>
        </w:rPr>
        <w:t>月，中央深改委第二十七次会议明确集体营性建设用地入市要再行试点，暂缓全面推开</w:t>
      </w:r>
      <w:r>
        <w:rPr>
          <w:rFonts w:hint="eastAsia" w:ascii="Times New Roman" w:hAnsi="仿宋" w:eastAsia="仿宋" w:cs="Times New Roman"/>
          <w:sz w:val="32"/>
          <w:szCs w:val="32"/>
        </w:rPr>
        <w:t>。我县并非试点县，且有些商铺用地在原城乡规划中并非商业用地，也不符合集体经营性建设用地必须符合国土空间规划的前置条件，同时对于在城镇规划范围内是否可以以集体经营性用地方式报批目前尚无明确规定。</w:t>
      </w:r>
    </w:p>
    <w:p>
      <w:pPr>
        <w:spacing w:line="560" w:lineRule="exact"/>
        <w:ind w:firstLine="640" w:firstLineChars="200"/>
        <w:rPr>
          <w:rFonts w:eastAsia="仿宋"/>
          <w:sz w:val="32"/>
          <w:szCs w:val="32"/>
        </w:rPr>
      </w:pPr>
      <w:r>
        <w:rPr>
          <w:rFonts w:hAnsi="仿宋" w:eastAsia="仿宋"/>
          <w:sz w:val="32"/>
          <w:szCs w:val="32"/>
        </w:rPr>
        <w:t>为进一步推进遗留问题的解决，根据省、市、县出台的解决房地产历史遗留问题的相关文件，需完善以下手续才能申请办理不动产登记手续：</w:t>
      </w:r>
    </w:p>
    <w:p>
      <w:pPr>
        <w:spacing w:line="560" w:lineRule="exact"/>
        <w:ind w:firstLine="640" w:firstLineChars="200"/>
        <w:rPr>
          <w:rFonts w:eastAsia="仿宋"/>
          <w:sz w:val="32"/>
          <w:szCs w:val="32"/>
        </w:rPr>
      </w:pPr>
      <w:r>
        <w:rPr>
          <w:rFonts w:hAnsi="仿宋" w:eastAsia="仿宋"/>
          <w:sz w:val="32"/>
          <w:szCs w:val="32"/>
        </w:rPr>
        <w:t>一、对以上商铺待国土空间规划批准实施后按规划执行</w:t>
      </w:r>
      <w:r>
        <w:rPr>
          <w:rFonts w:eastAsia="仿宋"/>
          <w:sz w:val="32"/>
          <w:szCs w:val="32"/>
        </w:rPr>
        <w:t>,</w:t>
      </w:r>
      <w:r>
        <w:rPr>
          <w:rFonts w:hAnsi="仿宋" w:eastAsia="仿宋"/>
          <w:sz w:val="32"/>
          <w:szCs w:val="32"/>
        </w:rPr>
        <w:t>同时依据现行</w:t>
      </w:r>
      <w:r>
        <w:rPr>
          <w:rFonts w:hint="eastAsia" w:hAnsi="仿宋" w:eastAsia="仿宋"/>
          <w:sz w:val="32"/>
          <w:szCs w:val="32"/>
        </w:rPr>
        <w:t>规定</w:t>
      </w:r>
      <w:r>
        <w:rPr>
          <w:rFonts w:hAnsi="仿宋" w:eastAsia="仿宋"/>
          <w:sz w:val="32"/>
          <w:szCs w:val="32"/>
        </w:rPr>
        <w:t>进行依法处理后，再报省政府进行土地审批。</w:t>
      </w:r>
    </w:p>
    <w:p>
      <w:pPr>
        <w:spacing w:line="560" w:lineRule="exact"/>
        <w:ind w:firstLine="640" w:firstLineChars="200"/>
        <w:rPr>
          <w:rFonts w:eastAsia="仿宋"/>
          <w:sz w:val="32"/>
          <w:szCs w:val="32"/>
        </w:rPr>
      </w:pPr>
      <w:r>
        <w:rPr>
          <w:rFonts w:hAnsi="仿宋" w:eastAsia="仿宋"/>
          <w:sz w:val="32"/>
          <w:szCs w:val="32"/>
        </w:rPr>
        <w:t>二、取得省政府批复后，套合现行规划后以协议出让方式补办用地手续，出让底价根据土地估价结果、供地政策、土地市场行情和建设项目具体情况等，集体决策，综合确定。出让合同签订完后后并缴纳完出让金等相关税费，再申请办理国有建设用地不动产权证书。</w:t>
      </w:r>
    </w:p>
    <w:p>
      <w:pPr>
        <w:spacing w:line="560" w:lineRule="exact"/>
        <w:ind w:firstLine="640" w:firstLineChars="200"/>
        <w:rPr>
          <w:rFonts w:eastAsia="仿宋"/>
          <w:sz w:val="32"/>
          <w:szCs w:val="32"/>
        </w:rPr>
      </w:pPr>
      <w:r>
        <w:rPr>
          <w:rFonts w:hAnsi="仿宋" w:eastAsia="仿宋"/>
          <w:sz w:val="32"/>
          <w:szCs w:val="32"/>
        </w:rPr>
        <w:t>三、取得国有建设用地不动产权证书后按现状进行建筑规划核实，对违法部分处以工程造价</w:t>
      </w:r>
      <w:r>
        <w:rPr>
          <w:rFonts w:eastAsia="仿宋"/>
          <w:sz w:val="32"/>
          <w:szCs w:val="32"/>
        </w:rPr>
        <w:t>5%</w:t>
      </w:r>
      <w:r>
        <w:rPr>
          <w:rFonts w:hAnsi="仿宋" w:eastAsia="仿宋"/>
          <w:sz w:val="32"/>
          <w:szCs w:val="32"/>
        </w:rPr>
        <w:t>的罚款进行处罚，处罚完成后按现状出具规划认定说明。</w:t>
      </w:r>
    </w:p>
    <w:p>
      <w:pPr>
        <w:spacing w:line="560" w:lineRule="exact"/>
        <w:ind w:firstLine="640" w:firstLineChars="200"/>
        <w:rPr>
          <w:rFonts w:eastAsia="仿宋"/>
          <w:sz w:val="32"/>
          <w:szCs w:val="32"/>
        </w:rPr>
      </w:pPr>
      <w:r>
        <w:rPr>
          <w:rFonts w:hAnsi="仿宋" w:eastAsia="仿宋"/>
          <w:sz w:val="32"/>
          <w:szCs w:val="32"/>
        </w:rPr>
        <w:t>四、由住建部门委托具备相应资格的检测机构对房屋实体进行质量检测，并出具经住建部门认可、满足质量要求的检测报告。</w:t>
      </w:r>
    </w:p>
    <w:p>
      <w:pPr>
        <w:spacing w:line="560" w:lineRule="exact"/>
        <w:ind w:firstLine="640" w:firstLineChars="200"/>
        <w:rPr>
          <w:rFonts w:eastAsia="仿宋"/>
          <w:sz w:val="32"/>
          <w:szCs w:val="32"/>
        </w:rPr>
      </w:pPr>
      <w:r>
        <w:rPr>
          <w:rFonts w:hAnsi="仿宋" w:eastAsia="仿宋"/>
          <w:sz w:val="32"/>
          <w:szCs w:val="32"/>
        </w:rPr>
        <w:t>以上手续完成后，由商铺的产权人准备好国有建设用地不动产权证书、规划认定说明、质量检测报告，并按政策缴纳完成相关税费后到不动产登记中心申请办理不动产权手续。</w:t>
      </w:r>
    </w:p>
    <w:p>
      <w:pPr>
        <w:widowControl/>
        <w:shd w:val="clear" w:color="auto" w:fill="FFFFFF"/>
        <w:spacing w:line="540" w:lineRule="atLeast"/>
        <w:ind w:firstLine="636"/>
        <w:rPr>
          <w:rFonts w:ascii="仿宋" w:hAnsi="仿宋" w:eastAsia="仿宋" w:cs="仿宋_GB2312"/>
          <w:sz w:val="32"/>
          <w:szCs w:val="32"/>
        </w:rPr>
      </w:pPr>
      <w:r>
        <w:rPr>
          <w:rFonts w:hint="eastAsia" w:ascii="仿宋" w:hAnsi="仿宋" w:eastAsia="仿宋"/>
          <w:sz w:val="32"/>
          <w:szCs w:val="32"/>
        </w:rPr>
        <w:t>该提案解在解民生、办实事方面提出了很好的</w:t>
      </w:r>
      <w:r>
        <w:rPr>
          <w:rFonts w:hint="eastAsia" w:ascii="仿宋" w:hAnsi="仿宋" w:eastAsia="仿宋" w:cs="仿宋_GB2312"/>
          <w:sz w:val="32"/>
          <w:szCs w:val="32"/>
        </w:rPr>
        <w:t>建议，下一步我局将会同相关部门，</w:t>
      </w:r>
      <w:r>
        <w:rPr>
          <w:rFonts w:ascii="仿宋" w:hAnsi="仿宋" w:eastAsia="仿宋" w:cs="仿宋_GB2312"/>
          <w:sz w:val="32"/>
          <w:szCs w:val="32"/>
        </w:rPr>
        <w:t>本着尊重历史、面对现实、</w:t>
      </w:r>
      <w:r>
        <w:rPr>
          <w:rFonts w:hint="eastAsia" w:ascii="仿宋" w:hAnsi="仿宋" w:eastAsia="仿宋" w:cs="仿宋_GB2312"/>
          <w:sz w:val="32"/>
          <w:szCs w:val="32"/>
        </w:rPr>
        <w:t>依法依规</w:t>
      </w:r>
      <w:r>
        <w:rPr>
          <w:rFonts w:ascii="仿宋" w:hAnsi="仿宋" w:eastAsia="仿宋" w:cs="仿宋_GB2312"/>
          <w:sz w:val="32"/>
          <w:szCs w:val="32"/>
        </w:rPr>
        <w:t>的原则，用足用活政策，</w:t>
      </w:r>
      <w:r>
        <w:rPr>
          <w:rFonts w:hint="eastAsia" w:ascii="仿宋" w:hAnsi="仿宋" w:eastAsia="仿宋" w:cs="仿宋_GB2312"/>
          <w:sz w:val="32"/>
          <w:szCs w:val="32"/>
        </w:rPr>
        <w:t>破解难题，</w:t>
      </w:r>
      <w:r>
        <w:rPr>
          <w:rFonts w:ascii="仿宋" w:hAnsi="仿宋" w:eastAsia="仿宋" w:cs="仿宋_GB2312"/>
          <w:sz w:val="32"/>
          <w:szCs w:val="32"/>
        </w:rPr>
        <w:t>着力研究解决</w:t>
      </w:r>
      <w:r>
        <w:rPr>
          <w:rFonts w:hint="eastAsia" w:ascii="仿宋" w:hAnsi="仿宋" w:eastAsia="仿宋" w:cs="仿宋_GB2312"/>
          <w:sz w:val="32"/>
          <w:szCs w:val="32"/>
        </w:rPr>
        <w:t>商铺</w:t>
      </w:r>
      <w:r>
        <w:rPr>
          <w:rFonts w:ascii="仿宋" w:hAnsi="仿宋" w:eastAsia="仿宋" w:cs="仿宋_GB2312"/>
          <w:sz w:val="32"/>
          <w:szCs w:val="32"/>
        </w:rPr>
        <w:t>历史遗留问题</w:t>
      </w:r>
      <w:r>
        <w:rPr>
          <w:rFonts w:hint="eastAsia" w:ascii="仿宋" w:hAnsi="仿宋" w:eastAsia="仿宋" w:cs="仿宋_GB2312"/>
          <w:sz w:val="32"/>
          <w:szCs w:val="32"/>
        </w:rPr>
        <w:t>。</w:t>
      </w:r>
    </w:p>
    <w:p>
      <w:pPr>
        <w:widowControl/>
        <w:shd w:val="clear" w:color="auto" w:fill="FFFFFF"/>
        <w:spacing w:line="540" w:lineRule="atLeast"/>
        <w:ind w:firstLine="636"/>
        <w:rPr>
          <w:rFonts w:eastAsia="微软雅黑"/>
          <w:color w:val="000000"/>
          <w:kern w:val="0"/>
        </w:rPr>
      </w:pPr>
      <w:r>
        <w:rPr>
          <w:rFonts w:hAnsi="仿宋" w:eastAsia="仿宋"/>
          <w:color w:val="000000"/>
          <w:kern w:val="0"/>
          <w:sz w:val="32"/>
          <w:szCs w:val="32"/>
        </w:rPr>
        <w:t>感谢您对我县自然资源管理工作的关心与支持，并期待您继续对自然资源管理工作提出宝贵的意见和建议。</w:t>
      </w:r>
    </w:p>
    <w:p>
      <w:pPr>
        <w:spacing w:line="560" w:lineRule="exact"/>
        <w:ind w:firstLine="640" w:firstLineChars="200"/>
        <w:rPr>
          <w:rFonts w:eastAsia="仿宋"/>
          <w:sz w:val="32"/>
          <w:szCs w:val="32"/>
        </w:rPr>
      </w:pPr>
    </w:p>
    <w:p>
      <w:pPr>
        <w:spacing w:line="560" w:lineRule="exact"/>
        <w:ind w:firstLine="640" w:firstLineChars="200"/>
        <w:rPr>
          <w:rFonts w:eastAsia="仿宋"/>
          <w:sz w:val="32"/>
          <w:szCs w:val="32"/>
        </w:rPr>
      </w:pPr>
    </w:p>
    <w:p>
      <w:pPr>
        <w:spacing w:line="560" w:lineRule="exact"/>
        <w:ind w:firstLine="4960" w:firstLineChars="1550"/>
        <w:rPr>
          <w:rFonts w:hAnsi="仿宋" w:eastAsia="仿宋"/>
          <w:sz w:val="32"/>
          <w:szCs w:val="32"/>
        </w:rPr>
      </w:pPr>
      <w:r>
        <w:rPr>
          <w:rFonts w:eastAsia="仿宋"/>
          <w:sz w:val="32"/>
          <w:szCs w:val="32"/>
        </w:rPr>
        <w:t>2023</w:t>
      </w:r>
      <w:r>
        <w:rPr>
          <w:rFonts w:hAnsi="仿宋" w:eastAsia="仿宋"/>
          <w:sz w:val="32"/>
          <w:szCs w:val="32"/>
        </w:rPr>
        <w:t>年</w:t>
      </w:r>
      <w:r>
        <w:rPr>
          <w:rFonts w:hint="eastAsia" w:eastAsia="仿宋"/>
          <w:sz w:val="32"/>
          <w:szCs w:val="32"/>
        </w:rPr>
        <w:t>8</w:t>
      </w:r>
      <w:r>
        <w:rPr>
          <w:rFonts w:hAnsi="仿宋" w:eastAsia="仿宋"/>
          <w:sz w:val="32"/>
          <w:szCs w:val="32"/>
        </w:rPr>
        <w:t>月</w:t>
      </w:r>
      <w:r>
        <w:rPr>
          <w:rFonts w:eastAsia="仿宋"/>
          <w:sz w:val="32"/>
          <w:szCs w:val="32"/>
        </w:rPr>
        <w:t>2</w:t>
      </w:r>
      <w:r>
        <w:rPr>
          <w:rFonts w:hint="eastAsia" w:eastAsia="仿宋"/>
          <w:sz w:val="32"/>
          <w:szCs w:val="32"/>
        </w:rPr>
        <w:t>4</w:t>
      </w:r>
      <w:r>
        <w:rPr>
          <w:rFonts w:hAnsi="仿宋" w:eastAsia="仿宋"/>
          <w:sz w:val="32"/>
          <w:szCs w:val="32"/>
        </w:rPr>
        <w:t>日</w:t>
      </w:r>
    </w:p>
    <w:p>
      <w:pPr>
        <w:spacing w:line="560" w:lineRule="exact"/>
        <w:ind w:firstLine="4960" w:firstLineChars="1550"/>
        <w:rPr>
          <w:rFonts w:hAnsi="仿宋" w:eastAsia="仿宋"/>
          <w:sz w:val="32"/>
          <w:szCs w:val="32"/>
        </w:rPr>
      </w:pPr>
    </w:p>
    <w:p>
      <w:pPr>
        <w:rPr>
          <w:rFonts w:ascii="仿宋" w:hAnsi="仿宋" w:eastAsia="仿宋" w:cs="仿宋"/>
          <w:sz w:val="32"/>
          <w:szCs w:val="32"/>
        </w:rPr>
      </w:pPr>
    </w:p>
    <w:p>
      <w:pPr>
        <w:rPr>
          <w:rFonts w:ascii="仿宋" w:hAnsi="仿宋" w:eastAsia="仿宋" w:cs="仿宋"/>
          <w:sz w:val="32"/>
          <w:szCs w:val="32"/>
        </w:rPr>
      </w:pPr>
    </w:p>
    <w:p>
      <w:pPr>
        <w:rPr>
          <w:rFonts w:ascii="仿宋" w:hAnsi="仿宋" w:eastAsia="仿宋" w:cs="仿宋"/>
          <w:sz w:val="32"/>
          <w:szCs w:val="32"/>
        </w:rPr>
      </w:pPr>
      <w:r>
        <w:rPr>
          <w:rFonts w:hint="eastAsia" w:ascii="仿宋" w:hAnsi="仿宋" w:eastAsia="仿宋" w:cs="仿宋"/>
          <w:sz w:val="32"/>
          <w:szCs w:val="32"/>
        </w:rPr>
        <w:t xml:space="preserve">领导签发:     张  阳 </w:t>
      </w:r>
    </w:p>
    <w:p>
      <w:pPr>
        <w:rPr>
          <w:rFonts w:ascii="仿宋" w:hAnsi="仿宋" w:eastAsia="仿宋" w:cs="仿宋"/>
          <w:sz w:val="32"/>
          <w:szCs w:val="32"/>
        </w:rPr>
      </w:pPr>
      <w:r>
        <w:rPr>
          <w:rFonts w:hint="eastAsia" w:ascii="仿宋" w:hAnsi="仿宋" w:eastAsia="仿宋" w:cs="仿宋"/>
          <w:sz w:val="32"/>
          <w:szCs w:val="32"/>
        </w:rPr>
        <w:t>承办人及电话：李春雷  13231210215</w:t>
      </w:r>
    </w:p>
    <w:p>
      <w:pPr>
        <w:rPr>
          <w:rFonts w:hint="eastAsia" w:ascii="仿宋_GB2312" w:hAnsi="仿宋_GB2312" w:eastAsia="仿宋_GB2312" w:cs="仿宋_GB2312"/>
          <w:color w:val="000000"/>
          <w:kern w:val="0"/>
          <w:sz w:val="32"/>
          <w:szCs w:val="32"/>
        </w:rPr>
      </w:pPr>
      <w:r>
        <w:rPr>
          <w:rFonts w:hint="eastAsia" w:ascii="仿宋" w:hAnsi="仿宋" w:eastAsia="仿宋" w:cs="仿宋"/>
          <w:sz w:val="32"/>
          <w:szCs w:val="32"/>
        </w:rPr>
        <w:t>抄报：县政府办公室（116房间）</w:t>
      </w:r>
    </w:p>
    <w:sectPr>
      <w:footerReference r:id="rId3" w:type="default"/>
      <w:pgSz w:w="11906" w:h="16838"/>
      <w:pgMar w:top="1440" w:right="1588" w:bottom="1440" w:left="1588" w:header="851" w:footer="992" w:gutter="0"/>
      <w:pgNumType w:fmt="numberInDash"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大标宋简体">
    <w:panose1 w:val="02010601030101010101"/>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2</w:t>
                          </w:r>
                          <w:r>
                            <w:rPr>
                              <w:rFonts w:hint="eastAsia"/>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2</w:t>
                    </w:r>
                    <w:r>
                      <w:rPr>
                        <w:rFonts w:hint="eastAsia"/>
                        <w:sz w:val="24"/>
                        <w:szCs w:val="24"/>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E22A59"/>
    <w:rsid w:val="00052443"/>
    <w:rsid w:val="00275407"/>
    <w:rsid w:val="002869DE"/>
    <w:rsid w:val="0029199A"/>
    <w:rsid w:val="002C6872"/>
    <w:rsid w:val="00300444"/>
    <w:rsid w:val="00401197"/>
    <w:rsid w:val="004373E5"/>
    <w:rsid w:val="00457C6A"/>
    <w:rsid w:val="00584DA0"/>
    <w:rsid w:val="0059631E"/>
    <w:rsid w:val="006C07D1"/>
    <w:rsid w:val="006C4DEB"/>
    <w:rsid w:val="00727E4D"/>
    <w:rsid w:val="00736910"/>
    <w:rsid w:val="0095219F"/>
    <w:rsid w:val="00A46158"/>
    <w:rsid w:val="00AA20C0"/>
    <w:rsid w:val="00B2163A"/>
    <w:rsid w:val="00B53758"/>
    <w:rsid w:val="00C94144"/>
    <w:rsid w:val="00CE01B1"/>
    <w:rsid w:val="00CE73D2"/>
    <w:rsid w:val="00FD4643"/>
    <w:rsid w:val="021A0624"/>
    <w:rsid w:val="0C962A97"/>
    <w:rsid w:val="185A658E"/>
    <w:rsid w:val="243918C0"/>
    <w:rsid w:val="24F1517D"/>
    <w:rsid w:val="2B83525E"/>
    <w:rsid w:val="301D1074"/>
    <w:rsid w:val="30AA1D1C"/>
    <w:rsid w:val="32592AFA"/>
    <w:rsid w:val="349D199A"/>
    <w:rsid w:val="367757D5"/>
    <w:rsid w:val="3754108A"/>
    <w:rsid w:val="3A7C7AC5"/>
    <w:rsid w:val="40395292"/>
    <w:rsid w:val="44EE5F41"/>
    <w:rsid w:val="49B16387"/>
    <w:rsid w:val="4A0F7040"/>
    <w:rsid w:val="4C8220D7"/>
    <w:rsid w:val="4D6435F0"/>
    <w:rsid w:val="4DC6770F"/>
    <w:rsid w:val="4E422C2E"/>
    <w:rsid w:val="579F308E"/>
    <w:rsid w:val="57C06F6D"/>
    <w:rsid w:val="58103726"/>
    <w:rsid w:val="58A41E97"/>
    <w:rsid w:val="61073CF4"/>
    <w:rsid w:val="620C6981"/>
    <w:rsid w:val="62E22A59"/>
    <w:rsid w:val="71A73FED"/>
    <w:rsid w:val="721E4BC7"/>
    <w:rsid w:val="72C0608F"/>
    <w:rsid w:val="754F1414"/>
    <w:rsid w:val="77380622"/>
    <w:rsid w:val="79B66074"/>
    <w:rsid w:val="79FB4B42"/>
    <w:rsid w:val="7B884E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qFormat/>
    <w:uiPriority w:val="0"/>
    <w:rPr>
      <w:sz w:val="18"/>
      <w:szCs w:val="18"/>
    </w:rPr>
  </w:style>
  <w:style w:type="paragraph" w:styleId="3">
    <w:name w:val="footer"/>
    <w:basedOn w:val="1"/>
    <w:link w:val="9"/>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character" w:customStyle="1" w:styleId="8">
    <w:name w:val="页眉 Char"/>
    <w:basedOn w:val="7"/>
    <w:link w:val="4"/>
    <w:qFormat/>
    <w:uiPriority w:val="0"/>
    <w:rPr>
      <w:kern w:val="2"/>
      <w:sz w:val="18"/>
      <w:szCs w:val="18"/>
    </w:rPr>
  </w:style>
  <w:style w:type="character" w:customStyle="1" w:styleId="9">
    <w:name w:val="页脚 Char"/>
    <w:basedOn w:val="7"/>
    <w:link w:val="3"/>
    <w:qFormat/>
    <w:uiPriority w:val="0"/>
    <w:rPr>
      <w:kern w:val="2"/>
      <w:sz w:val="18"/>
      <w:szCs w:val="18"/>
    </w:rPr>
  </w:style>
  <w:style w:type="character" w:customStyle="1" w:styleId="10">
    <w:name w:val="批注框文本 Char"/>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1407;D&#30424;\Documents\3707-20190908\SL-GCH20201010\&#21150;&#20844;&#23460;&#30340;\2023&#24180;\&#32418;&#22836;&#25991;&#20214;&#27169;&#26495;\&#32418;&#22836;&#25991;&#20214;-&#25919;&#21327;&#25552;&#26696;&#31572;&#22797;.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红头文件-政协提案答复.dotx</Template>
  <Pages>2</Pages>
  <Words>125</Words>
  <Characters>141</Characters>
  <Lines>1</Lines>
  <Paragraphs>1</Paragraphs>
  <TotalTime>1</TotalTime>
  <ScaleCrop>false</ScaleCrop>
  <LinksUpToDate>false</LinksUpToDate>
  <CharactersWithSpaces>168</CharactersWithSpaces>
  <Application>WPS Office_11.8.6.8810_F1E327BC-269C-435d-A152-05C5408002CA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2023-09-04T07:54:00Z</dcterms:created>
  <dc:creator>WPS_121338642</dc:creator>
  <cp:lastModifiedBy>WPS_121338642</cp:lastModifiedBy>
  <dcterms:modified xsi:type="dcterms:W3CDTF">2023-09-04T08:59:13Z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ies>
</file>