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cs="仿宋"/>
          <w:sz w:val="48"/>
          <w:szCs w:val="48"/>
        </w:rPr>
      </w:pPr>
    </w:p>
    <w:p>
      <w:pPr>
        <w:spacing w:beforeLines="50"/>
        <w:rPr>
          <w:rFonts w:ascii="仿宋" w:hAnsi="仿宋" w:eastAsia="仿宋" w:cs="仿宋"/>
          <w:sz w:val="48"/>
          <w:szCs w:val="48"/>
        </w:rPr>
      </w:pPr>
    </w:p>
    <w:p>
      <w:pPr>
        <w:ind w:left="-2" w:leftChars="-200" w:right="-309" w:rightChars="-147" w:hanging="418" w:hangingChars="51"/>
        <w:jc w:val="center"/>
        <w:rPr>
          <w:rFonts w:ascii="方正大标宋简体" w:eastAsia="方正大标宋简体" w:hAnsiTheme="majorEastAsia" w:cstheme="majorEastAsia"/>
          <w:bCs/>
          <w:color w:val="FF0000"/>
          <w:sz w:val="82"/>
          <w:szCs w:val="82"/>
        </w:rPr>
      </w:pPr>
      <w:r>
        <w:rPr>
          <w:rFonts w:hint="eastAsia" w:ascii="方正大标宋简体" w:eastAsia="方正大标宋简体" w:hAnsiTheme="majorEastAsia" w:cstheme="majorEastAsia"/>
          <w:bCs/>
          <w:color w:val="FF0000"/>
          <w:sz w:val="82"/>
          <w:szCs w:val="82"/>
        </w:rPr>
        <w:t>涞源县自然资源和规划局</w:t>
      </w:r>
    </w:p>
    <w:p>
      <w:pPr>
        <w:jc w:val="center"/>
        <w:rPr>
          <w:rFonts w:ascii="仿宋" w:hAnsi="仿宋" w:eastAsia="仿宋" w:cs="仿宋"/>
          <w:sz w:val="84"/>
          <w:szCs w:val="84"/>
        </w:rPr>
      </w:pPr>
    </w:p>
    <w:p>
      <w:pPr>
        <w:jc w:val="right"/>
        <w:rPr>
          <w:rFonts w:hint="default" w:ascii="黑体" w:hAnsi="黑体" w:eastAsia="黑体" w:cs="黑体"/>
          <w:sz w:val="44"/>
          <w:szCs w:val="44"/>
          <w:lang w:val="en-US" w:eastAsia="zh-CN"/>
        </w:rPr>
      </w:pPr>
    </w:p>
    <w:p>
      <w:pPr>
        <w:jc w:val="right"/>
        <w:rPr>
          <w:rFonts w:hint="default" w:ascii="黑体" w:hAnsi="黑体" w:eastAsia="黑体" w:cs="黑体"/>
          <w:sz w:val="44"/>
          <w:szCs w:val="44"/>
          <w:lang w:val="en-US" w:eastAsia="zh-CN"/>
        </w:rPr>
      </w:pPr>
      <w:r>
        <w:rPr>
          <w:rFonts w:ascii="仿宋" w:hAnsi="仿宋" w:eastAsia="仿宋" w:cs="仿宋"/>
          <w:sz w:val="32"/>
          <w:szCs w:val="32"/>
        </w:rPr>
        <mc:AlternateContent>
          <mc:Choice Requires="wps">
            <w:drawing>
              <wp:anchor distT="0" distB="0" distL="114300" distR="114300" simplePos="0" relativeHeight="251662336" behindDoc="0" locked="0" layoutInCell="1" allowOverlap="1">
                <wp:simplePos x="0" y="0"/>
                <wp:positionH relativeFrom="column">
                  <wp:posOffset>-511810</wp:posOffset>
                </wp:positionH>
                <wp:positionV relativeFrom="paragraph">
                  <wp:posOffset>361950</wp:posOffset>
                </wp:positionV>
                <wp:extent cx="6384925" cy="635"/>
                <wp:effectExtent l="0" t="15875" r="15875" b="21590"/>
                <wp:wrapNone/>
                <wp:docPr id="2" name="直线 3"/>
                <wp:cNvGraphicFramePr/>
                <a:graphic xmlns:a="http://schemas.openxmlformats.org/drawingml/2006/main">
                  <a:graphicData uri="http://schemas.microsoft.com/office/word/2010/wordprocessingShape">
                    <wps:wsp>
                      <wps:cNvCnPr/>
                      <wps:spPr>
                        <a:xfrm flipH="1">
                          <a:off x="0" y="0"/>
                          <a:ext cx="2524125" cy="635"/>
                        </a:xfrm>
                        <a:prstGeom prst="line">
                          <a:avLst/>
                        </a:prstGeom>
                        <a:ln w="31750" cap="flat" cmpd="sng">
                          <a:solidFill>
                            <a:srgbClr val="FF0000"/>
                          </a:solidFill>
                          <a:prstDash val="solid"/>
                          <a:headEnd type="none" w="med" len="med"/>
                          <a:tailEnd type="none" w="med" len="med"/>
                        </a:ln>
                        <a:effectLst/>
                      </wps:spPr>
                      <wps:bodyPr upright="1"/>
                    </wps:wsp>
                  </a:graphicData>
                </a:graphic>
              </wp:anchor>
            </w:drawing>
          </mc:Choice>
          <mc:Fallback>
            <w:pict>
              <v:line id="直线 3" o:spid="_x0000_s1026" o:spt="20" style="position:absolute;left:0pt;flip:x;margin-left:-40.3pt;margin-top:28.5pt;height:0.05pt;width:502.75pt;z-index:251662336;mso-width-relative:page;mso-height-relative:page;" filled="f" stroked="t" coordsize="21600,21600" o:gfxdata="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Zzq5HYAAAACQEAAA8A&#10;AAAAAAAAAQAgAAAAIgAAAGRycy9kb3ducmV2LnhtbFBLAQIUABQAAAAIAIdO4kCW5jke3gEAAKgD&#10;AAAOAAAAAAAAAAEAIAAAACcBAABkcnMvZTJvRG9jLnhtbFBLBQYAAAAABgAGAFkBAAB3BQAAAAA=&#10;">
                <v:fill on="f" focussize="0,0"/>
                <v:stroke weight="2.5pt" color="#FF0000" joinstyle="round"/>
                <v:imagedata o:title=""/>
                <o:lock v:ext="edit" aspectratio="f"/>
              </v:line>
            </w:pict>
          </mc:Fallback>
        </mc:AlternateContent>
      </w:r>
    </w:p>
    <w:p>
      <w:pPr>
        <w:spacing w:line="560" w:lineRule="exact"/>
        <w:ind w:left="0" w:leftChars="0" w:firstLine="0" w:firstLineChars="0"/>
        <w:jc w:val="right"/>
        <w:rPr>
          <w:rFonts w:hint="eastAsia" w:ascii="仿宋" w:hAnsi="仿宋" w:eastAsia="仿宋"/>
          <w:color w:val="000000"/>
          <w:kern w:val="0"/>
          <w:sz w:val="32"/>
          <w:szCs w:val="32"/>
        </w:rPr>
      </w:pPr>
      <w:r>
        <w:rPr>
          <w:rFonts w:hint="eastAsia" w:ascii="仿宋" w:hAnsi="仿宋" w:eastAsia="仿宋"/>
          <w:color w:val="000000"/>
          <w:kern w:val="0"/>
          <w:sz w:val="32"/>
          <w:szCs w:val="32"/>
        </w:rPr>
        <w:t>是否同意公开：是</w:t>
      </w:r>
    </w:p>
    <w:p>
      <w:pPr>
        <w:spacing w:line="560" w:lineRule="exact"/>
        <w:ind w:left="0" w:leftChars="0" w:firstLine="0" w:firstLineChars="0"/>
        <w:jc w:val="right"/>
        <w:rPr>
          <w:rFonts w:hint="eastAsia" w:ascii="仿宋" w:hAnsi="仿宋" w:eastAsia="仿宋"/>
          <w:color w:val="000000"/>
          <w:kern w:val="0"/>
          <w:sz w:val="32"/>
          <w:szCs w:val="32"/>
        </w:rPr>
      </w:pPr>
      <w:r>
        <w:rPr>
          <w:rFonts w:hint="eastAsia" w:ascii="仿宋" w:hAnsi="仿宋" w:eastAsia="仿宋"/>
          <w:color w:val="000000"/>
          <w:kern w:val="0"/>
          <w:sz w:val="32"/>
          <w:szCs w:val="32"/>
        </w:rPr>
        <w:t>办理结果：C</w:t>
      </w:r>
    </w:p>
    <w:p>
      <w:pPr>
        <w:spacing w:line="560" w:lineRule="exact"/>
        <w:ind w:left="0" w:leftChars="0" w:firstLine="0" w:firstLineChars="0"/>
        <w:jc w:val="right"/>
        <w:rPr>
          <w:rFonts w:ascii="仿宋" w:hAnsi="仿宋" w:eastAsia="仿宋"/>
          <w:color w:val="000000"/>
          <w:kern w:val="0"/>
          <w:sz w:val="32"/>
          <w:szCs w:val="32"/>
        </w:rPr>
      </w:pPr>
      <w:r>
        <w:rPr>
          <w:rFonts w:hint="eastAsia" w:ascii="仿宋" w:hAnsi="仿宋" w:eastAsia="仿宋"/>
          <w:color w:val="000000"/>
          <w:kern w:val="0"/>
          <w:sz w:val="32"/>
          <w:szCs w:val="32"/>
        </w:rPr>
        <w:t>涞自然资规</w:t>
      </w:r>
      <w:r>
        <w:rPr>
          <w:rFonts w:hint="eastAsia" w:ascii="仿宋" w:hAnsi="仿宋" w:eastAsia="仿宋"/>
          <w:color w:val="000000"/>
          <w:kern w:val="0"/>
          <w:sz w:val="32"/>
          <w:szCs w:val="32"/>
          <w:lang w:val="en-US" w:eastAsia="zh-CN"/>
        </w:rPr>
        <w:t>建议</w:t>
      </w:r>
      <w:r>
        <w:rPr>
          <w:rFonts w:hint="eastAsia" w:ascii="仿宋" w:hAnsi="仿宋" w:eastAsia="仿宋"/>
          <w:color w:val="000000"/>
          <w:kern w:val="0"/>
          <w:sz w:val="32"/>
          <w:szCs w:val="32"/>
        </w:rPr>
        <w:t>字〔2023〕第</w:t>
      </w:r>
      <w:r>
        <w:rPr>
          <w:rFonts w:hint="eastAsia" w:ascii="仿宋" w:hAnsi="仿宋" w:eastAsia="仿宋"/>
          <w:color w:val="000000"/>
          <w:kern w:val="0"/>
          <w:sz w:val="32"/>
          <w:szCs w:val="32"/>
          <w:lang w:val="en-US" w:eastAsia="zh-CN"/>
        </w:rPr>
        <w:t>12</w:t>
      </w:r>
      <w:bookmarkStart w:id="0" w:name="_GoBack"/>
      <w:bookmarkEnd w:id="0"/>
      <w:r>
        <w:rPr>
          <w:rFonts w:hint="eastAsia" w:ascii="仿宋" w:hAnsi="仿宋" w:eastAsia="仿宋"/>
          <w:color w:val="000000"/>
          <w:kern w:val="0"/>
          <w:sz w:val="32"/>
          <w:szCs w:val="32"/>
        </w:rPr>
        <w:t>号</w:t>
      </w:r>
    </w:p>
    <w:p>
      <w:pPr>
        <w:spacing w:line="560" w:lineRule="exact"/>
        <w:jc w:val="center"/>
        <w:rPr>
          <w:rFonts w:hint="eastAsia" w:ascii="黑体" w:hAnsi="黑体" w:eastAsia="黑体" w:cs="黑体"/>
          <w:b/>
          <w:bCs/>
          <w:color w:val="000000"/>
          <w:kern w:val="0"/>
          <w:sz w:val="44"/>
          <w:szCs w:val="44"/>
        </w:rPr>
      </w:pPr>
    </w:p>
    <w:p>
      <w:pPr>
        <w:spacing w:line="560" w:lineRule="exact"/>
        <w:jc w:val="center"/>
        <w:rPr>
          <w:rFonts w:hint="eastAsia" w:ascii="黑体" w:hAnsi="黑体" w:eastAsia="黑体" w:cs="黑体"/>
          <w:b/>
          <w:bCs/>
          <w:color w:val="000000"/>
          <w:kern w:val="0"/>
          <w:sz w:val="44"/>
          <w:szCs w:val="44"/>
        </w:rPr>
      </w:pPr>
      <w:r>
        <w:rPr>
          <w:rFonts w:hint="eastAsia" w:ascii="黑体" w:hAnsi="黑体" w:eastAsia="黑体" w:cs="黑体"/>
          <w:b/>
          <w:bCs/>
          <w:color w:val="000000"/>
          <w:kern w:val="0"/>
          <w:sz w:val="44"/>
          <w:szCs w:val="44"/>
        </w:rPr>
        <w:t>对涞源县第十七届人民代表大会</w:t>
      </w:r>
    </w:p>
    <w:p>
      <w:pPr>
        <w:spacing w:line="560" w:lineRule="exact"/>
        <w:jc w:val="center"/>
        <w:rPr>
          <w:rFonts w:hint="eastAsia" w:ascii="黑体" w:hAnsi="黑体" w:eastAsia="黑体" w:cs="黑体"/>
          <w:b/>
          <w:bCs/>
          <w:color w:val="000000"/>
          <w:kern w:val="0"/>
          <w:sz w:val="44"/>
          <w:szCs w:val="44"/>
        </w:rPr>
      </w:pPr>
      <w:r>
        <w:rPr>
          <w:rFonts w:hint="eastAsia" w:ascii="黑体" w:hAnsi="黑体" w:eastAsia="黑体" w:cs="黑体"/>
          <w:b/>
          <w:bCs/>
          <w:color w:val="000000"/>
          <w:kern w:val="0"/>
          <w:sz w:val="44"/>
          <w:szCs w:val="44"/>
        </w:rPr>
        <w:t>第三次会议第18号建议的答复</w:t>
      </w:r>
    </w:p>
    <w:p>
      <w:pPr>
        <w:spacing w:line="560" w:lineRule="exact"/>
        <w:jc w:val="center"/>
        <w:rPr>
          <w:rFonts w:hint="eastAsia" w:ascii="黑体" w:hAnsi="黑体" w:eastAsia="黑体" w:cs="黑体"/>
          <w:b/>
          <w:bCs/>
          <w:color w:val="000000"/>
          <w:kern w:val="0"/>
          <w:sz w:val="44"/>
          <w:szCs w:val="44"/>
        </w:rPr>
      </w:pPr>
    </w:p>
    <w:p>
      <w:pPr>
        <w:pStyle w:val="5"/>
        <w:shd w:val="clear" w:color="auto" w:fill="FFFFFF"/>
        <w:spacing w:before="0" w:beforeAutospacing="0" w:after="0" w:afterAutospacing="0" w:line="560" w:lineRule="exact"/>
        <w:rPr>
          <w:rFonts w:hint="eastAsia" w:ascii="仿宋_GB2312" w:hAnsi="仿宋_GB2312" w:eastAsia="仿宋_GB2312" w:cs="仿宋_GB2312"/>
          <w:spacing w:val="8"/>
          <w:sz w:val="32"/>
          <w:szCs w:val="32"/>
        </w:rPr>
      </w:pPr>
      <w:r>
        <w:rPr>
          <w:rFonts w:hint="eastAsia" w:ascii="仿宋_GB2312" w:hAnsi="仿宋_GB2312" w:eastAsia="仿宋_GB2312" w:cs="仿宋_GB2312"/>
          <w:spacing w:val="8"/>
          <w:sz w:val="32"/>
          <w:szCs w:val="32"/>
        </w:rPr>
        <w:t>马昭坛、王志勇、董月梅、边春雷等代表：</w:t>
      </w:r>
    </w:p>
    <w:p>
      <w:pPr>
        <w:pStyle w:val="5"/>
        <w:shd w:val="clear" w:color="auto" w:fill="FFFFFF"/>
        <w:spacing w:before="0" w:beforeAutospacing="0" w:after="0" w:afterAutospacing="0" w:line="560" w:lineRule="exact"/>
        <w:rPr>
          <w:rFonts w:hint="eastAsia" w:ascii="仿宋_GB2312" w:hAnsi="仿宋_GB2312" w:eastAsia="仿宋_GB2312" w:cs="仿宋_GB2312"/>
          <w:spacing w:val="8"/>
          <w:sz w:val="32"/>
          <w:szCs w:val="32"/>
        </w:rPr>
      </w:pPr>
      <w:r>
        <w:rPr>
          <w:rFonts w:hint="eastAsia" w:ascii="仿宋_GB2312" w:hAnsi="仿宋_GB2312" w:eastAsia="仿宋_GB2312" w:cs="仿宋_GB2312"/>
          <w:spacing w:val="8"/>
          <w:sz w:val="32"/>
          <w:szCs w:val="32"/>
        </w:rPr>
        <w:t>　　你们提出的《关于优化土地供给服务乡村产业振兴的建议》收悉，我局进行了认真研究，认为你们所提建议具有很强的针对性，对我们改进和推动工作有重要意义和借鉴价值，现就建议答复如下：</w:t>
      </w:r>
    </w:p>
    <w:p>
      <w:pPr>
        <w:pStyle w:val="5"/>
        <w:shd w:val="clear" w:color="auto" w:fill="FFFFFF"/>
        <w:spacing w:before="0" w:beforeAutospacing="0" w:after="0" w:afterAutospacing="0" w:line="560" w:lineRule="exact"/>
        <w:rPr>
          <w:rFonts w:hint="eastAsia" w:ascii="仿宋_GB2312" w:hAnsi="仿宋_GB2312" w:eastAsia="仿宋_GB2312" w:cs="仿宋_GB2312"/>
          <w:spacing w:val="8"/>
          <w:sz w:val="32"/>
          <w:szCs w:val="32"/>
        </w:rPr>
        <w:sectPr>
          <w:pgSz w:w="11906" w:h="16838"/>
          <w:pgMar w:top="1440" w:right="1588" w:bottom="1440" w:left="1588" w:header="851" w:footer="992" w:gutter="0"/>
          <w:cols w:space="425" w:num="1"/>
          <w:docGrid w:type="lines" w:linePitch="312" w:charSpace="0"/>
        </w:sectPr>
      </w:pPr>
      <w:r>
        <w:rPr>
          <w:rFonts w:hint="eastAsia" w:ascii="仿宋_GB2312" w:hAnsi="仿宋_GB2312" w:eastAsia="仿宋_GB2312" w:cs="仿宋_GB2312"/>
          <w:spacing w:val="8"/>
          <w:sz w:val="32"/>
          <w:szCs w:val="32"/>
        </w:rPr>
        <w:t>　　《中共中央 国务院关于全面推进乡村振兴加快农业农村现代化的意见》明确要求，要构建现代乡村产业体系。要完善盘活农村存量建设用地政策，实行负面清单管理，优先</w:t>
      </w:r>
    </w:p>
    <w:p>
      <w:pPr>
        <w:pStyle w:val="5"/>
        <w:shd w:val="clear" w:color="auto" w:fill="FFFFFF"/>
        <w:spacing w:before="0" w:beforeAutospacing="0" w:after="0" w:afterAutospacing="0" w:line="560" w:lineRule="exact"/>
        <w:rPr>
          <w:rFonts w:hint="eastAsia" w:ascii="仿宋_GB2312" w:hAnsi="仿宋_GB2312" w:eastAsia="仿宋_GB2312" w:cs="仿宋_GB2312"/>
          <w:spacing w:val="8"/>
          <w:sz w:val="32"/>
          <w:szCs w:val="32"/>
        </w:rPr>
      </w:pPr>
      <w:r>
        <w:rPr>
          <w:rFonts w:hint="eastAsia" w:ascii="仿宋_GB2312" w:hAnsi="仿宋_GB2312" w:eastAsia="仿宋_GB2312" w:cs="仿宋_GB2312"/>
          <w:spacing w:val="8"/>
          <w:sz w:val="32"/>
          <w:szCs w:val="32"/>
        </w:rPr>
        <w:t>保障乡村产业发展、乡村建设用地。近年来，各级部门深入贯彻党中央、国务院决策部署，不断优化政策措施，加大支持力度，保障乡村振兴产业发展用地。</w:t>
      </w:r>
    </w:p>
    <w:p>
      <w:pPr>
        <w:pStyle w:val="5"/>
        <w:shd w:val="clear" w:color="auto" w:fill="FFFFFF"/>
        <w:spacing w:before="0" w:beforeAutospacing="0" w:after="0" w:afterAutospacing="0" w:line="560" w:lineRule="exact"/>
        <w:ind w:firstLine="661" w:firstLineChars="197"/>
        <w:rPr>
          <w:rFonts w:hint="eastAsia" w:ascii="仿宋_GB2312" w:hAnsi="仿宋_GB2312" w:eastAsia="仿宋_GB2312" w:cs="仿宋_GB2312"/>
          <w:b/>
          <w:spacing w:val="8"/>
          <w:sz w:val="32"/>
          <w:szCs w:val="32"/>
        </w:rPr>
      </w:pPr>
      <w:r>
        <w:rPr>
          <w:rStyle w:val="8"/>
          <w:rFonts w:hint="eastAsia" w:ascii="仿宋_GB2312" w:hAnsi="仿宋_GB2312" w:eastAsia="仿宋_GB2312" w:cs="仿宋_GB2312"/>
          <w:b w:val="0"/>
          <w:spacing w:val="8"/>
          <w:sz w:val="32"/>
          <w:szCs w:val="32"/>
        </w:rPr>
        <w:t>一、关于用地空间保障</w:t>
      </w:r>
    </w:p>
    <w:p>
      <w:pPr>
        <w:pStyle w:val="5"/>
        <w:shd w:val="clear" w:color="auto" w:fill="FFFFFF"/>
        <w:spacing w:before="0" w:beforeAutospacing="0" w:after="0" w:afterAutospacing="0" w:line="560" w:lineRule="exact"/>
        <w:rPr>
          <w:rFonts w:hint="eastAsia" w:ascii="仿宋_GB2312" w:hAnsi="仿宋_GB2312" w:eastAsia="仿宋_GB2312" w:cs="仿宋_GB2312"/>
          <w:spacing w:val="8"/>
          <w:sz w:val="32"/>
          <w:szCs w:val="32"/>
        </w:rPr>
      </w:pPr>
      <w:r>
        <w:rPr>
          <w:rFonts w:hint="eastAsia" w:ascii="仿宋_GB2312" w:hAnsi="仿宋_GB2312" w:eastAsia="仿宋_GB2312" w:cs="仿宋_GB2312"/>
          <w:spacing w:val="8"/>
          <w:sz w:val="32"/>
          <w:szCs w:val="32"/>
        </w:rPr>
        <w:t>　　自然资源部已印发《关于加强村庄规划促进乡村振兴的通知》（自然资办发〔2019〕35号）、《关于进一步做好村庄规划工作的意见》（自然资办发〔2020〕57号）等一系列文件，全面部署各级国土空间规划编制工作，目前我县国土空间规划已基本编制完成，对乡镇级国土空间总体规划和“多规合一”实用性村庄规划编制起指导作用，在下一步编制村庄规划时，乡镇村要本着实用好用的原则积极参与，通盘考虑农村土地利用、产业发展、居民点布局、人居环境整治、生态保护和历史文化传承，统筹布局乡村基础设施、公益事业设施和公共设施，优化城镇、农业、生态空间，优化村庄各类用地和功能，引导种养殖设施合理布局。按照“土地要素跟着项目走，既算增量账、更算存量账”的原则，统筹安排新增和存量建设用地，切实保障有效投资用地需求。</w:t>
      </w:r>
    </w:p>
    <w:p>
      <w:pPr>
        <w:pStyle w:val="5"/>
        <w:shd w:val="clear" w:color="auto" w:fill="FFFFFF"/>
        <w:spacing w:before="0" w:beforeAutospacing="0" w:after="0" w:afterAutospacing="0" w:line="560" w:lineRule="exact"/>
        <w:ind w:firstLine="658" w:firstLineChars="196"/>
        <w:rPr>
          <w:rFonts w:hint="eastAsia" w:ascii="仿宋_GB2312" w:hAnsi="仿宋_GB2312" w:eastAsia="仿宋_GB2312" w:cs="仿宋_GB2312"/>
          <w:b/>
          <w:spacing w:val="8"/>
          <w:sz w:val="32"/>
          <w:szCs w:val="32"/>
        </w:rPr>
      </w:pPr>
      <w:r>
        <w:rPr>
          <w:rStyle w:val="8"/>
          <w:rFonts w:hint="eastAsia" w:ascii="仿宋_GB2312" w:hAnsi="仿宋_GB2312" w:eastAsia="仿宋_GB2312" w:cs="仿宋_GB2312"/>
          <w:b w:val="0"/>
          <w:spacing w:val="8"/>
          <w:sz w:val="32"/>
          <w:szCs w:val="32"/>
        </w:rPr>
        <w:t>二、充分利用农村一二三产业融合发展政策</w:t>
      </w:r>
    </w:p>
    <w:p>
      <w:pPr>
        <w:pStyle w:val="5"/>
        <w:shd w:val="clear" w:color="auto" w:fill="FFFFFF"/>
        <w:spacing w:before="0" w:beforeAutospacing="0" w:after="0" w:afterAutospacing="0" w:line="560" w:lineRule="exact"/>
        <w:rPr>
          <w:rFonts w:hint="eastAsia" w:ascii="仿宋_GB2312" w:hAnsi="仿宋_GB2312" w:eastAsia="仿宋_GB2312" w:cs="仿宋_GB2312"/>
          <w:spacing w:val="8"/>
          <w:sz w:val="32"/>
          <w:szCs w:val="32"/>
        </w:rPr>
      </w:pPr>
      <w:r>
        <w:rPr>
          <w:rFonts w:hint="eastAsia" w:ascii="仿宋_GB2312" w:hAnsi="仿宋_GB2312" w:eastAsia="仿宋_GB2312" w:cs="仿宋_GB2312"/>
          <w:spacing w:val="8"/>
          <w:sz w:val="32"/>
          <w:szCs w:val="32"/>
        </w:rPr>
        <w:t>　　2021年，自然资源部印发《关于保障和规范农村一二三产业融合发展用地的通知》（自然资发〔2021〕16号），</w:t>
      </w:r>
      <w:r>
        <w:rPr>
          <w:rFonts w:hint="eastAsia" w:ascii="仿宋_GB2312" w:hAnsi="仿宋_GB2312" w:eastAsia="仿宋_GB2312" w:cs="仿宋_GB2312"/>
          <w:color w:val="000000"/>
          <w:spacing w:val="8"/>
          <w:sz w:val="32"/>
          <w:szCs w:val="32"/>
          <w:shd w:val="clear" w:color="auto" w:fill="FFFFFF"/>
        </w:rPr>
        <w:t>河北省自然资源厅河北省发展和改革委员会河北省农业农村厅联合印发了《保障和规范农村一二三产业融合发展用地实施细则》（冀自然资发〔2021〕37号）等文件，</w:t>
      </w:r>
      <w:r>
        <w:rPr>
          <w:rFonts w:hint="eastAsia" w:ascii="仿宋_GB2312" w:hAnsi="仿宋_GB2312" w:eastAsia="仿宋_GB2312" w:cs="仿宋_GB2312"/>
          <w:spacing w:val="8"/>
          <w:sz w:val="32"/>
          <w:szCs w:val="32"/>
        </w:rPr>
        <w:t>明确对于利用农村本地资源开展农产品初加工、发展休闲观光旅游而必须的配套设施建设，可在不占用永久基本农田和生态保护红线、不突破国土空间规划建设用地指标等约束条件、不破坏生态环境和乡村风貌的前提下，</w:t>
      </w:r>
      <w:r>
        <w:rPr>
          <w:rStyle w:val="8"/>
          <w:rFonts w:hint="eastAsia" w:ascii="仿宋_GB2312" w:hAnsi="仿宋_GB2312" w:eastAsia="仿宋_GB2312" w:cs="仿宋_GB2312"/>
          <w:b w:val="0"/>
          <w:spacing w:val="8"/>
          <w:sz w:val="32"/>
          <w:szCs w:val="32"/>
        </w:rPr>
        <w:t>在村庄建设边界外安排少量建设用地</w:t>
      </w:r>
      <w:r>
        <w:rPr>
          <w:rFonts w:hint="eastAsia" w:ascii="仿宋_GB2312" w:hAnsi="仿宋_GB2312" w:eastAsia="仿宋_GB2312" w:cs="仿宋_GB2312"/>
          <w:b/>
          <w:spacing w:val="8"/>
          <w:sz w:val="32"/>
          <w:szCs w:val="32"/>
        </w:rPr>
        <w:t>，</w:t>
      </w:r>
      <w:r>
        <w:rPr>
          <w:rFonts w:hint="eastAsia" w:ascii="仿宋_GB2312" w:hAnsi="仿宋_GB2312" w:eastAsia="仿宋_GB2312" w:cs="仿宋_GB2312"/>
          <w:spacing w:val="8"/>
          <w:sz w:val="32"/>
          <w:szCs w:val="32"/>
        </w:rPr>
        <w:t>实行比例和面积控制，并依法办理农用地转用审批和供地手续。</w:t>
      </w:r>
    </w:p>
    <w:p>
      <w:pPr>
        <w:pStyle w:val="5"/>
        <w:shd w:val="clear" w:color="auto" w:fill="FFFFFF"/>
        <w:spacing w:before="0" w:beforeAutospacing="0" w:after="0" w:afterAutospacing="0" w:line="560" w:lineRule="exact"/>
        <w:ind w:firstLine="661" w:firstLineChars="197"/>
        <w:rPr>
          <w:rFonts w:hint="eastAsia" w:ascii="仿宋_GB2312" w:hAnsi="仿宋_GB2312" w:eastAsia="仿宋_GB2312" w:cs="仿宋_GB2312"/>
          <w:b/>
          <w:spacing w:val="8"/>
          <w:sz w:val="32"/>
          <w:szCs w:val="32"/>
        </w:rPr>
      </w:pPr>
      <w:r>
        <w:rPr>
          <w:rStyle w:val="8"/>
          <w:rFonts w:hint="eastAsia" w:ascii="仿宋_GB2312" w:hAnsi="仿宋_GB2312" w:eastAsia="仿宋_GB2312" w:cs="仿宋_GB2312"/>
          <w:b w:val="0"/>
          <w:spacing w:val="8"/>
          <w:sz w:val="32"/>
          <w:szCs w:val="32"/>
        </w:rPr>
        <w:t>三、关于完善设施农业用地管理措施</w:t>
      </w:r>
    </w:p>
    <w:p>
      <w:pPr>
        <w:pStyle w:val="5"/>
        <w:shd w:val="clear" w:color="auto" w:fill="FFFFFF"/>
        <w:spacing w:before="0" w:beforeAutospacing="0" w:after="0" w:afterAutospacing="0" w:line="560" w:lineRule="exact"/>
        <w:ind w:firstLine="675" w:firstLineChars="201"/>
        <w:rPr>
          <w:rFonts w:hint="eastAsia" w:ascii="仿宋_GB2312" w:hAnsi="仿宋_GB2312" w:eastAsia="仿宋_GB2312" w:cs="仿宋_GB2312"/>
          <w:color w:val="FF4C00"/>
          <w:spacing w:val="8"/>
          <w:sz w:val="32"/>
          <w:szCs w:val="32"/>
        </w:rPr>
      </w:pPr>
      <w:r>
        <w:rPr>
          <w:rFonts w:hint="eastAsia" w:ascii="仿宋_GB2312" w:hAnsi="仿宋_GB2312" w:eastAsia="仿宋_GB2312" w:cs="仿宋_GB2312"/>
          <w:spacing w:val="8"/>
          <w:sz w:val="32"/>
          <w:szCs w:val="32"/>
        </w:rPr>
        <w:t>自然资源部会同农业农村部印发《关于设施农业用地管理有关问题的通知》（自然资规〔2019〕4号），明确“设施农业用地包括农业生产中直接用于作物种植和畜禽水产养殖的设施用地。其中，作物种植设施用地包括作物生产和为生产服务的看护房、农资农机具存放场所等，以及与生产农产品直接关联的烘干晾晒、分拣包装、保鲜存储等设施用地；畜禽水产养殖设施用地包括养殖生产及直接关联的粪污处置、检验检疫等设施用地，不包括屠宰和肉类加工场所用地等”。进一步细化了设施农业用地范围，明确了辅助设施农业用地规模。</w:t>
      </w:r>
    </w:p>
    <w:p>
      <w:pPr>
        <w:pStyle w:val="5"/>
        <w:shd w:val="clear" w:color="auto" w:fill="FFFFFF"/>
        <w:spacing w:before="0" w:beforeAutospacing="0" w:after="0" w:afterAutospacing="0" w:line="560" w:lineRule="exact"/>
        <w:ind w:firstLine="675" w:firstLineChars="201"/>
        <w:rPr>
          <w:rFonts w:hint="eastAsia" w:ascii="仿宋_GB2312" w:hAnsi="仿宋_GB2312" w:eastAsia="仿宋_GB2312" w:cs="仿宋_GB2312"/>
          <w:spacing w:val="8"/>
          <w:sz w:val="32"/>
          <w:szCs w:val="32"/>
        </w:rPr>
      </w:pPr>
      <w:r>
        <w:rPr>
          <w:rFonts w:hint="eastAsia" w:ascii="仿宋_GB2312" w:hAnsi="仿宋_GB2312" w:eastAsia="仿宋_GB2312" w:cs="仿宋_GB2312"/>
          <w:spacing w:val="8"/>
          <w:sz w:val="32"/>
          <w:szCs w:val="32"/>
        </w:rPr>
        <w:t>按照《河北省进出平衡管理办法》的要求，占用一般耕地的需落实耕地进出平衡，我局已编制了2023年度耕地进出平衡的实施方案，正在有序实施。同时省、市也在进行研究耕地进出平衡的具体操作细则，我局会将实际实施中遇到的问题及时反馈上级部门。待省市相关文件出台后按要求执行，更方便进行实际操作。</w:t>
      </w:r>
    </w:p>
    <w:p>
      <w:pPr>
        <w:pStyle w:val="5"/>
        <w:shd w:val="clear" w:color="auto" w:fill="FFFFFF"/>
        <w:spacing w:before="0" w:beforeAutospacing="0" w:after="0" w:afterAutospacing="0" w:line="560" w:lineRule="exact"/>
        <w:ind w:firstLine="675" w:firstLineChars="201"/>
        <w:rPr>
          <w:rFonts w:hint="eastAsia" w:ascii="仿宋_GB2312" w:hAnsi="仿宋_GB2312" w:eastAsia="仿宋_GB2312" w:cs="仿宋_GB2312"/>
          <w:spacing w:val="8"/>
          <w:sz w:val="32"/>
          <w:szCs w:val="32"/>
        </w:rPr>
      </w:pPr>
      <w:r>
        <w:rPr>
          <w:rFonts w:hint="eastAsia" w:ascii="仿宋_GB2312" w:hAnsi="仿宋_GB2312" w:eastAsia="仿宋_GB2312" w:cs="仿宋_GB2312"/>
          <w:spacing w:val="8"/>
          <w:sz w:val="32"/>
          <w:szCs w:val="32"/>
        </w:rPr>
        <w:t>四、加强土地整治后期管护</w:t>
      </w:r>
    </w:p>
    <w:p>
      <w:pPr>
        <w:rPr>
          <w:rFonts w:hint="eastAsia" w:ascii="仿宋_GB2312" w:hAnsi="仿宋_GB2312" w:eastAsia="仿宋_GB2312" w:cs="仿宋_GB2312"/>
          <w:sz w:val="32"/>
          <w:szCs w:val="32"/>
        </w:rPr>
      </w:pPr>
      <w:r>
        <w:rPr>
          <w:rFonts w:hint="eastAsia" w:ascii="仿宋_GB2312" w:hAnsi="仿宋_GB2312" w:eastAsia="仿宋_GB2312" w:cs="仿宋_GB2312"/>
          <w:spacing w:val="8"/>
          <w:kern w:val="0"/>
          <w:sz w:val="32"/>
          <w:szCs w:val="32"/>
        </w:rPr>
        <w:t xml:space="preserve">    土地整治项目实施后，将按照涞源县人民政府办公室关于《涞源县土地整治项目后期管护利用工作管理办法》的通知（涞源办〔2022〕136号）的要求实施后期管护，验收后两年内施工单位负责因施工质量损坏的维修，可由村委会及时上报。各村村界依据确权登记权属界线执行，土地整治不调整村界范围。</w:t>
      </w:r>
    </w:p>
    <w:p>
      <w:pPr>
        <w:pStyle w:val="5"/>
        <w:shd w:val="clear" w:color="auto" w:fill="FFFFFF"/>
        <w:spacing w:before="0" w:beforeAutospacing="0" w:after="0" w:afterAutospacing="0" w:line="560" w:lineRule="exact"/>
        <w:rPr>
          <w:rFonts w:hint="eastAsia" w:ascii="仿宋_GB2312" w:hAnsi="仿宋_GB2312" w:eastAsia="仿宋_GB2312" w:cs="仿宋_GB2312"/>
          <w:spacing w:val="8"/>
          <w:sz w:val="32"/>
          <w:szCs w:val="32"/>
        </w:rPr>
      </w:pPr>
      <w:r>
        <w:rPr>
          <w:rFonts w:hint="eastAsia" w:ascii="仿宋_GB2312" w:hAnsi="仿宋_GB2312" w:eastAsia="仿宋_GB2312" w:cs="仿宋_GB2312"/>
          <w:spacing w:val="8"/>
          <w:sz w:val="32"/>
          <w:szCs w:val="32"/>
        </w:rPr>
        <w:t>　　下一步，我局将加强与乡村振兴局、农业农村局等部门的沟通对接，及时了解乡村产业在县域范围统筹布局情况和乡村产业用地保障情况，推动制定配套的实施细则，确保相关政策落地生效，进一步服务乡村振兴全面发展。</w:t>
      </w:r>
    </w:p>
    <w:p>
      <w:pPr>
        <w:pStyle w:val="5"/>
        <w:shd w:val="clear" w:color="auto" w:fill="FFFFFF"/>
        <w:spacing w:before="0" w:beforeAutospacing="0" w:after="0" w:afterAutospacing="0" w:line="560" w:lineRule="exact"/>
        <w:rPr>
          <w:rFonts w:hint="eastAsia" w:ascii="仿宋_GB2312" w:hAnsi="仿宋_GB2312" w:eastAsia="仿宋_GB2312" w:cs="仿宋_GB2312"/>
          <w:spacing w:val="8"/>
          <w:sz w:val="32"/>
          <w:szCs w:val="32"/>
        </w:rPr>
      </w:pPr>
      <w:r>
        <w:rPr>
          <w:rFonts w:hint="eastAsia" w:ascii="仿宋_GB2312" w:hAnsi="仿宋_GB2312" w:eastAsia="仿宋_GB2312" w:cs="仿宋_GB2312"/>
          <w:spacing w:val="8"/>
          <w:sz w:val="32"/>
          <w:szCs w:val="32"/>
        </w:rPr>
        <w:t>　　感谢对自然资源管理工作的关注和支持！</w:t>
      </w:r>
    </w:p>
    <w:p>
      <w:pPr>
        <w:pStyle w:val="5"/>
        <w:shd w:val="clear" w:color="auto" w:fill="FFFFFF"/>
        <w:spacing w:before="0" w:beforeAutospacing="0" w:after="0" w:afterAutospacing="0" w:line="560" w:lineRule="exact"/>
        <w:ind w:right="672" w:firstLine="4536" w:firstLineChars="1350"/>
        <w:rPr>
          <w:rFonts w:hint="eastAsia" w:ascii="仿宋_GB2312" w:hAnsi="仿宋_GB2312" w:eastAsia="仿宋_GB2312" w:cs="仿宋_GB2312"/>
          <w:spacing w:val="8"/>
          <w:sz w:val="32"/>
          <w:szCs w:val="32"/>
        </w:rPr>
      </w:pPr>
    </w:p>
    <w:p>
      <w:pPr>
        <w:pStyle w:val="5"/>
        <w:shd w:val="clear" w:color="auto" w:fill="FFFFFF"/>
        <w:spacing w:before="0" w:beforeAutospacing="0" w:after="0" w:afterAutospacing="0" w:line="560" w:lineRule="exact"/>
        <w:ind w:right="672" w:firstLine="4536" w:firstLineChars="1350"/>
        <w:rPr>
          <w:rFonts w:hint="eastAsia" w:ascii="仿宋_GB2312" w:hAnsi="仿宋_GB2312" w:eastAsia="仿宋_GB2312" w:cs="仿宋_GB2312"/>
          <w:spacing w:val="8"/>
          <w:sz w:val="32"/>
          <w:szCs w:val="32"/>
        </w:rPr>
      </w:pPr>
    </w:p>
    <w:p>
      <w:pPr>
        <w:pStyle w:val="5"/>
        <w:shd w:val="clear" w:color="auto" w:fill="FFFFFF"/>
        <w:spacing w:before="0" w:beforeAutospacing="0" w:after="0" w:afterAutospacing="0" w:line="560" w:lineRule="exact"/>
        <w:ind w:right="672" w:firstLine="4536" w:firstLineChars="1350"/>
        <w:rPr>
          <w:rFonts w:hint="eastAsia" w:ascii="仿宋_GB2312" w:hAnsi="仿宋_GB2312" w:eastAsia="仿宋_GB2312" w:cs="仿宋_GB2312"/>
          <w:spacing w:val="8"/>
          <w:sz w:val="32"/>
          <w:szCs w:val="32"/>
        </w:rPr>
      </w:pPr>
    </w:p>
    <w:p>
      <w:pPr>
        <w:pStyle w:val="5"/>
        <w:shd w:val="clear" w:color="auto" w:fill="FFFFFF"/>
        <w:spacing w:before="0" w:beforeAutospacing="0" w:after="0" w:afterAutospacing="0" w:line="560" w:lineRule="exact"/>
        <w:ind w:right="672" w:firstLine="4536" w:firstLineChars="1350"/>
        <w:rPr>
          <w:rFonts w:hint="eastAsia" w:ascii="仿宋_GB2312" w:hAnsi="仿宋_GB2312" w:eastAsia="仿宋_GB2312" w:cs="仿宋_GB2312"/>
          <w:spacing w:val="8"/>
          <w:sz w:val="32"/>
          <w:szCs w:val="32"/>
        </w:rPr>
      </w:pPr>
    </w:p>
    <w:p>
      <w:pPr>
        <w:pStyle w:val="5"/>
        <w:shd w:val="clear" w:color="auto" w:fill="FFFFFF"/>
        <w:spacing w:before="0" w:beforeAutospacing="0" w:after="0" w:afterAutospacing="0" w:line="560" w:lineRule="exact"/>
        <w:ind w:right="672" w:firstLine="4536" w:firstLineChars="1350"/>
        <w:rPr>
          <w:rFonts w:hint="eastAsia" w:ascii="仿宋_GB2312" w:hAnsi="仿宋_GB2312" w:eastAsia="仿宋_GB2312" w:cs="仿宋_GB2312"/>
          <w:spacing w:val="8"/>
          <w:sz w:val="32"/>
          <w:szCs w:val="32"/>
        </w:rPr>
      </w:pPr>
      <w:r>
        <w:rPr>
          <w:rFonts w:hint="eastAsia" w:ascii="仿宋_GB2312" w:hAnsi="仿宋_GB2312" w:eastAsia="仿宋_GB2312" w:cs="仿宋_GB2312"/>
          <w:spacing w:val="8"/>
          <w:sz w:val="32"/>
          <w:szCs w:val="32"/>
        </w:rPr>
        <w:t>2023年8月24日</w:t>
      </w:r>
    </w:p>
    <w:p>
      <w:pPr>
        <w:spacing w:line="620" w:lineRule="exact"/>
        <w:rPr>
          <w:rFonts w:ascii="仿宋" w:hAnsi="仿宋" w:eastAsia="仿宋" w:cs="仿宋_GB2312"/>
          <w:color w:val="000000"/>
          <w:sz w:val="32"/>
          <w:szCs w:val="32"/>
        </w:rPr>
      </w:pPr>
    </w:p>
    <w:p>
      <w:pPr>
        <w:spacing w:line="620" w:lineRule="exact"/>
        <w:rPr>
          <w:rFonts w:ascii="仿宋" w:hAnsi="仿宋" w:eastAsia="仿宋" w:cs="仿宋_GB2312"/>
          <w:color w:val="000000"/>
          <w:sz w:val="32"/>
          <w:szCs w:val="32"/>
        </w:rPr>
      </w:pPr>
    </w:p>
    <w:p>
      <w:pPr>
        <w:spacing w:line="620" w:lineRule="exact"/>
        <w:rPr>
          <w:rFonts w:ascii="仿宋" w:hAnsi="仿宋" w:eastAsia="仿宋" w:cs="仿宋_GB2312"/>
          <w:color w:val="000000"/>
          <w:sz w:val="32"/>
          <w:szCs w:val="32"/>
        </w:rPr>
      </w:pPr>
    </w:p>
    <w:p>
      <w:pPr>
        <w:spacing w:line="620" w:lineRule="exact"/>
        <w:rPr>
          <w:rFonts w:ascii="仿宋" w:hAnsi="仿宋" w:eastAsia="仿宋" w:cs="仿宋_GB2312"/>
          <w:color w:val="000000"/>
          <w:sz w:val="32"/>
          <w:szCs w:val="32"/>
        </w:rPr>
      </w:pPr>
    </w:p>
    <w:p>
      <w:pPr>
        <w:spacing w:line="620" w:lineRule="exact"/>
        <w:rPr>
          <w:rFonts w:ascii="仿宋" w:hAnsi="仿宋" w:eastAsia="仿宋" w:cs="仿宋_GB2312"/>
          <w:color w:val="000000"/>
          <w:sz w:val="32"/>
          <w:szCs w:val="32"/>
        </w:rPr>
      </w:pPr>
    </w:p>
    <w:p>
      <w:pPr>
        <w:spacing w:line="620" w:lineRule="exact"/>
        <w:rPr>
          <w:rFonts w:ascii="仿宋" w:hAnsi="仿宋" w:eastAsia="仿宋" w:cs="仿宋_GB2312"/>
          <w:color w:val="000000"/>
          <w:sz w:val="32"/>
          <w:szCs w:val="32"/>
        </w:rPr>
      </w:pPr>
      <w:r>
        <w:rPr>
          <w:rFonts w:hint="eastAsia" w:ascii="仿宋" w:hAnsi="仿宋" w:eastAsia="仿宋" w:cs="仿宋_GB2312"/>
          <w:color w:val="000000"/>
          <w:sz w:val="32"/>
          <w:szCs w:val="32"/>
        </w:rPr>
        <w:t>领导签发：</w:t>
      </w:r>
      <w:r>
        <w:rPr>
          <w:rFonts w:hint="eastAsia" w:ascii="仿宋" w:hAnsi="仿宋" w:eastAsia="仿宋" w:cs="仿宋_GB2312"/>
          <w:color w:val="000000"/>
          <w:sz w:val="32"/>
          <w:szCs w:val="32"/>
          <w:lang w:val="en-US" w:eastAsia="zh-CN"/>
        </w:rPr>
        <w:t xml:space="preserve">    </w:t>
      </w:r>
      <w:r>
        <w:rPr>
          <w:rFonts w:hint="eastAsia" w:ascii="仿宋" w:hAnsi="仿宋" w:eastAsia="仿宋" w:cs="仿宋_GB2312"/>
          <w:color w:val="000000"/>
          <w:sz w:val="32"/>
          <w:szCs w:val="32"/>
        </w:rPr>
        <w:t>张  阳</w:t>
      </w:r>
    </w:p>
    <w:p>
      <w:pPr>
        <w:spacing w:line="620" w:lineRule="exact"/>
        <w:rPr>
          <w:rFonts w:ascii="仿宋" w:hAnsi="仿宋" w:eastAsia="仿宋" w:cs="仿宋_GB2312"/>
          <w:color w:val="000000"/>
          <w:sz w:val="32"/>
          <w:szCs w:val="32"/>
        </w:rPr>
      </w:pPr>
      <w:r>
        <w:rPr>
          <w:rFonts w:hint="eastAsia" w:ascii="仿宋" w:hAnsi="仿宋" w:eastAsia="仿宋" w:cs="仿宋_GB2312"/>
          <w:color w:val="000000"/>
          <w:sz w:val="32"/>
          <w:szCs w:val="32"/>
        </w:rPr>
        <w:t>联系人及电话：张媛媛</w:t>
      </w:r>
      <w:r>
        <w:rPr>
          <w:rFonts w:hint="eastAsia" w:ascii="仿宋" w:hAnsi="仿宋" w:eastAsia="仿宋" w:cs="仿宋_GB2312"/>
          <w:color w:val="000000"/>
          <w:sz w:val="32"/>
          <w:szCs w:val="32"/>
          <w:lang w:val="en-US" w:eastAsia="zh-CN"/>
        </w:rPr>
        <w:t xml:space="preserve">  </w:t>
      </w:r>
      <w:r>
        <w:rPr>
          <w:rFonts w:hint="eastAsia" w:ascii="仿宋" w:hAnsi="仿宋" w:eastAsia="仿宋" w:cs="仿宋_GB2312"/>
          <w:color w:val="000000"/>
          <w:sz w:val="32"/>
          <w:szCs w:val="32"/>
        </w:rPr>
        <w:t>13513406035</w:t>
      </w:r>
    </w:p>
    <w:p>
      <w:pPr>
        <w:spacing w:line="620" w:lineRule="exact"/>
        <w:rPr>
          <w:rFonts w:hint="eastAsia" w:ascii="仿宋_GB2312" w:hAnsi="仿宋_GB2312" w:eastAsia="仿宋_GB2312" w:cs="仿宋_GB2312"/>
          <w:color w:val="000000"/>
          <w:kern w:val="0"/>
          <w:sz w:val="32"/>
          <w:szCs w:val="32"/>
        </w:rPr>
      </w:pPr>
      <w:r>
        <w:rPr>
          <w:rFonts w:hint="eastAsia" w:ascii="仿宋" w:hAnsi="仿宋" w:eastAsia="仿宋" w:cs="仿宋_GB2312"/>
          <w:color w:val="000000"/>
          <w:sz w:val="32"/>
          <w:szCs w:val="32"/>
        </w:rPr>
        <w:t>抄报：县政府办公室（116房间</w:t>
      </w:r>
      <w:r>
        <w:rPr>
          <w:rFonts w:ascii="仿宋" w:hAnsi="仿宋" w:eastAsia="仿宋" w:cs="仿宋_GB2312"/>
          <w:color w:val="000000"/>
          <w:sz w:val="32"/>
          <w:szCs w:val="32"/>
        </w:rPr>
        <w:t>）</w:t>
      </w:r>
    </w:p>
    <w:sectPr>
      <w:footerReference r:id="rId3" w:type="default"/>
      <w:pgSz w:w="11906" w:h="16838"/>
      <w:pgMar w:top="1440" w:right="1588" w:bottom="1440" w:left="1588" w:header="851" w:footer="992" w:gutter="0"/>
      <w:pgNumType w:fmt="numberInDash" w:start="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大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sz w:val="24"/>
                              <w:szCs w:val="24"/>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2</w:t>
                          </w:r>
                          <w:r>
                            <w:rPr>
                              <w:rFonts w:hint="eastAsia"/>
                              <w:sz w:val="24"/>
                              <w:szCs w:val="24"/>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3"/>
                      <w:rPr>
                        <w:rFonts w:hint="eastAsia" w:eastAsiaTheme="minorEastAsia"/>
                        <w:sz w:val="24"/>
                        <w:szCs w:val="24"/>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2</w:t>
                    </w:r>
                    <w:r>
                      <w:rPr>
                        <w:rFonts w:hint="eastAsia"/>
                        <w:sz w:val="24"/>
                        <w:szCs w:val="24"/>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0E42EE"/>
    <w:rsid w:val="00052443"/>
    <w:rsid w:val="00275407"/>
    <w:rsid w:val="002869DE"/>
    <w:rsid w:val="0029199A"/>
    <w:rsid w:val="002C6872"/>
    <w:rsid w:val="00300444"/>
    <w:rsid w:val="00401197"/>
    <w:rsid w:val="004373E5"/>
    <w:rsid w:val="00457C6A"/>
    <w:rsid w:val="00584DA0"/>
    <w:rsid w:val="0059631E"/>
    <w:rsid w:val="006C07D1"/>
    <w:rsid w:val="006C4DEB"/>
    <w:rsid w:val="00727E4D"/>
    <w:rsid w:val="00736910"/>
    <w:rsid w:val="0095219F"/>
    <w:rsid w:val="00A46158"/>
    <w:rsid w:val="00AA20C0"/>
    <w:rsid w:val="00B2163A"/>
    <w:rsid w:val="00B53758"/>
    <w:rsid w:val="00C94144"/>
    <w:rsid w:val="00CE01B1"/>
    <w:rsid w:val="00CE73D2"/>
    <w:rsid w:val="00FD4643"/>
    <w:rsid w:val="021A0624"/>
    <w:rsid w:val="0C962A97"/>
    <w:rsid w:val="185A658E"/>
    <w:rsid w:val="240E42EE"/>
    <w:rsid w:val="24F1517D"/>
    <w:rsid w:val="2B83525E"/>
    <w:rsid w:val="2F150229"/>
    <w:rsid w:val="301D1074"/>
    <w:rsid w:val="30AA1D1C"/>
    <w:rsid w:val="32592AFA"/>
    <w:rsid w:val="349D199A"/>
    <w:rsid w:val="367757D5"/>
    <w:rsid w:val="3754108A"/>
    <w:rsid w:val="3A7C7AC5"/>
    <w:rsid w:val="3D5F680A"/>
    <w:rsid w:val="40395292"/>
    <w:rsid w:val="44EE5F41"/>
    <w:rsid w:val="480C407D"/>
    <w:rsid w:val="49B16387"/>
    <w:rsid w:val="4C8220D7"/>
    <w:rsid w:val="4D6435F0"/>
    <w:rsid w:val="4DC6770F"/>
    <w:rsid w:val="579F308E"/>
    <w:rsid w:val="57C06F6D"/>
    <w:rsid w:val="58103726"/>
    <w:rsid w:val="58A41E97"/>
    <w:rsid w:val="61073CF4"/>
    <w:rsid w:val="620C6981"/>
    <w:rsid w:val="6EC90910"/>
    <w:rsid w:val="71A73FED"/>
    <w:rsid w:val="721E4BC7"/>
    <w:rsid w:val="72C0608F"/>
    <w:rsid w:val="754F1414"/>
    <w:rsid w:val="77380622"/>
    <w:rsid w:val="79B66074"/>
    <w:rsid w:val="79FB4B42"/>
    <w:rsid w:val="7B884E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qFormat/>
    <w:uiPriority w:val="0"/>
    <w:rPr>
      <w:sz w:val="18"/>
      <w:szCs w:val="18"/>
    </w:rPr>
  </w:style>
  <w:style w:type="paragraph" w:styleId="3">
    <w:name w:val="footer"/>
    <w:basedOn w:val="1"/>
    <w:link w:val="10"/>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qFormat/>
    <w:uiPriority w:val="22"/>
    <w:rPr>
      <w:b/>
      <w:bCs/>
    </w:rPr>
  </w:style>
  <w:style w:type="character" w:customStyle="1" w:styleId="9">
    <w:name w:val="页眉 Char"/>
    <w:basedOn w:val="7"/>
    <w:link w:val="4"/>
    <w:qFormat/>
    <w:uiPriority w:val="0"/>
    <w:rPr>
      <w:kern w:val="2"/>
      <w:sz w:val="18"/>
      <w:szCs w:val="18"/>
    </w:rPr>
  </w:style>
  <w:style w:type="character" w:customStyle="1" w:styleId="10">
    <w:name w:val="页脚 Char"/>
    <w:basedOn w:val="7"/>
    <w:link w:val="3"/>
    <w:qFormat/>
    <w:uiPriority w:val="0"/>
    <w:rPr>
      <w:kern w:val="2"/>
      <w:sz w:val="18"/>
      <w:szCs w:val="18"/>
    </w:rPr>
  </w:style>
  <w:style w:type="character" w:customStyle="1" w:styleId="11">
    <w:name w:val="批注框文本 Char"/>
    <w:basedOn w:val="7"/>
    <w:link w:val="2"/>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21407;D&#30424;\Documents\3707-20190908\SL-GCH20201010\&#21150;&#20844;&#23460;&#30340;\2023&#24180;\&#32418;&#22836;&#25991;&#20214;&#27169;&#26495;\&#32418;&#22836;&#25991;&#20214;-&#25919;&#21327;&#25552;&#26696;&#31572;&#22797;.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红头文件-政协提案答复.dotx</Template>
  <Pages>2</Pages>
  <Words>125</Words>
  <Characters>141</Characters>
  <Lines>1</Lines>
  <Paragraphs>1</Paragraphs>
  <TotalTime>2</TotalTime>
  <ScaleCrop>false</ScaleCrop>
  <LinksUpToDate>false</LinksUpToDate>
  <CharactersWithSpaces>168</CharactersWithSpaces>
  <Application>WPS Office_11.8.6.8810_F1E327BC-269C-435d-A152-05C5408002CA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2023-09-04T07:44:00Z</dcterms:created>
  <dc:creator>WPS_121338642</dc:creator>
  <cp:lastModifiedBy>WPS_121338642</cp:lastModifiedBy>
  <dcterms:modified xsi:type="dcterms:W3CDTF">2023-09-04T09:01:19Z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2052-11.8.6.8810</vt:lpwstr>
  </property>
</Properties>
</file>