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bidi w:val="0"/>
        <w:spacing w:line="560" w:lineRule="exact"/>
        <w:jc w:val="center"/>
        <w:rPr>
          <w:rFonts w:hint="eastAsia" w:ascii="仿宋_GB2312" w:hAnsi="仿宋_GB2312" w:eastAsia="仿宋_GB2312" w:cs="仿宋_GB2312"/>
          <w:color w:val="auto"/>
          <w:sz w:val="32"/>
          <w:szCs w:val="32"/>
          <w:lang w:eastAsia="zh-CN"/>
        </w:rPr>
      </w:pPr>
    </w:p>
    <w:p>
      <w:pPr>
        <w:keepNext w:val="0"/>
        <w:keepLines w:val="0"/>
        <w:pageBreakBefore w:val="0"/>
        <w:kinsoku/>
        <w:wordWrap/>
        <w:overflowPunct/>
        <w:topLinePunct w:val="0"/>
        <w:bidi w:val="0"/>
        <w:spacing w:line="560" w:lineRule="exact"/>
        <w:jc w:val="center"/>
        <w:rPr>
          <w:rFonts w:hint="eastAsia" w:ascii="仿宋_GB2312" w:hAnsi="仿宋_GB2312" w:eastAsia="仿宋_GB2312" w:cs="仿宋_GB2312"/>
          <w:color w:val="auto"/>
          <w:sz w:val="32"/>
          <w:szCs w:val="32"/>
          <w:lang w:eastAsia="zh-CN"/>
        </w:rPr>
      </w:pPr>
    </w:p>
    <w:p>
      <w:pPr>
        <w:keepNext w:val="0"/>
        <w:keepLines w:val="0"/>
        <w:pageBreakBefore w:val="0"/>
        <w:kinsoku/>
        <w:wordWrap/>
        <w:overflowPunct/>
        <w:topLinePunct w:val="0"/>
        <w:bidi w:val="0"/>
        <w:spacing w:line="560" w:lineRule="exact"/>
        <w:jc w:val="center"/>
        <w:rPr>
          <w:rFonts w:hint="eastAsia" w:ascii="仿宋_GB2312" w:hAnsi="仿宋_GB2312" w:eastAsia="仿宋_GB2312" w:cs="仿宋_GB2312"/>
          <w:color w:val="auto"/>
          <w:sz w:val="32"/>
          <w:szCs w:val="32"/>
          <w:lang w:eastAsia="zh-CN"/>
        </w:rPr>
      </w:pPr>
    </w:p>
    <w:p>
      <w:pPr>
        <w:keepNext w:val="0"/>
        <w:keepLines w:val="0"/>
        <w:pageBreakBefore w:val="0"/>
        <w:kinsoku/>
        <w:wordWrap/>
        <w:overflowPunct/>
        <w:topLinePunct w:val="0"/>
        <w:bidi w:val="0"/>
        <w:spacing w:line="560" w:lineRule="exact"/>
        <w:jc w:val="center"/>
        <w:rPr>
          <w:rFonts w:hint="eastAsia" w:ascii="仿宋_GB2312" w:hAnsi="仿宋_GB2312" w:eastAsia="仿宋_GB2312" w:cs="仿宋_GB2312"/>
          <w:color w:val="auto"/>
          <w:sz w:val="32"/>
          <w:szCs w:val="32"/>
          <w:lang w:eastAsia="zh-CN"/>
        </w:rPr>
      </w:pPr>
    </w:p>
    <w:p>
      <w:pPr>
        <w:keepNext w:val="0"/>
        <w:keepLines w:val="0"/>
        <w:pageBreakBefore w:val="0"/>
        <w:kinsoku/>
        <w:wordWrap/>
        <w:overflowPunct/>
        <w:topLinePunct w:val="0"/>
        <w:bidi w:val="0"/>
        <w:spacing w:line="560" w:lineRule="exact"/>
        <w:jc w:val="center"/>
        <w:rPr>
          <w:rFonts w:hint="eastAsia" w:ascii="仿宋_GB2312" w:hAnsi="仿宋_GB2312" w:eastAsia="仿宋_GB2312" w:cs="仿宋_GB2312"/>
          <w:color w:val="auto"/>
          <w:sz w:val="32"/>
          <w:szCs w:val="32"/>
          <w:lang w:eastAsia="zh-CN"/>
        </w:rPr>
      </w:pPr>
    </w:p>
    <w:p>
      <w:pPr>
        <w:keepNext w:val="0"/>
        <w:keepLines w:val="0"/>
        <w:pageBreakBefore w:val="0"/>
        <w:kinsoku/>
        <w:wordWrap/>
        <w:overflowPunct/>
        <w:topLinePunct w:val="0"/>
        <w:bidi w:val="0"/>
        <w:spacing w:line="560" w:lineRule="exact"/>
        <w:jc w:val="center"/>
        <w:rPr>
          <w:rFonts w:hint="eastAsia" w:ascii="仿宋_GB2312" w:hAnsi="仿宋_GB2312" w:eastAsia="仿宋_GB2312" w:cs="仿宋_GB2312"/>
          <w:color w:val="auto"/>
          <w:sz w:val="32"/>
          <w:szCs w:val="32"/>
          <w:lang w:eastAsia="zh-CN"/>
        </w:rPr>
      </w:pPr>
    </w:p>
    <w:p>
      <w:pPr>
        <w:keepNext w:val="0"/>
        <w:keepLines w:val="0"/>
        <w:pageBreakBefore w:val="0"/>
        <w:kinsoku/>
        <w:wordWrap/>
        <w:overflowPunct/>
        <w:topLinePunct w:val="0"/>
        <w:bidi w:val="0"/>
        <w:spacing w:line="560" w:lineRule="exact"/>
        <w:jc w:val="center"/>
        <w:rPr>
          <w:rFonts w:hint="eastAsia" w:ascii="仿宋_GB2312" w:hAnsi="仿宋_GB2312" w:eastAsia="仿宋_GB2312" w:cs="仿宋_GB2312"/>
          <w:color w:val="auto"/>
          <w:sz w:val="32"/>
          <w:szCs w:val="32"/>
          <w:lang w:eastAsia="zh-CN"/>
        </w:rPr>
      </w:pPr>
    </w:p>
    <w:p>
      <w:pPr>
        <w:keepNext w:val="0"/>
        <w:keepLines w:val="0"/>
        <w:pageBreakBefore w:val="0"/>
        <w:kinsoku/>
        <w:wordWrap/>
        <w:overflowPunct/>
        <w:topLinePunct w:val="0"/>
        <w:bidi w:val="0"/>
        <w:spacing w:line="560" w:lineRule="exact"/>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涞农【</w:t>
      </w:r>
      <w:r>
        <w:rPr>
          <w:rFonts w:hint="eastAsia" w:ascii="仿宋_GB2312" w:hAnsi="仿宋_GB2312" w:eastAsia="仿宋_GB2312" w:cs="仿宋_GB2312"/>
          <w:color w:val="auto"/>
          <w:sz w:val="32"/>
          <w:szCs w:val="32"/>
          <w:lang w:val="en-US" w:eastAsia="zh-CN"/>
        </w:rPr>
        <w:t>2023</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79</w:t>
      </w:r>
      <w:r>
        <w:rPr>
          <w:rFonts w:hint="eastAsia" w:ascii="仿宋_GB2312" w:hAnsi="仿宋_GB2312" w:eastAsia="仿宋_GB2312" w:cs="仿宋_GB2312"/>
          <w:color w:val="auto"/>
          <w:sz w:val="32"/>
          <w:szCs w:val="32"/>
          <w:lang w:eastAsia="zh-CN"/>
        </w:rPr>
        <w:t>号</w:t>
      </w:r>
    </w:p>
    <w:p>
      <w:pPr>
        <w:keepNext w:val="0"/>
        <w:keepLines w:val="0"/>
        <w:pageBreakBefore w:val="0"/>
        <w:kinsoku/>
        <w:wordWrap/>
        <w:overflowPunct/>
        <w:topLinePunct w:val="0"/>
        <w:bidi w:val="0"/>
        <w:spacing w:line="560" w:lineRule="exact"/>
        <w:jc w:val="both"/>
        <w:rPr>
          <w:rFonts w:hint="eastAsia" w:ascii="仿宋_GB2312" w:hAnsi="仿宋_GB2312" w:eastAsia="仿宋_GB2312" w:cs="仿宋_GB2312"/>
          <w:color w:val="auto"/>
          <w:sz w:val="32"/>
          <w:szCs w:val="32"/>
          <w:lang w:eastAsia="zh-CN"/>
        </w:rPr>
      </w:pPr>
    </w:p>
    <w:p>
      <w:pPr>
        <w:keepNext w:val="0"/>
        <w:keepLines w:val="0"/>
        <w:pageBreakBefore w:val="0"/>
        <w:kinsoku/>
        <w:wordWrap/>
        <w:overflowPunct/>
        <w:topLinePunct w:val="0"/>
        <w:bidi w:val="0"/>
        <w:spacing w:line="560" w:lineRule="exact"/>
        <w:jc w:val="center"/>
        <w:rPr>
          <w:rFonts w:hint="eastAsia" w:ascii="方正小标宋简体" w:eastAsia="方正小标宋简体"/>
          <w:color w:val="auto"/>
          <w:sz w:val="44"/>
          <w:szCs w:val="44"/>
          <w:lang w:eastAsia="zh-CN"/>
        </w:rPr>
      </w:pPr>
      <w:r>
        <w:rPr>
          <w:rFonts w:hint="eastAsia" w:ascii="方正小标宋简体" w:eastAsia="方正小标宋简体"/>
          <w:color w:val="auto"/>
          <w:sz w:val="44"/>
          <w:szCs w:val="44"/>
          <w:lang w:eastAsia="zh-CN"/>
        </w:rPr>
        <w:t>涞源县农业农村局</w:t>
      </w:r>
    </w:p>
    <w:p>
      <w:pPr>
        <w:keepNext w:val="0"/>
        <w:keepLines w:val="0"/>
        <w:pageBreakBefore w:val="0"/>
        <w:kinsoku/>
        <w:wordWrap/>
        <w:overflowPunct/>
        <w:topLinePunct w:val="0"/>
        <w:bidi w:val="0"/>
        <w:spacing w:line="560" w:lineRule="exact"/>
        <w:jc w:val="center"/>
        <w:rPr>
          <w:rFonts w:hint="eastAsia" w:ascii="方正小标宋简体" w:eastAsia="方正小标宋简体"/>
          <w:color w:val="auto"/>
          <w:sz w:val="44"/>
          <w:szCs w:val="44"/>
          <w:lang w:eastAsia="zh-CN"/>
        </w:rPr>
      </w:pPr>
      <w:r>
        <w:rPr>
          <w:rFonts w:hint="eastAsia" w:ascii="方正小标宋简体" w:eastAsia="方正小标宋简体"/>
          <w:color w:val="auto"/>
          <w:sz w:val="44"/>
          <w:szCs w:val="44"/>
        </w:rPr>
        <w:t>20</w:t>
      </w:r>
      <w:r>
        <w:rPr>
          <w:rFonts w:hint="eastAsia" w:ascii="方正小标宋简体" w:eastAsia="方正小标宋简体"/>
          <w:color w:val="auto"/>
          <w:sz w:val="44"/>
          <w:szCs w:val="44"/>
          <w:lang w:val="en-US" w:eastAsia="zh-CN"/>
        </w:rPr>
        <w:t>23</w:t>
      </w:r>
      <w:r>
        <w:rPr>
          <w:rFonts w:hint="eastAsia" w:ascii="方正小标宋简体" w:eastAsia="方正小标宋简体"/>
          <w:color w:val="auto"/>
          <w:sz w:val="44"/>
          <w:szCs w:val="44"/>
        </w:rPr>
        <w:t>年度</w:t>
      </w:r>
      <w:r>
        <w:rPr>
          <w:rFonts w:hint="eastAsia" w:ascii="方正小标宋简体" w:eastAsia="方正小标宋简体"/>
          <w:color w:val="auto"/>
          <w:sz w:val="44"/>
          <w:szCs w:val="44"/>
          <w:lang w:val="en-US" w:eastAsia="zh-CN"/>
        </w:rPr>
        <w:t>农业产业强镇项目</w:t>
      </w:r>
    </w:p>
    <w:p>
      <w:pPr>
        <w:keepNext w:val="0"/>
        <w:keepLines w:val="0"/>
        <w:pageBreakBefore w:val="0"/>
        <w:kinsoku/>
        <w:wordWrap/>
        <w:overflowPunct/>
        <w:topLinePunct w:val="0"/>
        <w:bidi w:val="0"/>
        <w:spacing w:line="560" w:lineRule="exact"/>
        <w:jc w:val="center"/>
        <w:rPr>
          <w:rFonts w:hint="eastAsia" w:ascii="方正小标宋简体" w:eastAsia="方正小标宋简体"/>
          <w:color w:val="auto"/>
          <w:sz w:val="44"/>
          <w:szCs w:val="44"/>
        </w:rPr>
      </w:pPr>
      <w:r>
        <w:rPr>
          <w:rFonts w:hint="eastAsia" w:ascii="方正小标宋简体" w:eastAsia="方正小标宋简体"/>
          <w:color w:val="auto"/>
          <w:sz w:val="44"/>
          <w:szCs w:val="44"/>
        </w:rPr>
        <w:t>实施方案</w:t>
      </w:r>
    </w:p>
    <w:p/>
    <w:p>
      <w:pPr>
        <w:pStyle w:val="6"/>
      </w:pPr>
    </w:p>
    <w:p>
      <w:pPr>
        <w:spacing w:after="37"/>
        <w:ind w:right="15"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根据农业农村部办公厅、财政部办公厅《关于做好2023年农业产业融合发展项目申报工作的通知》（农办计财〔2023〕5号）和《关于公布2023年农业产业融合发展项目创建名单的通知》精神，为实施好2023年</w:t>
      </w:r>
      <w:r>
        <w:rPr>
          <w:rFonts w:hint="eastAsia" w:ascii="仿宋_GB2312" w:hAnsi="仿宋_GB2312" w:eastAsia="仿宋_GB2312" w:cs="仿宋_GB2312"/>
          <w:sz w:val="32"/>
          <w:szCs w:val="32"/>
          <w:lang w:eastAsia="zh-CN"/>
        </w:rPr>
        <w:t>国家</w:t>
      </w:r>
      <w:r>
        <w:rPr>
          <w:rFonts w:hint="eastAsia" w:ascii="仿宋_GB2312" w:hAnsi="仿宋_GB2312" w:eastAsia="仿宋_GB2312" w:cs="仿宋_GB2312"/>
          <w:sz w:val="32"/>
          <w:szCs w:val="32"/>
        </w:rPr>
        <w:t>农业产业强镇创建项目，</w:t>
      </w:r>
      <w:r>
        <w:rPr>
          <w:rFonts w:hint="eastAsia" w:ascii="仿宋_GB2312" w:hAnsi="仿宋_GB2312" w:eastAsia="仿宋_GB2312" w:cs="仿宋_GB2312"/>
          <w:color w:val="auto"/>
          <w:sz w:val="32"/>
          <w:szCs w:val="32"/>
        </w:rPr>
        <w:t>制定本实施方案。</w:t>
      </w:r>
    </w:p>
    <w:p>
      <w:pPr>
        <w:ind w:right="15"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一、</w:t>
      </w:r>
      <w:r>
        <w:rPr>
          <w:rFonts w:hint="eastAsia" w:ascii="仿宋_GB2312" w:hAnsi="仿宋_GB2312" w:eastAsia="仿宋_GB2312" w:cs="仿宋_GB2312"/>
          <w:b/>
          <w:bCs/>
          <w:sz w:val="32"/>
          <w:szCs w:val="32"/>
        </w:rPr>
        <w:t>总体要求</w:t>
      </w:r>
    </w:p>
    <w:p>
      <w:pPr>
        <w:ind w:left="15" w:right="15" w:firstLine="645"/>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坚持以习近平新时代中国特色社会主义思想为指导，深入贯彻党的二十大精神和中央经济工作会议、中央农村工作会议精神，按照2023年中央一号文件部署，锚定建设农业强国目标，以促进乡村产业融合发展为重点，发挥乡镇上联城市、下接乡村的纽带作用，聚焦一个农业主导产业，强龙头、补链条、兴业态、树品牌，聚集资源要素，延长产业链条，补齐发展短板，完善联农带农利益联结机制，增强市场</w:t>
      </w:r>
      <w:r>
        <w:rPr>
          <w:rFonts w:hint="eastAsia" w:ascii="仿宋_GB2312" w:hAnsi="仿宋_GB2312" w:eastAsia="仿宋_GB2312" w:cs="仿宋_GB2312"/>
          <w:sz w:val="32"/>
          <w:szCs w:val="32"/>
          <w:lang w:eastAsia="zh-CN"/>
        </w:rPr>
        <w:t>竞争力</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和可持续发展能力，为</w:t>
      </w:r>
      <w:r>
        <w:rPr>
          <w:rFonts w:hint="eastAsia" w:ascii="仿宋_GB2312" w:hAnsi="仿宋_GB2312" w:eastAsia="仿宋_GB2312" w:cs="仿宋_GB2312"/>
          <w:sz w:val="32"/>
          <w:szCs w:val="32"/>
          <w:lang w:eastAsia="zh-CN"/>
        </w:rPr>
        <w:t>加快</w:t>
      </w:r>
      <w:r>
        <w:rPr>
          <w:rFonts w:hint="eastAsia" w:ascii="仿宋_GB2312" w:hAnsi="仿宋_GB2312" w:eastAsia="仿宋_GB2312" w:cs="仿宋_GB2312"/>
          <w:sz w:val="32"/>
          <w:szCs w:val="32"/>
        </w:rPr>
        <w:t>建设农业强国和</w:t>
      </w:r>
      <w:r>
        <w:rPr>
          <w:rFonts w:hint="eastAsia" w:ascii="仿宋_GB2312" w:hAnsi="仿宋_GB2312" w:eastAsia="仿宋_GB2312" w:cs="仿宋_GB2312"/>
          <w:sz w:val="32"/>
          <w:szCs w:val="32"/>
          <w:lang w:eastAsia="zh-CN"/>
        </w:rPr>
        <w:t>实</w:t>
      </w:r>
      <w:r>
        <w:rPr>
          <w:rFonts w:hint="eastAsia" w:ascii="仿宋_GB2312" w:hAnsi="仿宋_GB2312" w:eastAsia="仿宋_GB2312" w:cs="仿宋_GB2312"/>
          <w:sz w:val="32"/>
          <w:szCs w:val="32"/>
        </w:rPr>
        <w:t>现乡村全面振兴、农业农村现代化提供有力支撑。</w:t>
      </w:r>
    </w:p>
    <w:p>
      <w:pPr>
        <w:ind w:right="15"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二、</w:t>
      </w:r>
      <w:r>
        <w:rPr>
          <w:rFonts w:hint="eastAsia" w:ascii="仿宋_GB2312" w:hAnsi="仿宋_GB2312" w:eastAsia="仿宋_GB2312" w:cs="仿宋_GB2312"/>
          <w:b/>
          <w:bCs/>
          <w:sz w:val="32"/>
          <w:szCs w:val="32"/>
        </w:rPr>
        <w:t>建设内容</w:t>
      </w:r>
    </w:p>
    <w:p>
      <w:pPr>
        <w:spacing w:after="84"/>
        <w:ind w:left="15" w:right="15" w:firstLine="645"/>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农业产业强镇建设，要聚焦重点产业，聚集资源要素，强化创新引领，打造先行先试试验田、样板间，创建一批标准原料基地、集约加工转化、区域</w:t>
      </w:r>
      <w:r>
        <w:rPr>
          <w:rFonts w:hint="eastAsia" w:ascii="仿宋_GB2312" w:hAnsi="仿宋_GB2312" w:eastAsia="仿宋_GB2312" w:cs="仿宋_GB2312"/>
          <w:sz w:val="32"/>
          <w:szCs w:val="32"/>
          <w:lang w:eastAsia="zh-CN"/>
        </w:rPr>
        <w:t>主</w:t>
      </w:r>
      <w:r>
        <w:rPr>
          <w:rFonts w:hint="eastAsia" w:ascii="仿宋_GB2312" w:hAnsi="仿宋_GB2312" w:eastAsia="仿宋_GB2312" w:cs="仿宋_GB2312"/>
          <w:sz w:val="32"/>
          <w:szCs w:val="32"/>
        </w:rPr>
        <w:t>导产业紧密利益联结于一体的农业产业强镇。</w:t>
      </w:r>
    </w:p>
    <w:p>
      <w:pPr>
        <w:numPr>
          <w:ilvl w:val="0"/>
          <w:numId w:val="0"/>
        </w:numPr>
        <w:spacing w:after="0"/>
        <w:ind w:right="15" w:rightChars="0"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聚焦农业主导产业。要紧扣乡村产业振兴目标，落实高质量发展要求，聚焦镇（乡）1个农业主导产业，合理规划建设内容，集中有效资源做大做强做出亮点，促进产业上下延伸、侧向配套，衍生或吸引更多的要素集聚，推动资源集约利用、功能集合构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最大限度体现产业集聚区的综合效应。大力创强品牌，发展品质优良、特色鲜明的区域公共品牌，培育一批质量过硬、信誉可靠的企业品牌，培育一批</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乡字号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土字号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的产</w:t>
      </w:r>
      <w:r>
        <w:rPr>
          <w:rFonts w:hint="eastAsia" w:ascii="仿宋_GB2312" w:hAnsi="仿宋_GB2312" w:eastAsia="仿宋_GB2312" w:cs="仿宋_GB2312"/>
          <w:sz w:val="32"/>
          <w:szCs w:val="32"/>
          <w:lang w:eastAsia="zh-CN"/>
        </w:rPr>
        <w:t>品品牌。</w:t>
      </w:r>
    </w:p>
    <w:p>
      <w:pPr>
        <w:numPr>
          <w:ilvl w:val="0"/>
          <w:numId w:val="0"/>
        </w:numPr>
        <w:spacing w:after="63"/>
        <w:ind w:right="15" w:righ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（二）</w:t>
      </w:r>
      <w:r>
        <w:rPr>
          <w:rFonts w:hint="eastAsia" w:ascii="仿宋_GB2312" w:hAnsi="仿宋_GB2312" w:eastAsia="仿宋_GB2312" w:cs="仿宋_GB2312"/>
          <w:sz w:val="32"/>
          <w:szCs w:val="32"/>
        </w:rPr>
        <w:t>培育产业融合主体。规范壮大产业生产经营市场主体。鼓励打造一批以龙头企业为引领、以合作社和</w:t>
      </w:r>
      <w:r>
        <w:rPr>
          <w:rFonts w:hint="eastAsia" w:ascii="仿宋_GB2312" w:hAnsi="仿宋_GB2312" w:eastAsia="仿宋_GB2312" w:cs="仿宋_GB2312"/>
          <w:sz w:val="32"/>
          <w:szCs w:val="32"/>
          <w:lang w:eastAsia="zh-CN"/>
        </w:rPr>
        <w:t>家庭</w:t>
      </w:r>
      <w:r>
        <w:rPr>
          <w:rFonts w:hint="eastAsia" w:ascii="仿宋_GB2312" w:hAnsi="仿宋_GB2312" w:eastAsia="仿宋_GB2312" w:cs="仿宋_GB2312"/>
          <w:sz w:val="32"/>
          <w:szCs w:val="32"/>
        </w:rPr>
        <w:t>农场为纽带、以农户为基础的农业产业化联合体，构建完整产业链条，增强乡村产业发展的内生动力。</w:t>
      </w:r>
    </w:p>
    <w:p>
      <w:pPr>
        <w:numPr>
          <w:ilvl w:val="0"/>
          <w:numId w:val="0"/>
        </w:numPr>
        <w:spacing w:after="116"/>
        <w:ind w:right="15" w:righ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（三）</w:t>
      </w:r>
      <w:r>
        <w:rPr>
          <w:rFonts w:hint="eastAsia" w:ascii="仿宋_GB2312" w:hAnsi="仿宋_GB2312" w:eastAsia="仿宋_GB2312" w:cs="仿宋_GB2312"/>
          <w:sz w:val="32"/>
          <w:szCs w:val="32"/>
        </w:rPr>
        <w:t>着力补强薄弱环节。重点围绕主导产业</w:t>
      </w:r>
      <w:r>
        <w:rPr>
          <w:rFonts w:hint="eastAsia" w:ascii="仿宋_GB2312" w:hAnsi="仿宋_GB2312" w:eastAsia="仿宋_GB2312" w:cs="仿宋_GB2312"/>
          <w:sz w:val="32"/>
          <w:szCs w:val="32"/>
          <w:lang w:eastAsia="zh-CN"/>
        </w:rPr>
        <w:t>一二</w:t>
      </w:r>
      <w:r>
        <w:rPr>
          <w:rFonts w:hint="eastAsia" w:ascii="仿宋_GB2312" w:hAnsi="仿宋_GB2312" w:eastAsia="仿宋_GB2312" w:cs="仿宋_GB2312"/>
          <w:sz w:val="32"/>
          <w:szCs w:val="32"/>
        </w:rPr>
        <w:t>三产业融合发展中的薄弱环节发力。在镇域进行全产业链布局，促进产业跨界融合、要素跨界流动，使空间更加紧凑、产业互联互通、各环节高度依存。聚集资源要素，强化创新引领，加</w:t>
      </w:r>
      <w:r>
        <w:rPr>
          <w:rFonts w:hint="eastAsia" w:ascii="仿宋_GB2312" w:hAnsi="仿宋_GB2312" w:eastAsia="仿宋_GB2312" w:cs="仿宋_GB2312"/>
          <w:sz w:val="32"/>
          <w:szCs w:val="32"/>
          <w:lang w:eastAsia="zh-CN"/>
        </w:rPr>
        <w:t>块</w:t>
      </w:r>
      <w:r>
        <w:rPr>
          <w:rFonts w:hint="eastAsia" w:ascii="仿宋_GB2312" w:hAnsi="仿宋_GB2312" w:eastAsia="仿宋_GB2312" w:cs="仿宋_GB2312"/>
          <w:sz w:val="32"/>
          <w:szCs w:val="32"/>
        </w:rPr>
        <w:t>全产业链建设、全价值链开发，着力支持提升生产基</w:t>
      </w:r>
      <w:r>
        <w:rPr>
          <w:rFonts w:hint="eastAsia" w:ascii="仿宋_GB2312" w:hAnsi="仿宋_GB2312" w:eastAsia="仿宋_GB2312" w:cs="仿宋_GB2312"/>
          <w:sz w:val="32"/>
          <w:szCs w:val="32"/>
          <w:lang w:eastAsia="zh-CN"/>
        </w:rPr>
        <w:t>地、</w:t>
      </w:r>
      <w:r>
        <w:rPr>
          <w:rFonts w:hint="eastAsia" w:ascii="仿宋_GB2312" w:hAnsi="仿宋_GB2312" w:eastAsia="仿宋_GB2312" w:cs="仿宋_GB2312"/>
          <w:sz w:val="32"/>
          <w:szCs w:val="32"/>
        </w:rPr>
        <w:t>仓储保鲜、加工营销等设施装备水平。要围绕主导产业，拓展农业功能，发展休闲农业、农产品电商等新业态。</w:t>
      </w:r>
    </w:p>
    <w:p>
      <w:pPr>
        <w:numPr>
          <w:ilvl w:val="0"/>
          <w:numId w:val="0"/>
        </w:numPr>
        <w:spacing w:after="3" w:line="265" w:lineRule="auto"/>
        <w:ind w:right="15" w:righ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（四）</w:t>
      </w:r>
      <w:r>
        <w:rPr>
          <w:rFonts w:hint="eastAsia" w:ascii="仿宋_GB2312" w:hAnsi="仿宋_GB2312" w:eastAsia="仿宋_GB2312" w:cs="仿宋_GB2312"/>
          <w:sz w:val="32"/>
          <w:szCs w:val="32"/>
        </w:rPr>
        <w:t>构建利益联结机制。坚持实事求是、因</w:t>
      </w:r>
      <w:r>
        <w:rPr>
          <w:rFonts w:hint="eastAsia" w:ascii="仿宋_GB2312" w:hAnsi="仿宋_GB2312" w:eastAsia="仿宋_GB2312" w:cs="仿宋_GB2312"/>
          <w:sz w:val="32"/>
          <w:szCs w:val="32"/>
          <w:lang w:eastAsia="zh-CN"/>
        </w:rPr>
        <w:t>地</w:t>
      </w:r>
      <w:r>
        <w:rPr>
          <w:rFonts w:hint="eastAsia" w:ascii="仿宋_GB2312" w:hAnsi="仿宋_GB2312" w:eastAsia="仿宋_GB2312" w:cs="仿宋_GB2312"/>
          <w:sz w:val="32"/>
          <w:szCs w:val="32"/>
        </w:rPr>
        <w:t>制宜，</w:t>
      </w:r>
      <w:r>
        <w:rPr>
          <w:rFonts w:hint="eastAsia" w:ascii="仿宋_GB2312" w:hAnsi="仿宋_GB2312" w:eastAsia="仿宋_GB2312" w:cs="仿宋_GB2312"/>
          <w:sz w:val="32"/>
          <w:szCs w:val="32"/>
          <w:lang w:eastAsia="zh-CN"/>
        </w:rPr>
        <w:t>积极</w:t>
      </w:r>
      <w:r>
        <w:rPr>
          <w:rFonts w:hint="eastAsia" w:ascii="仿宋_GB2312" w:hAnsi="仿宋_GB2312" w:eastAsia="仿宋_GB2312" w:cs="仿宋_GB2312"/>
          <w:sz w:val="32"/>
          <w:szCs w:val="32"/>
        </w:rPr>
        <w:t>探索财政奖补资金股权量化、资源变资产、资金变股金、农民变股东等多种易操作、可持续的方式，促进农民增收致富。在发展标准化规模化种养业中，要通过加入合作社、发展订单农业、开展生产托管等方式，直接带动农民发展、直接让农民受益；推动与农民建</w:t>
      </w:r>
      <w:r>
        <w:rPr>
          <w:rFonts w:hint="eastAsia" w:ascii="仿宋_GB2312" w:hAnsi="仿宋_GB2312" w:eastAsia="仿宋_GB2312" w:cs="仿宋_GB2312"/>
          <w:sz w:val="32"/>
          <w:szCs w:val="32"/>
          <w:lang w:eastAsia="zh-CN"/>
        </w:rPr>
        <w:t>立</w:t>
      </w:r>
      <w:r>
        <w:rPr>
          <w:rFonts w:hint="eastAsia" w:ascii="仿宋_GB2312" w:hAnsi="仿宋_GB2312" w:eastAsia="仿宋_GB2312" w:cs="仿宋_GB2312"/>
          <w:sz w:val="32"/>
          <w:szCs w:val="32"/>
        </w:rPr>
        <w:t>契约型、股权型等利益联结机制，让农民分享产业增值成果；在鼓励资本下乡发展农业产业中，要完善相关政策措施和管理办法，设</w:t>
      </w:r>
      <w:r>
        <w:rPr>
          <w:rFonts w:hint="eastAsia" w:ascii="仿宋_GB2312" w:hAnsi="仿宋_GB2312" w:eastAsia="仿宋_GB2312" w:cs="仿宋_GB2312"/>
          <w:sz w:val="32"/>
          <w:szCs w:val="32"/>
          <w:lang w:eastAsia="zh-CN"/>
        </w:rPr>
        <w:t>立</w:t>
      </w:r>
      <w:r>
        <w:rPr>
          <w:rFonts w:hint="eastAsia" w:ascii="仿宋_GB2312" w:hAnsi="仿宋_GB2312" w:eastAsia="仿宋_GB2312" w:cs="仿宋_GB2312"/>
          <w:sz w:val="32"/>
          <w:szCs w:val="32"/>
        </w:rPr>
        <w:t>必要的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防火墙</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防止侵犯农民利益，确保广大农民尤其是小农户实实在在分享发展成果。</w:t>
      </w:r>
    </w:p>
    <w:p>
      <w:pPr>
        <w:numPr>
          <w:ilvl w:val="0"/>
          <w:numId w:val="0"/>
        </w:numPr>
        <w:spacing w:after="68"/>
        <w:ind w:right="15" w:righ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（五）</w:t>
      </w:r>
      <w:r>
        <w:rPr>
          <w:rFonts w:hint="eastAsia" w:ascii="仿宋_GB2312" w:hAnsi="仿宋_GB2312" w:eastAsia="仿宋_GB2312" w:cs="仿宋_GB2312"/>
          <w:sz w:val="32"/>
          <w:szCs w:val="32"/>
        </w:rPr>
        <w:t>建立健全体制机制。鼓励各</w:t>
      </w:r>
      <w:r>
        <w:rPr>
          <w:rFonts w:hint="eastAsia" w:ascii="仿宋_GB2312" w:hAnsi="仿宋_GB2312" w:eastAsia="仿宋_GB2312" w:cs="仿宋_GB2312"/>
          <w:sz w:val="32"/>
          <w:szCs w:val="32"/>
          <w:lang w:eastAsia="zh-CN"/>
        </w:rPr>
        <w:t>地</w:t>
      </w:r>
      <w:r>
        <w:rPr>
          <w:rFonts w:hint="eastAsia" w:ascii="仿宋_GB2312" w:hAnsi="仿宋_GB2312" w:eastAsia="仿宋_GB2312" w:cs="仿宋_GB2312"/>
          <w:sz w:val="32"/>
          <w:szCs w:val="32"/>
        </w:rPr>
        <w:t>以主导产业发展为切入点，集成政策、集聚要素、集合功能、集中资金，加快建</w:t>
      </w:r>
      <w:r>
        <w:rPr>
          <w:rFonts w:hint="eastAsia" w:ascii="仿宋_GB2312" w:hAnsi="仿宋_GB2312" w:eastAsia="仿宋_GB2312" w:cs="仿宋_GB2312"/>
          <w:sz w:val="32"/>
          <w:szCs w:val="32"/>
          <w:lang w:eastAsia="zh-CN"/>
        </w:rPr>
        <w:t>立</w:t>
      </w:r>
      <w:r>
        <w:rPr>
          <w:rFonts w:hint="eastAsia" w:ascii="仿宋_GB2312" w:hAnsi="仿宋_GB2312" w:eastAsia="仿宋_GB2312" w:cs="仿宋_GB2312"/>
          <w:sz w:val="32"/>
          <w:szCs w:val="32"/>
        </w:rPr>
        <w:t>健全城乡融合发展体制机制和政策体系，统筹推进农村集体产权制度改革、城乡基础设施建设、农村人居环境整治等工作，通过产业兴旺实现以产兴村、产镇融合的发展格局，使产业强镇率先实现产业兴旺、生态宜居、乡风文明、治理有效、生活富裕的乡村振兴目标。</w:t>
      </w:r>
    </w:p>
    <w:p>
      <w:pPr>
        <w:ind w:left="645" w:right="15"/>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drawing>
          <wp:inline distT="0" distB="0" distL="0" distR="0">
            <wp:extent cx="180975" cy="152400"/>
            <wp:effectExtent l="0" t="0" r="9525" b="0"/>
            <wp:docPr id="2198999" name="Picture 2198999"/>
            <wp:cNvGraphicFramePr/>
            <a:graphic xmlns:a="http://schemas.openxmlformats.org/drawingml/2006/main">
              <a:graphicData uri="http://schemas.openxmlformats.org/drawingml/2006/picture">
                <pic:pic xmlns:pic="http://schemas.openxmlformats.org/drawingml/2006/picture">
                  <pic:nvPicPr>
                    <pic:cNvPr id="2198999" name="Picture 2198999"/>
                    <pic:cNvPicPr/>
                  </pic:nvPicPr>
                  <pic:blipFill>
                    <a:blip r:embed="rId5"/>
                    <a:stretch>
                      <a:fillRect/>
                    </a:stretch>
                  </pic:blipFill>
                  <pic:spPr>
                    <a:xfrm>
                      <a:off x="0" y="0"/>
                      <a:ext cx="180975" cy="152400"/>
                    </a:xfrm>
                    <a:prstGeom prst="rect">
                      <a:avLst/>
                    </a:prstGeom>
                  </pic:spPr>
                </pic:pic>
              </a:graphicData>
            </a:graphic>
          </wp:inline>
        </w:drawing>
      </w:r>
      <w:r>
        <w:rPr>
          <w:rFonts w:hint="eastAsia" w:ascii="仿宋_GB2312" w:hAnsi="仿宋_GB2312" w:eastAsia="仿宋_GB2312" w:cs="仿宋_GB2312"/>
          <w:b/>
          <w:bCs/>
          <w:sz w:val="32"/>
          <w:szCs w:val="32"/>
        </w:rPr>
        <w:t>、资金使用</w:t>
      </w:r>
    </w:p>
    <w:p>
      <w:pPr>
        <w:ind w:left="15" w:right="15" w:firstLine="645"/>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eastAsia="zh-CN"/>
        </w:rPr>
        <w:t>（一）</w:t>
      </w:r>
      <w:r>
        <w:rPr>
          <w:rFonts w:hint="eastAsia" w:ascii="仿宋_GB2312" w:hAnsi="仿宋_GB2312" w:eastAsia="仿宋_GB2312" w:cs="仿宋_GB2312"/>
          <w:b/>
          <w:bCs/>
          <w:sz w:val="32"/>
          <w:szCs w:val="32"/>
        </w:rPr>
        <w:t>资金安排</w:t>
      </w:r>
      <w:r>
        <w:rPr>
          <w:rFonts w:hint="eastAsia" w:ascii="仿宋_GB2312" w:hAnsi="仿宋_GB2312" w:eastAsia="仿宋_GB2312" w:cs="仿宋_GB2312"/>
          <w:sz w:val="32"/>
          <w:szCs w:val="32"/>
        </w:rPr>
        <w:t>。按照农业农村部、财政部批复公布的2023年农业产业强镇创建名单，威县赵村镇、石</w:t>
      </w:r>
      <w:r>
        <w:rPr>
          <w:rFonts w:hint="eastAsia" w:ascii="仿宋_GB2312" w:hAnsi="仿宋_GB2312" w:eastAsia="仿宋_GB2312" w:cs="仿宋_GB2312"/>
          <w:sz w:val="32"/>
          <w:szCs w:val="32"/>
          <w:lang w:eastAsia="zh-CN"/>
        </w:rPr>
        <w:t>家</w:t>
      </w:r>
      <w:r>
        <w:rPr>
          <w:rFonts w:hint="eastAsia" w:ascii="仿宋_GB2312" w:hAnsi="仿宋_GB2312" w:eastAsia="仿宋_GB2312" w:cs="仿宋_GB2312"/>
          <w:sz w:val="32"/>
          <w:szCs w:val="32"/>
        </w:rPr>
        <w:t>庄市</w:t>
      </w:r>
      <w:r>
        <w:rPr>
          <w:rFonts w:hint="eastAsia" w:ascii="仿宋_GB2312" w:hAnsi="仿宋_GB2312" w:eastAsia="仿宋_GB2312" w:cs="仿宋_GB2312"/>
          <w:sz w:val="32"/>
          <w:szCs w:val="32"/>
          <w:lang w:eastAsia="zh-CN"/>
        </w:rPr>
        <w:t>鹿</w:t>
      </w:r>
      <w:r>
        <w:rPr>
          <w:rFonts w:hint="eastAsia" w:ascii="仿宋_GB2312" w:hAnsi="仿宋_GB2312" w:eastAsia="仿宋_GB2312" w:cs="仿宋_GB2312"/>
          <w:sz w:val="32"/>
          <w:szCs w:val="32"/>
        </w:rPr>
        <w:t>泉区铜冶镇、怀来县土木镇、安平县西两洼乡、涞源县</w:t>
      </w:r>
      <w:r>
        <w:rPr>
          <w:rFonts w:hint="eastAsia" w:ascii="仿宋_GB2312" w:hAnsi="仿宋_GB2312" w:eastAsia="仿宋_GB2312" w:cs="仿宋_GB2312"/>
          <w:sz w:val="32"/>
          <w:szCs w:val="32"/>
          <w:lang w:eastAsia="zh-CN"/>
        </w:rPr>
        <w:t>金家井</w:t>
      </w:r>
      <w:r>
        <w:rPr>
          <w:rFonts w:hint="eastAsia" w:ascii="仿宋_GB2312" w:hAnsi="仿宋_GB2312" w:eastAsia="仿宋_GB2312" w:cs="仿宋_GB2312"/>
          <w:sz w:val="32"/>
          <w:szCs w:val="32"/>
        </w:rPr>
        <w:t>乡、赵县范庄镇、迁西县白庙子镇、顺平县大悲乡等8个农业产业强镇，每个乡镇300万元，通过认定后</w:t>
      </w:r>
      <w:r>
        <w:rPr>
          <w:rFonts w:hint="eastAsia" w:ascii="仿宋_GB2312" w:hAnsi="仿宋_GB2312" w:eastAsia="仿宋_GB2312" w:cs="仿宋_GB2312"/>
          <w:sz w:val="32"/>
          <w:szCs w:val="32"/>
          <w:lang w:eastAsia="zh-CN"/>
        </w:rPr>
        <w:t>国家</w:t>
      </w:r>
      <w:r>
        <w:rPr>
          <w:rFonts w:hint="eastAsia" w:ascii="仿宋_GB2312" w:hAnsi="仿宋_GB2312" w:eastAsia="仿宋_GB2312" w:cs="仿宋_GB2312"/>
          <w:sz w:val="32"/>
          <w:szCs w:val="32"/>
        </w:rPr>
        <w:t>将再奖补700万元。</w:t>
      </w:r>
    </w:p>
    <w:p>
      <w:pPr>
        <w:numPr>
          <w:ilvl w:val="0"/>
          <w:numId w:val="0"/>
        </w:numPr>
        <w:spacing w:after="0"/>
        <w:ind w:right="15" w:rightChars="0"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eastAsia="zh-CN"/>
        </w:rPr>
        <w:t>（二）</w:t>
      </w:r>
      <w:r>
        <w:rPr>
          <w:rFonts w:hint="eastAsia" w:ascii="仿宋_GB2312" w:hAnsi="仿宋_GB2312" w:eastAsia="仿宋_GB2312" w:cs="仿宋_GB2312"/>
          <w:b/>
          <w:bCs/>
          <w:sz w:val="32"/>
          <w:szCs w:val="32"/>
        </w:rPr>
        <w:t>支持方向。</w:t>
      </w:r>
      <w:r>
        <w:rPr>
          <w:rFonts w:hint="eastAsia" w:ascii="仿宋_GB2312" w:hAnsi="仿宋_GB2312" w:eastAsia="仿宋_GB2312" w:cs="仿宋_GB2312"/>
          <w:sz w:val="32"/>
          <w:szCs w:val="32"/>
        </w:rPr>
        <w:t>奖补资</w:t>
      </w:r>
      <w:r>
        <w:rPr>
          <w:rFonts w:hint="eastAsia" w:ascii="仿宋_GB2312" w:hAnsi="仿宋_GB2312" w:eastAsia="仿宋_GB2312" w:cs="仿宋_GB2312"/>
          <w:sz w:val="32"/>
          <w:szCs w:val="32"/>
          <w:lang w:eastAsia="zh-CN"/>
        </w:rPr>
        <w:t>主要</w:t>
      </w:r>
      <w:r>
        <w:rPr>
          <w:rFonts w:hint="eastAsia" w:ascii="仿宋_GB2312" w:hAnsi="仿宋_GB2312" w:eastAsia="仿宋_GB2312" w:cs="仿宋_GB2312"/>
          <w:sz w:val="32"/>
          <w:szCs w:val="32"/>
        </w:rPr>
        <w:t>支持</w:t>
      </w:r>
      <w:r>
        <w:rPr>
          <w:rFonts w:hint="eastAsia" w:ascii="仿宋_GB2312" w:hAnsi="仿宋_GB2312" w:eastAsia="仿宋_GB2312" w:cs="仿宋_GB2312"/>
          <w:sz w:val="32"/>
          <w:szCs w:val="32"/>
          <w:lang w:eastAsia="zh-CN"/>
        </w:rPr>
        <w:t>主</w:t>
      </w:r>
      <w:r>
        <w:rPr>
          <w:rFonts w:hint="eastAsia" w:ascii="仿宋_GB2312" w:hAnsi="仿宋_GB2312" w:eastAsia="仿宋_GB2312" w:cs="仿宋_GB2312"/>
          <w:sz w:val="32"/>
          <w:szCs w:val="32"/>
        </w:rPr>
        <w:t>导产业关键领域、薄弱环节发展，提升种养基</w:t>
      </w:r>
      <w:r>
        <w:rPr>
          <w:rFonts w:hint="eastAsia" w:ascii="仿宋_GB2312" w:hAnsi="仿宋_GB2312" w:eastAsia="仿宋_GB2312" w:cs="仿宋_GB2312"/>
          <w:sz w:val="32"/>
          <w:szCs w:val="32"/>
          <w:lang w:eastAsia="zh-CN"/>
        </w:rPr>
        <w:t>地</w:t>
      </w:r>
      <w:r>
        <w:rPr>
          <w:rFonts w:hint="eastAsia" w:ascii="仿宋_GB2312" w:hAnsi="仿宋_GB2312" w:eastAsia="仿宋_GB2312" w:cs="仿宋_GB2312"/>
          <w:sz w:val="32"/>
          <w:szCs w:val="32"/>
        </w:rPr>
        <w:t>、加工物流等设施装备水平，培育壮大经营</w:t>
      </w:r>
      <w:r>
        <w:rPr>
          <w:rFonts w:hint="eastAsia" w:ascii="仿宋_GB2312" w:hAnsi="仿宋_GB2312" w:eastAsia="仿宋_GB2312" w:cs="仿宋_GB2312"/>
          <w:sz w:val="32"/>
          <w:szCs w:val="32"/>
          <w:lang w:eastAsia="zh-CN"/>
        </w:rPr>
        <w:t>主</w:t>
      </w:r>
      <w:r>
        <w:rPr>
          <w:rFonts w:hint="eastAsia" w:ascii="仿宋_GB2312" w:hAnsi="仿宋_GB2312" w:eastAsia="仿宋_GB2312" w:cs="仿宋_GB2312"/>
          <w:sz w:val="32"/>
          <w:szCs w:val="32"/>
        </w:rPr>
        <w:t>体，促进</w:t>
      </w:r>
      <w:r>
        <w:rPr>
          <w:rFonts w:hint="eastAsia" w:ascii="仿宋_GB2312" w:hAnsi="仿宋_GB2312" w:eastAsia="仿宋_GB2312" w:cs="仿宋_GB2312"/>
          <w:sz w:val="32"/>
          <w:szCs w:val="32"/>
          <w:lang w:eastAsia="zh-CN"/>
        </w:rPr>
        <w:t>主</w:t>
      </w:r>
      <w:r>
        <w:rPr>
          <w:rFonts w:hint="eastAsia" w:ascii="仿宋_GB2312" w:hAnsi="仿宋_GB2312" w:eastAsia="仿宋_GB2312" w:cs="仿宋_GB2312"/>
          <w:sz w:val="32"/>
          <w:szCs w:val="32"/>
        </w:rPr>
        <w:t>导产业转型升级、由大变强。财政资金使用方案要按照农业农村部、财政部已经审定的</w:t>
      </w:r>
      <w:r>
        <w:rPr>
          <w:rFonts w:hint="eastAsia" w:ascii="仿宋_GB2312" w:hAnsi="仿宋_GB2312" w:eastAsia="仿宋_GB2312" w:cs="仿宋_GB2312"/>
          <w:sz w:val="32"/>
          <w:szCs w:val="32"/>
          <w:lang w:eastAsia="zh-CN"/>
        </w:rPr>
        <w:t>实施</w:t>
      </w:r>
      <w:r>
        <w:rPr>
          <w:rFonts w:hint="eastAsia" w:ascii="仿宋_GB2312" w:hAnsi="仿宋_GB2312" w:eastAsia="仿宋_GB2312" w:cs="仿宋_GB2312"/>
          <w:sz w:val="32"/>
          <w:szCs w:val="32"/>
        </w:rPr>
        <w:t>方案执行。要进一步突出中央财政奖补资金的公共属性，采取以奖代补、先建后补、贷款贴息、政府购买服务等方式，重点支持具有较强公益性、对产业发展具有引领示范作用、对农民带动能力强的环节和领域。要进一步细化实化利益联结机制，促进市场投资</w:t>
      </w:r>
      <w:r>
        <w:rPr>
          <w:rFonts w:hint="eastAsia" w:ascii="仿宋_GB2312" w:hAnsi="仿宋_GB2312" w:eastAsia="仿宋_GB2312" w:cs="仿宋_GB2312"/>
          <w:sz w:val="32"/>
          <w:szCs w:val="32"/>
          <w:lang w:eastAsia="zh-CN"/>
        </w:rPr>
        <w:t>主</w:t>
      </w:r>
      <w:r>
        <w:rPr>
          <w:rFonts w:hint="eastAsia" w:ascii="仿宋_GB2312" w:hAnsi="仿宋_GB2312" w:eastAsia="仿宋_GB2312" w:cs="仿宋_GB2312"/>
          <w:sz w:val="32"/>
          <w:szCs w:val="32"/>
        </w:rPr>
        <w:t>体和农民合理分享产业发展红利。要合理控制对企业奖补的规模和比例，明确支持的环节和方式，中央财政奖补资金原则上不得直接支持企业生产设施投资，确有必要的，应当把对企业的奖补资金通过折股量化、收益分红等方式让村集体或农民直接受益。要通过引入金融专业力量</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进一步细化完善项目投融资方案，充分发挥中央财政奖补资金撬动作用，引导金融和社会资本加大投入。项目建设过程中，要坚决防止耕</w:t>
      </w:r>
      <w:r>
        <w:rPr>
          <w:rFonts w:hint="eastAsia" w:ascii="仿宋_GB2312" w:hAnsi="仿宋_GB2312" w:eastAsia="仿宋_GB2312" w:cs="仿宋_GB2312"/>
          <w:sz w:val="32"/>
          <w:szCs w:val="32"/>
          <w:lang w:eastAsia="zh-CN"/>
        </w:rPr>
        <w:t>地“</w:t>
      </w:r>
      <w:r>
        <w:rPr>
          <w:rFonts w:hint="eastAsia" w:ascii="仿宋_GB2312" w:hAnsi="仿宋_GB2312" w:eastAsia="仿宋_GB2312" w:cs="仿宋_GB2312"/>
          <w:sz w:val="32"/>
          <w:szCs w:val="32"/>
        </w:rPr>
        <w:t>非农化</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问题。中央财政奖补资金不得</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撒胡椒面</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搞平均分配，不得用于建设楼堂馆所、市政道路、农村公路，不得用于一般性支出、列支管理费和项目咨询、论证评审费，不得用于购买生产资料、发展休闲农业。对挤占挪用中央财政奖补资金的，一经发现，以后年度不再安排资金支持，并予以通报。</w:t>
      </w:r>
    </w:p>
    <w:p>
      <w:pPr>
        <w:numPr>
          <w:ilvl w:val="0"/>
          <w:numId w:val="0"/>
        </w:numPr>
        <w:spacing w:after="0"/>
        <w:ind w:right="15" w:rightChars="0" w:firstLine="643" w:firstLineChars="200"/>
        <w:rPr>
          <w:rFonts w:hint="eastAsia" w:ascii="仿宋_GB2312" w:hAnsi="黑体" w:eastAsia="仿宋_GB2312" w:cs="Times New Roman"/>
          <w:color w:val="auto"/>
          <w:kern w:val="0"/>
          <w:sz w:val="32"/>
          <w:szCs w:val="32"/>
          <w:lang w:val="en-US" w:eastAsia="zh-CN" w:bidi="ar-SA"/>
        </w:rPr>
      </w:pPr>
      <w:r>
        <w:rPr>
          <w:rFonts w:hint="eastAsia" w:ascii="仿宋_GB2312" w:hAnsi="仿宋_GB2312" w:eastAsia="仿宋_GB2312" w:cs="仿宋_GB2312"/>
          <w:b/>
          <w:bCs/>
          <w:sz w:val="32"/>
          <w:szCs w:val="32"/>
          <w:lang w:eastAsia="zh-CN"/>
        </w:rPr>
        <w:t>（三）</w:t>
      </w:r>
      <w:r>
        <w:rPr>
          <w:rFonts w:hint="eastAsia" w:ascii="仿宋_GB2312" w:hAnsi="仿宋_GB2312" w:eastAsia="仿宋_GB2312" w:cs="仿宋_GB2312"/>
          <w:b/>
          <w:bCs/>
          <w:sz w:val="32"/>
          <w:szCs w:val="32"/>
        </w:rPr>
        <w:t>实施期限。</w:t>
      </w:r>
      <w:r>
        <w:rPr>
          <w:rFonts w:hint="eastAsia" w:ascii="仿宋_GB2312" w:hAnsi="仿宋_GB2312" w:eastAsia="仿宋_GB2312" w:cs="仿宋_GB2312"/>
          <w:sz w:val="32"/>
          <w:szCs w:val="32"/>
        </w:rPr>
        <w:t>2023年新批准创建的</w:t>
      </w:r>
      <w:r>
        <w:rPr>
          <w:rFonts w:hint="eastAsia" w:ascii="仿宋_GB2312" w:hAnsi="仿宋_GB2312" w:eastAsia="仿宋_GB2312" w:cs="仿宋_GB2312"/>
          <w:sz w:val="32"/>
          <w:szCs w:val="32"/>
          <w:lang w:eastAsia="zh-CN"/>
        </w:rPr>
        <w:t>国家</w:t>
      </w:r>
      <w:r>
        <w:rPr>
          <w:rFonts w:hint="eastAsia" w:ascii="仿宋_GB2312" w:hAnsi="仿宋_GB2312" w:eastAsia="仿宋_GB2312" w:cs="仿宋_GB2312"/>
          <w:sz w:val="32"/>
          <w:szCs w:val="32"/>
        </w:rPr>
        <w:t>农业产业强镇第一批涉及300万元中央资金的建设项目</w:t>
      </w:r>
      <w:r>
        <w:rPr>
          <w:rFonts w:hint="eastAsia" w:ascii="仿宋_GB2312" w:hAnsi="黑体" w:eastAsia="仿宋_GB2312" w:cs="Times New Roman"/>
          <w:color w:val="auto"/>
          <w:kern w:val="0"/>
          <w:sz w:val="32"/>
          <w:szCs w:val="32"/>
          <w:lang w:val="en-US" w:eastAsia="zh-CN" w:bidi="ar-SA"/>
        </w:rPr>
        <w:t>原则上2023年12月底前完成。</w:t>
      </w:r>
    </w:p>
    <w:p>
      <w:pPr>
        <w:numPr>
          <w:ilvl w:val="0"/>
          <w:numId w:val="0"/>
        </w:numPr>
        <w:spacing w:after="0"/>
        <w:ind w:right="15" w:rightChars="0"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（四）主要建设内容及资金测算</w:t>
      </w:r>
    </w:p>
    <w:p>
      <w:pPr>
        <w:keepNext w:val="0"/>
        <w:keepLines w:val="0"/>
        <w:widowControl/>
        <w:suppressLineNumbers w:val="0"/>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根据涞源县畜牧产业高质量发展要求和金家井乡肉鸡</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产业发展基础及未来发展趋势，依托本地资源禀赋，发挥主</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导产业优势，本着优化产业布局、延长产业链条、补齐发展</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短板、提升产业水平的原则，针对金家井乡雏鸡孵化能力不</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足、饲料产能供应缺口大、智能化养殖亟待提升等问题，提</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出选择玖兴农牧（涞源）有限公司、保定玖兴饲料加工有限</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公司、涞源县昌旺畜禽农民专业合作社等承担实施主体开展肉鸡主导产业的农业产业强镇建设项目。项目总投4605.55</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万元。其中：中央财政资金1000万元，自筹资金3605.55万元，中央财政资金与自筹资金之比达到1：3.6。</w:t>
      </w:r>
    </w:p>
    <w:p>
      <w:pPr>
        <w:keepNext w:val="0"/>
        <w:keepLines w:val="0"/>
        <w:widowControl/>
        <w:suppressLineNumbers w:val="0"/>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（一）中央财政资金300万元建设内容和资金测算</w:t>
      </w:r>
    </w:p>
    <w:p>
      <w:pPr>
        <w:keepNext w:val="0"/>
        <w:keepLines w:val="0"/>
        <w:widowControl/>
        <w:suppressLineNumbers w:val="0"/>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建设内容：</w:t>
      </w:r>
      <w:r>
        <w:rPr>
          <w:rFonts w:hint="eastAsia" w:ascii="仿宋_GB2312" w:hAnsi="仿宋_GB2312" w:eastAsia="仿宋_GB2312" w:cs="仿宋_GB2312"/>
          <w:color w:val="000000"/>
          <w:kern w:val="0"/>
          <w:sz w:val="32"/>
          <w:szCs w:val="32"/>
          <w:lang w:val="en-US" w:eastAsia="zh-CN" w:bidi="ar"/>
        </w:rPr>
        <w:t>中央财政资金300万元主要用于鸡苗孵化车</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间技术改造项目、饲料加工产能提升项目和智慧鸡舍升级项</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目。</w:t>
      </w:r>
    </w:p>
    <w:p>
      <w:pPr>
        <w:keepNext w:val="0"/>
        <w:keepLines w:val="0"/>
        <w:widowControl/>
        <w:suppressLineNumbers w:val="0"/>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资金测算：</w:t>
      </w:r>
      <w:r>
        <w:rPr>
          <w:rFonts w:hint="eastAsia" w:ascii="仿宋_GB2312" w:hAnsi="仿宋_GB2312" w:eastAsia="仿宋_GB2312" w:cs="仿宋_GB2312"/>
          <w:color w:val="000000"/>
          <w:kern w:val="0"/>
          <w:sz w:val="32"/>
          <w:szCs w:val="32"/>
          <w:lang w:val="en-US" w:eastAsia="zh-CN" w:bidi="ar"/>
        </w:rPr>
        <w:t>中央财政资金300万元，其中：用于鸡苗孵化车间技术改造建设140万元、饲料加工产能提升建设118万元、智慧鸡舍升级项目建设42万元。300万元中央财政资金撬动配套资金1591万元，中央资金与配套资金之比达到1:5.3。</w:t>
      </w:r>
    </w:p>
    <w:p>
      <w:pPr>
        <w:keepNext w:val="0"/>
        <w:keepLines w:val="0"/>
        <w:widowControl/>
        <w:suppressLineNumbers w:val="0"/>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1、鸡苗孵化车间技术改造项目</w:t>
      </w:r>
    </w:p>
    <w:p>
      <w:pPr>
        <w:keepNext w:val="0"/>
        <w:keepLines w:val="0"/>
        <w:widowControl/>
        <w:suppressLineNumbers w:val="0"/>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承担主体：</w:t>
      </w:r>
      <w:r>
        <w:rPr>
          <w:rFonts w:hint="eastAsia" w:ascii="仿宋_GB2312" w:hAnsi="仿宋_GB2312" w:eastAsia="仿宋_GB2312" w:cs="仿宋_GB2312"/>
          <w:color w:val="000000"/>
          <w:kern w:val="0"/>
          <w:sz w:val="32"/>
          <w:szCs w:val="32"/>
          <w:lang w:val="en-US" w:eastAsia="zh-CN" w:bidi="ar"/>
        </w:rPr>
        <w:t>玖兴农牧（涞源）有限公司</w:t>
      </w:r>
    </w:p>
    <w:p>
      <w:pPr>
        <w:keepNext w:val="0"/>
        <w:keepLines w:val="0"/>
        <w:widowControl/>
        <w:suppressLineNumbers w:val="0"/>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建设地点：</w:t>
      </w:r>
      <w:r>
        <w:rPr>
          <w:rFonts w:hint="eastAsia" w:ascii="仿宋_GB2312" w:hAnsi="仿宋_GB2312" w:eastAsia="仿宋_GB2312" w:cs="仿宋_GB2312"/>
          <w:color w:val="000000"/>
          <w:kern w:val="0"/>
          <w:sz w:val="32"/>
          <w:szCs w:val="32"/>
          <w:lang w:val="en-US" w:eastAsia="zh-CN" w:bidi="ar"/>
        </w:rPr>
        <w:t>金家井乡金家井村</w:t>
      </w:r>
    </w:p>
    <w:p>
      <w:pPr>
        <w:keepNext w:val="0"/>
        <w:keepLines w:val="0"/>
        <w:widowControl/>
        <w:suppressLineNumbers w:val="0"/>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建设内容：</w:t>
      </w:r>
      <w:r>
        <w:rPr>
          <w:rFonts w:hint="eastAsia" w:ascii="仿宋_GB2312" w:hAnsi="仿宋_GB2312" w:eastAsia="仿宋_GB2312" w:cs="仿宋_GB2312"/>
          <w:color w:val="000000"/>
          <w:kern w:val="0"/>
          <w:sz w:val="32"/>
          <w:szCs w:val="32"/>
          <w:lang w:val="en-US" w:eastAsia="zh-CN" w:bidi="ar"/>
        </w:rPr>
        <w:t>在现有1亿羽肉鸡苗孵化车间基础上进行改</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造升级，引进行业先进的鸡苗孵化设备、自动选蛋设备等,孵化能力提升到2亿羽。</w:t>
      </w:r>
    </w:p>
    <w:p>
      <w:pPr>
        <w:keepNext w:val="0"/>
        <w:keepLines w:val="0"/>
        <w:widowControl/>
        <w:suppressLineNumbers w:val="0"/>
        <w:ind w:firstLine="643" w:firstLineChars="200"/>
        <w:jc w:val="left"/>
        <w:rPr>
          <w:rFonts w:hint="eastAsia" w:ascii="仿宋_GB2312" w:hAnsi="仿宋_GB2312" w:eastAsia="仿宋_GB2312" w:cs="仿宋_GB2312"/>
          <w:sz w:val="32"/>
          <w:szCs w:val="32"/>
          <w:lang w:eastAsia="zh-CN"/>
        </w:rPr>
      </w:pPr>
      <w:r>
        <w:rPr>
          <w:rFonts w:hint="eastAsia" w:ascii="仿宋_GB2312" w:hAnsi="仿宋_GB2312" w:eastAsia="仿宋_GB2312" w:cs="仿宋_GB2312"/>
          <w:b/>
          <w:bCs/>
          <w:color w:val="000000"/>
          <w:kern w:val="0"/>
          <w:sz w:val="32"/>
          <w:szCs w:val="32"/>
          <w:lang w:val="en-US" w:eastAsia="zh-CN" w:bidi="ar"/>
        </w:rPr>
        <w:t>资金测算：</w:t>
      </w:r>
      <w:r>
        <w:rPr>
          <w:rFonts w:hint="eastAsia" w:ascii="仿宋_GB2312" w:hAnsi="仿宋_GB2312" w:eastAsia="仿宋_GB2312" w:cs="仿宋_GB2312"/>
          <w:color w:val="000000"/>
          <w:kern w:val="0"/>
          <w:sz w:val="32"/>
          <w:szCs w:val="32"/>
          <w:lang w:val="en-US" w:eastAsia="zh-CN" w:bidi="ar"/>
        </w:rPr>
        <w:t>项目总投资1400万元，其中中央资金140万元，企业自筹资金1260万元。其中，中央财政奖补资金主要用于自动选蛋设备。</w:t>
      </w:r>
    </w:p>
    <w:p>
      <w:pPr>
        <w:keepNext w:val="0"/>
        <w:keepLines w:val="0"/>
        <w:widowControl/>
        <w:suppressLineNumbers w:val="0"/>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带动效应：</w:t>
      </w:r>
      <w:r>
        <w:rPr>
          <w:rFonts w:hint="eastAsia" w:ascii="仿宋_GB2312" w:hAnsi="仿宋_GB2312" w:eastAsia="仿宋_GB2312" w:cs="仿宋_GB2312"/>
          <w:color w:val="000000"/>
          <w:kern w:val="0"/>
          <w:sz w:val="32"/>
          <w:szCs w:val="32"/>
          <w:lang w:val="en-US" w:eastAsia="zh-CN" w:bidi="ar"/>
        </w:rPr>
        <w:t>项目建成达产后，通过垫付前期成本、协议</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收购、统一加工、利润分成方式与当地肉鸡专业合作社紧密</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联系，充分利用多年积累的技术优势和市场网络，引导、组</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织广大农户从事畜禽养殖规模化生产，有利于将当地松散的</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肉鸡养殖农户组织起来，促进区域内肉鸡养殖的规模化、产</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业化和标准化发展，优化当地农业经济结构，同时带动种植、</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运输、农资、商贸、服务等相关产业的发展，增强当地的经</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济实力。</w:t>
      </w:r>
    </w:p>
    <w:p>
      <w:pPr>
        <w:keepNext w:val="0"/>
        <w:keepLines w:val="0"/>
        <w:widowControl/>
        <w:suppressLineNumbers w:val="0"/>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2、饲料加工产能提升项目</w:t>
      </w:r>
    </w:p>
    <w:p>
      <w:pPr>
        <w:keepNext w:val="0"/>
        <w:keepLines w:val="0"/>
        <w:widowControl/>
        <w:suppressLineNumbers w:val="0"/>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承担主体：</w:t>
      </w:r>
      <w:r>
        <w:rPr>
          <w:rFonts w:hint="eastAsia" w:ascii="仿宋_GB2312" w:hAnsi="仿宋_GB2312" w:eastAsia="仿宋_GB2312" w:cs="仿宋_GB2312"/>
          <w:color w:val="000000"/>
          <w:kern w:val="0"/>
          <w:sz w:val="32"/>
          <w:szCs w:val="32"/>
          <w:lang w:val="en-US" w:eastAsia="zh-CN" w:bidi="ar"/>
        </w:rPr>
        <w:t>保定玖兴饲料加工有限公司</w:t>
      </w:r>
    </w:p>
    <w:p>
      <w:pPr>
        <w:keepNext w:val="0"/>
        <w:keepLines w:val="0"/>
        <w:widowControl/>
        <w:suppressLineNumbers w:val="0"/>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建设地点：</w:t>
      </w:r>
      <w:r>
        <w:rPr>
          <w:rFonts w:hint="eastAsia" w:ascii="仿宋_GB2312" w:hAnsi="仿宋_GB2312" w:eastAsia="仿宋_GB2312" w:cs="仿宋_GB2312"/>
          <w:color w:val="000000"/>
          <w:kern w:val="0"/>
          <w:sz w:val="32"/>
          <w:szCs w:val="32"/>
          <w:lang w:val="en-US" w:eastAsia="zh-CN" w:bidi="ar"/>
        </w:rPr>
        <w:t>金家井乡金家井村</w:t>
      </w:r>
    </w:p>
    <w:p>
      <w:pPr>
        <w:keepNext w:val="0"/>
        <w:keepLines w:val="0"/>
        <w:widowControl/>
        <w:suppressLineNumbers w:val="0"/>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建设内容：</w:t>
      </w:r>
      <w:r>
        <w:rPr>
          <w:rFonts w:hint="eastAsia" w:ascii="仿宋_GB2312" w:hAnsi="仿宋_GB2312" w:eastAsia="仿宋_GB2312" w:cs="仿宋_GB2312"/>
          <w:color w:val="000000"/>
          <w:kern w:val="0"/>
          <w:sz w:val="32"/>
          <w:szCs w:val="32"/>
          <w:lang w:val="en-US" w:eastAsia="zh-CN" w:bidi="ar"/>
        </w:rPr>
        <w:t>对现有加工能力进行改造提升，新增生产线</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1套，饲料产能由50万吨提升到100万吨。拟购进购置粉碎机、混合机、制粒机、打包机、微机配料系统等设备。</w:t>
      </w:r>
    </w:p>
    <w:p>
      <w:pPr>
        <w:keepNext w:val="0"/>
        <w:keepLines w:val="0"/>
        <w:widowControl/>
        <w:suppressLineNumbers w:val="0"/>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资金测算：</w:t>
      </w:r>
      <w:r>
        <w:rPr>
          <w:rFonts w:hint="eastAsia" w:ascii="仿宋_GB2312" w:hAnsi="仿宋_GB2312" w:eastAsia="仿宋_GB2312" w:cs="仿宋_GB2312"/>
          <w:color w:val="000000"/>
          <w:kern w:val="0"/>
          <w:sz w:val="32"/>
          <w:szCs w:val="32"/>
          <w:lang w:val="en-US" w:eastAsia="zh-CN" w:bidi="ar"/>
        </w:rPr>
        <w:t>项目总投资418万元，其中中央资金118万元，企业自筹资金300万元。其中，中央财政奖补资金主要用于打包机、微机配料系统。</w:t>
      </w:r>
    </w:p>
    <w:p>
      <w:pPr>
        <w:keepNext w:val="0"/>
        <w:keepLines w:val="0"/>
        <w:widowControl/>
        <w:suppressLineNumbers w:val="0"/>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带动效应：</w:t>
      </w:r>
      <w:r>
        <w:rPr>
          <w:rFonts w:hint="eastAsia" w:ascii="仿宋_GB2312" w:hAnsi="仿宋_GB2312" w:eastAsia="仿宋_GB2312" w:cs="仿宋_GB2312"/>
          <w:color w:val="000000"/>
          <w:kern w:val="0"/>
          <w:sz w:val="32"/>
          <w:szCs w:val="32"/>
          <w:lang w:val="en-US" w:eastAsia="zh-CN" w:bidi="ar"/>
        </w:rPr>
        <w:t>项目建成达产后，不仅可使本企业生产能力</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迅速扩大，产品门类更加齐全，产品成本大大降低，提高企</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业效益，增加财政收入。而且会促进区域性养殖业的发展，</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提高农民收入，优化当地农业经济结构，合理利用农业资源，</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带动如运输、包装等相关产业的发展，可带动养殖大棚700多个，每个养殖大棚年平均收入15万元，增加饲料需求量50万吨，带动涞源县农民同时致富，辐射周边县市上万农民共同增收。</w:t>
      </w:r>
    </w:p>
    <w:p>
      <w:pPr>
        <w:keepNext w:val="0"/>
        <w:keepLines w:val="0"/>
        <w:widowControl/>
        <w:suppressLineNumbers w:val="0"/>
        <w:tabs>
          <w:tab w:val="center" w:pos="4153"/>
        </w:tabs>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3、智慧鸡舍升级项目</w:t>
      </w:r>
    </w:p>
    <w:p>
      <w:pPr>
        <w:keepNext w:val="0"/>
        <w:keepLines w:val="0"/>
        <w:widowControl/>
        <w:suppressLineNumbers w:val="0"/>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承担主体：</w:t>
      </w:r>
      <w:r>
        <w:rPr>
          <w:rFonts w:hint="eastAsia" w:ascii="仿宋_GB2312" w:hAnsi="仿宋_GB2312" w:eastAsia="仿宋_GB2312" w:cs="仿宋_GB2312"/>
          <w:b w:val="0"/>
          <w:bCs w:val="0"/>
          <w:color w:val="000000"/>
          <w:kern w:val="0"/>
          <w:sz w:val="32"/>
          <w:szCs w:val="32"/>
          <w:lang w:val="en-US" w:eastAsia="zh-CN" w:bidi="ar"/>
        </w:rPr>
        <w:t>金家井乡斜山肉鸡养殖片区</w:t>
      </w:r>
      <w:bookmarkStart w:id="0" w:name="_GoBack"/>
      <w:bookmarkEnd w:id="0"/>
      <w:r>
        <w:rPr>
          <w:rFonts w:hint="eastAsia" w:ascii="仿宋_GB2312" w:hAnsi="仿宋_GB2312" w:eastAsia="仿宋_GB2312" w:cs="仿宋_GB2312"/>
          <w:b/>
          <w:bCs/>
          <w:color w:val="000000"/>
          <w:kern w:val="0"/>
          <w:sz w:val="32"/>
          <w:szCs w:val="32"/>
          <w:lang w:val="en-US" w:eastAsia="zh-CN" w:bidi="ar"/>
        </w:rPr>
        <w:t>（</w:t>
      </w:r>
      <w:r>
        <w:rPr>
          <w:rFonts w:hint="eastAsia" w:ascii="仿宋_GB2312" w:hAnsi="仿宋_GB2312" w:eastAsia="仿宋_GB2312" w:cs="仿宋_GB2312"/>
          <w:color w:val="000000"/>
          <w:kern w:val="0"/>
          <w:sz w:val="32"/>
          <w:szCs w:val="32"/>
          <w:lang w:val="en-US" w:eastAsia="zh-CN" w:bidi="ar"/>
        </w:rPr>
        <w:t>涞源县昌旺畜禽农民专业合作社、涞源县春吉畜禽农民专业合作社、涞源县飞涛畜禽农民专业合作社、涞源县扶致畜禽农民专业合作社、涞源县富贫畜禽农民专业合作社、涞源县国志畜禽农民专业合作社、涞源县金骄畜禽农民专业合作社、涞源县伟迈畜禽农民专业合作社、涞源县周旺畜禽饲养农民专业合作社等9家农民养殖专业合作社</w:t>
      </w:r>
      <w:r>
        <w:rPr>
          <w:rFonts w:hint="eastAsia" w:ascii="仿宋_GB2312" w:hAnsi="仿宋_GB2312" w:eastAsia="仿宋_GB2312" w:cs="仿宋_GB2312"/>
          <w:b/>
          <w:bCs/>
          <w:color w:val="000000"/>
          <w:kern w:val="0"/>
          <w:sz w:val="32"/>
          <w:szCs w:val="32"/>
          <w:lang w:val="en-US" w:eastAsia="zh-CN" w:bidi="ar"/>
        </w:rPr>
        <w:t>）。</w:t>
      </w:r>
    </w:p>
    <w:p>
      <w:pPr>
        <w:keepNext w:val="0"/>
        <w:keepLines w:val="0"/>
        <w:widowControl/>
        <w:suppressLineNumbers w:val="0"/>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建设地点：</w:t>
      </w:r>
      <w:r>
        <w:rPr>
          <w:rFonts w:hint="eastAsia" w:ascii="仿宋_GB2312" w:hAnsi="仿宋_GB2312" w:eastAsia="仿宋_GB2312" w:cs="仿宋_GB2312"/>
          <w:color w:val="000000"/>
          <w:kern w:val="0"/>
          <w:sz w:val="32"/>
          <w:szCs w:val="32"/>
          <w:lang w:val="en-US" w:eastAsia="zh-CN" w:bidi="ar"/>
        </w:rPr>
        <w:t>金家井乡斜山村</w:t>
      </w:r>
    </w:p>
    <w:p>
      <w:pPr>
        <w:keepNext w:val="0"/>
        <w:keepLines w:val="0"/>
        <w:widowControl/>
        <w:suppressLineNumbers w:val="0"/>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建设内容：</w:t>
      </w:r>
      <w:r>
        <w:rPr>
          <w:rFonts w:hint="eastAsia" w:ascii="仿宋_GB2312" w:hAnsi="仿宋_GB2312" w:eastAsia="仿宋_GB2312" w:cs="仿宋_GB2312"/>
          <w:color w:val="000000"/>
          <w:kern w:val="0"/>
          <w:sz w:val="32"/>
          <w:szCs w:val="32"/>
          <w:lang w:val="en-US" w:eastAsia="zh-CN" w:bidi="ar"/>
        </w:rPr>
        <w:t>将感知、传输、大数据、RFID等智慧农业物</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联网技术应用在现有标准化养殖鸡舍中，利用传感器等感知</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设备采集养鸡场的各项参数，无线传输到智能控制柜，囊括</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鸡舍的环境、饲养、疫病、质量追溯等各环节，实现了鸡舍</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生产统计、饲料管理、用药管理、鸡舍环境监控、智能预警、</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远程智能化监控、生产溯源、质量追溯等功能，升级取代传</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统养殖业经营模式。</w:t>
      </w:r>
    </w:p>
    <w:p>
      <w:pPr>
        <w:keepNext w:val="0"/>
        <w:keepLines w:val="0"/>
        <w:widowControl/>
        <w:suppressLineNumbers w:val="0"/>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资金测算：</w:t>
      </w:r>
      <w:r>
        <w:rPr>
          <w:rFonts w:hint="eastAsia" w:ascii="仿宋_GB2312" w:hAnsi="仿宋_GB2312" w:eastAsia="仿宋_GB2312" w:cs="仿宋_GB2312"/>
          <w:color w:val="000000"/>
          <w:kern w:val="0"/>
          <w:sz w:val="32"/>
          <w:szCs w:val="32"/>
          <w:lang w:val="en-US" w:eastAsia="zh-CN" w:bidi="ar"/>
        </w:rPr>
        <w:t>项目总投资42万元，全部为中央资金。</w:t>
      </w:r>
    </w:p>
    <w:p>
      <w:pPr>
        <w:keepNext w:val="0"/>
        <w:keepLines w:val="0"/>
        <w:widowControl/>
        <w:suppressLineNumbers w:val="0"/>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带动效应：</w:t>
      </w:r>
      <w:r>
        <w:rPr>
          <w:rFonts w:hint="eastAsia" w:ascii="仿宋_GB2312" w:hAnsi="仿宋_GB2312" w:eastAsia="仿宋_GB2312" w:cs="仿宋_GB2312"/>
          <w:color w:val="000000"/>
          <w:kern w:val="0"/>
          <w:sz w:val="32"/>
          <w:szCs w:val="32"/>
          <w:lang w:val="en-US" w:eastAsia="zh-CN" w:bidi="ar"/>
        </w:rPr>
        <w:t>项目建成后，能够自动化控制养殖环境，精</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准调控各项环境参数，及时接收预警信息，快速对异常、突</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发情况作出反应，建立养鸡场管理数据库，逐步探索出规范化、科学化的养殖方案，精确把控水电等能源消耗，减少资源浪费。</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drawing>
          <wp:inline distT="0" distB="0" distL="114300" distR="114300">
            <wp:extent cx="6023610" cy="5217160"/>
            <wp:effectExtent l="0" t="0" r="15240" b="2540"/>
            <wp:docPr id="2" name="图片 2" descr="1689305857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89305857295"/>
                    <pic:cNvPicPr>
                      <a:picLocks noChangeAspect="1"/>
                    </pic:cNvPicPr>
                  </pic:nvPicPr>
                  <pic:blipFill>
                    <a:blip r:embed="rId6"/>
                    <a:stretch>
                      <a:fillRect/>
                    </a:stretch>
                  </pic:blipFill>
                  <pic:spPr>
                    <a:xfrm>
                      <a:off x="0" y="0"/>
                      <a:ext cx="6023610" cy="5217160"/>
                    </a:xfrm>
                    <a:prstGeom prst="rect">
                      <a:avLst/>
                    </a:prstGeom>
                  </pic:spPr>
                </pic:pic>
              </a:graphicData>
            </a:graphic>
          </wp:inline>
        </w:drawing>
      </w:r>
    </w:p>
    <w:p>
      <w:pPr>
        <w:keepNext w:val="0"/>
        <w:keepLines w:val="0"/>
        <w:widowControl/>
        <w:suppressLineNumbers w:val="0"/>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（二）中央财政资金700万元建设内容和使用方向</w:t>
      </w:r>
    </w:p>
    <w:p>
      <w:pPr>
        <w:keepNext w:val="0"/>
        <w:keepLines w:val="0"/>
        <w:widowControl/>
        <w:suppressLineNumbers w:val="0"/>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中央财政资金700万元主要建设鸡苗孵化环境智能化控</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制项目、肉鸡产业节能环保升级项目和智慧鸡舍升级项目</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（二期）。鸡苗孵化环境智能化控制项目主要用于建设孵化</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环境智能化控制系统，肉鸡产业节能升级项目主要用于建设全自动空气能加热系统，智慧鸡舍升级项目（二期）主要用</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于建设14家农民养殖专业合作社标准化养殖鸡舍智能化改造提升，项目建成后，将进一步补齐肉鸡产业短板，完善肉</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鸡养殖基础设施，提升产业节约能源和环境保护能力。</w:t>
      </w:r>
    </w:p>
    <w:p>
      <w:pPr>
        <w:keepNext w:val="0"/>
        <w:keepLines w:val="0"/>
        <w:widowControl/>
        <w:suppressLineNumbers w:val="0"/>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（五）组织保障</w:t>
      </w:r>
    </w:p>
    <w:p>
      <w:pPr>
        <w:keepNext w:val="0"/>
        <w:keepLines w:val="0"/>
        <w:widowControl/>
        <w:suppressLineNumbers w:val="0"/>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（一）加强组织领导</w:t>
      </w:r>
    </w:p>
    <w:p>
      <w:pPr>
        <w:keepNext w:val="0"/>
        <w:keepLines w:val="0"/>
        <w:widowControl/>
        <w:suppressLineNumbers w:val="0"/>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从战略高度充分认识农业产业强镇建设的重要性，将农</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业产业强镇建设工作纳入县镇经济和社会发展重要工作议</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程之中。一方面成立由涞源县县长挂帅的涞源县农业产业强</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镇建设工作领导小组，负责项目建设的指挥、组织、协调、</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统筹工作，研究解决项目实施中的重大决策问题，落实项目</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建设资金，监督和检查项目的实施；另一方面成立由金家井</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乡党委书记挂帅的金家井乡农业产业强镇建设工作领导小</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组，全程跟踪项目建设进度和资金使用进度，督促承担主体</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严格按照实施方案建设内容和资金用途开展项目建设，确保资金支出规范合理。</w:t>
      </w:r>
    </w:p>
    <w:p>
      <w:pPr>
        <w:keepNext w:val="0"/>
        <w:keepLines w:val="0"/>
        <w:widowControl/>
        <w:suppressLineNumbers w:val="0"/>
        <w:ind w:firstLine="643" w:firstLineChars="200"/>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color w:val="000000"/>
          <w:kern w:val="0"/>
          <w:sz w:val="32"/>
          <w:szCs w:val="32"/>
          <w:lang w:val="en-US" w:eastAsia="zh-CN" w:bidi="ar"/>
        </w:rPr>
        <w:t>（二）</w:t>
      </w:r>
      <w:r>
        <w:rPr>
          <w:rFonts w:hint="eastAsia" w:ascii="仿宋_GB2312" w:hAnsi="仿宋_GB2312" w:eastAsia="仿宋_GB2312" w:cs="仿宋_GB2312"/>
          <w:b/>
          <w:bCs/>
          <w:sz w:val="32"/>
          <w:szCs w:val="32"/>
        </w:rPr>
        <w:t>强化项目管理</w:t>
      </w:r>
    </w:p>
    <w:p>
      <w:pPr>
        <w:keepNext w:val="0"/>
        <w:keepLines w:val="0"/>
        <w:widowControl/>
        <w:suppressLineNumbers w:val="0"/>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采取“中央统筹、省负总责、县镇抓落实”的工作机制，</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以“政府引导、企业（基地）牵头、合作社为媒、农民入股、</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社会参与、市场运作”为原则，实现多方联动发展、共享共赢。</w:t>
      </w:r>
      <w:r>
        <w:rPr>
          <w:rFonts w:hint="eastAsia" w:ascii="仿宋_GB2312" w:hAnsi="仿宋_GB2312" w:eastAsia="仿宋_GB2312" w:cs="仿宋_GB2312"/>
          <w:sz w:val="32"/>
          <w:szCs w:val="32"/>
        </w:rPr>
        <w:t>加强资金运行监管，确保责任到位、资金到位、措施到位。县农业农村部门牵头负责项目整体</w:t>
      </w:r>
      <w:r>
        <w:rPr>
          <w:rFonts w:hint="eastAsia" w:ascii="仿宋_GB2312" w:hAnsi="仿宋_GB2312" w:eastAsia="仿宋_GB2312" w:cs="仿宋_GB2312"/>
          <w:sz w:val="32"/>
          <w:szCs w:val="32"/>
          <w:lang w:eastAsia="zh-CN"/>
        </w:rPr>
        <w:t>实施</w:t>
      </w:r>
      <w:r>
        <w:rPr>
          <w:rFonts w:hint="eastAsia" w:ascii="仿宋_GB2312" w:hAnsi="仿宋_GB2312" w:eastAsia="仿宋_GB2312" w:cs="仿宋_GB2312"/>
          <w:sz w:val="32"/>
          <w:szCs w:val="32"/>
        </w:rPr>
        <w:t>，对项目</w:t>
      </w:r>
      <w:r>
        <w:rPr>
          <w:rFonts w:hint="eastAsia" w:ascii="仿宋_GB2312" w:hAnsi="仿宋_GB2312" w:eastAsia="仿宋_GB2312" w:cs="仿宋_GB2312"/>
          <w:sz w:val="32"/>
          <w:szCs w:val="32"/>
          <w:lang w:eastAsia="zh-CN"/>
        </w:rPr>
        <w:t>实施</w:t>
      </w:r>
      <w:r>
        <w:rPr>
          <w:rFonts w:hint="eastAsia" w:ascii="仿宋_GB2312" w:hAnsi="仿宋_GB2312" w:eastAsia="仿宋_GB2312" w:cs="仿宋_GB2312"/>
          <w:sz w:val="32"/>
          <w:szCs w:val="32"/>
        </w:rPr>
        <w:t>情况、</w:t>
      </w:r>
      <w:r>
        <w:rPr>
          <w:rFonts w:hint="eastAsia" w:ascii="仿宋_GB2312" w:hAnsi="仿宋_GB2312" w:eastAsia="仿宋_GB2312" w:cs="仿宋_GB2312"/>
          <w:sz w:val="32"/>
          <w:szCs w:val="32"/>
          <w:lang w:eastAsia="zh-CN"/>
        </w:rPr>
        <w:t>实施</w:t>
      </w:r>
      <w:r>
        <w:rPr>
          <w:rFonts w:hint="eastAsia" w:ascii="仿宋_GB2312" w:hAnsi="仿宋_GB2312" w:eastAsia="仿宋_GB2312" w:cs="仿宋_GB2312"/>
          <w:sz w:val="32"/>
          <w:szCs w:val="32"/>
        </w:rPr>
        <w:t>效果、验收情况、资金兑付、档案资料存档情况等进行核查。乡镇党委政府按照县级工作部署，集中力量做好项目建设</w:t>
      </w:r>
      <w:r>
        <w:rPr>
          <w:rFonts w:hint="eastAsia" w:ascii="仿宋_GB2312" w:hAnsi="仿宋_GB2312" w:eastAsia="仿宋_GB2312" w:cs="仿宋_GB2312"/>
          <w:sz w:val="32"/>
          <w:szCs w:val="32"/>
          <w:lang w:eastAsia="zh-CN"/>
        </w:rPr>
        <w:t>实施</w:t>
      </w:r>
      <w:r>
        <w:rPr>
          <w:rFonts w:hint="eastAsia" w:ascii="仿宋_GB2312" w:hAnsi="仿宋_GB2312" w:eastAsia="仿宋_GB2312" w:cs="仿宋_GB2312"/>
          <w:sz w:val="32"/>
          <w:szCs w:val="32"/>
        </w:rPr>
        <w:t>工作。</w:t>
      </w:r>
    </w:p>
    <w:p>
      <w:pPr>
        <w:keepNext w:val="0"/>
        <w:keepLines w:val="0"/>
        <w:widowControl/>
        <w:suppressLineNumbers w:val="0"/>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（三）规范资金管理</w:t>
      </w:r>
    </w:p>
    <w:p>
      <w:pPr>
        <w:keepNext w:val="0"/>
        <w:keepLines w:val="0"/>
        <w:widowControl/>
        <w:suppressLineNumbers w:val="0"/>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严格按照农业产业发展资金管理办法，及时拨付中央财政奖补资金，加强资金使用全过程监督管理，不得挤占、挪用、截留，不得纳入整合资金范围，督促项目实施单位充分统筹资源向项目区域集聚。</w:t>
      </w:r>
      <w:r>
        <w:rPr>
          <w:rFonts w:hint="eastAsia" w:ascii="仿宋_GB2312" w:hAnsi="仿宋_GB2312" w:eastAsia="仿宋_GB2312" w:cs="仿宋_GB2312"/>
          <w:color w:val="000000"/>
          <w:kern w:val="0"/>
          <w:sz w:val="32"/>
          <w:szCs w:val="32"/>
          <w:lang w:val="en-US" w:eastAsia="zh-CN" w:bidi="ar"/>
        </w:rPr>
        <w:t>制定农业产业强镇项目实施方案，</w:t>
      </w:r>
      <w:r>
        <w:rPr>
          <w:rFonts w:hint="eastAsia" w:ascii="仿宋_GB2312" w:hAnsi="仿宋_GB2312" w:eastAsia="仿宋_GB2312" w:cs="仿宋_GB2312"/>
          <w:sz w:val="32"/>
          <w:szCs w:val="32"/>
        </w:rPr>
        <w:t>安排使用项目项目资金。</w:t>
      </w:r>
    </w:p>
    <w:p>
      <w:pPr>
        <w:keepNext w:val="0"/>
        <w:keepLines w:val="0"/>
        <w:widowControl/>
        <w:suppressLineNumbers w:val="0"/>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lang w:val="en-US" w:eastAsia="zh-CN" w:bidi="ar"/>
        </w:rPr>
        <w:t>（四）做好总结宣传</w:t>
      </w:r>
    </w:p>
    <w:p>
      <w:pPr>
        <w:keepNext w:val="0"/>
        <w:keepLines w:val="0"/>
        <w:widowControl/>
        <w:suppressLineNumbers w:val="0"/>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做好项目建设的资料整理和建档管理工作，及时总结项</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目建设的典型经验和可推广、可复制的成功模式，充分利用</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报纸、网络、电视主流等媒体及发布会、研讨会、论坛等多</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渠道宣传项目实施的重要意义、政策、进展和成效，宣传产</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业强镇建设领域的先进典型做法和成功经验，引导社会各方</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面全面提高对产业强镇发展的认识，激发社会各界参与产业</w:t>
      </w:r>
    </w:p>
    <w:p>
      <w:pPr>
        <w:keepNext w:val="0"/>
        <w:keepLines w:val="0"/>
        <w:widowControl/>
        <w:suppressLineNumbers w:val="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强镇建设的积极性和主动性，为项目实施创造良好的舆论环</w:t>
      </w:r>
    </w:p>
    <w:p>
      <w:pPr>
        <w:keepNext w:val="0"/>
        <w:keepLines w:val="0"/>
        <w:widowControl/>
        <w:suppressLineNumbers w:val="0"/>
        <w:jc w:val="left"/>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境，形成全社会支持产业强镇创建工作的良好氛围。</w:t>
      </w:r>
    </w:p>
    <w:p>
      <w:pPr>
        <w:keepNext w:val="0"/>
        <w:keepLines w:val="0"/>
        <w:widowControl/>
        <w:suppressLineNumbers w:val="0"/>
        <w:jc w:val="left"/>
        <w:rPr>
          <w:rFonts w:hint="eastAsia" w:ascii="仿宋_GB2312" w:hAnsi="仿宋_GB2312" w:eastAsia="仿宋_GB2312" w:cs="仿宋_GB2312"/>
          <w:color w:val="000000"/>
          <w:kern w:val="0"/>
          <w:sz w:val="32"/>
          <w:szCs w:val="32"/>
          <w:lang w:val="en-US" w:eastAsia="zh-CN" w:bidi="ar"/>
        </w:rPr>
      </w:pPr>
    </w:p>
    <w:p>
      <w:pPr>
        <w:keepNext w:val="0"/>
        <w:keepLines w:val="0"/>
        <w:widowControl/>
        <w:suppressLineNumbers w:val="0"/>
        <w:jc w:val="left"/>
        <w:rPr>
          <w:rFonts w:hint="eastAsia" w:ascii="仿宋_GB2312" w:hAnsi="仿宋_GB2312" w:eastAsia="仿宋_GB2312" w:cs="仿宋_GB2312"/>
          <w:color w:val="000000"/>
          <w:kern w:val="0"/>
          <w:sz w:val="32"/>
          <w:szCs w:val="32"/>
          <w:lang w:val="en-US" w:eastAsia="zh-CN" w:bidi="ar"/>
        </w:rPr>
      </w:pPr>
    </w:p>
    <w:p>
      <w:pPr>
        <w:keepNext w:val="0"/>
        <w:keepLines w:val="0"/>
        <w:widowControl/>
        <w:suppressLineNumbers w:val="0"/>
        <w:ind w:firstLine="4480" w:firstLineChars="1400"/>
        <w:jc w:val="left"/>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2023年7月17日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altName w:val="MT Extra"/>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Arial"/>
    <w:panose1 w:val="02070309020205020404"/>
    <w:charset w:val="01"/>
    <w:family w:val="modern"/>
    <w:pitch w:val="default"/>
    <w:sig w:usb0="E0002AFF" w:usb1="C0007843" w:usb2="00000009" w:usb3="00000000" w:csb0="400001FF" w:csb1="FFFF0000"/>
  </w:font>
  <w:font w:name="Symbol">
    <w:altName w:val="Segoe UI 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方正小标宋简体">
    <w:altName w:val="黑体"/>
    <w:panose1 w:val="02000000000000000000"/>
    <w:charset w:val="86"/>
    <w:family w:val="auto"/>
    <w:pitch w:val="default"/>
    <w:sig w:usb0="00000000" w:usb1="00000000" w:usb2="00000012" w:usb3="00000000" w:csb0="00040001" w:csb1="00000000"/>
  </w:font>
  <w:font w:name="Segoe UI">
    <w:panose1 w:val="020B0502040204020203"/>
    <w:charset w:val="00"/>
    <w:family w:val="auto"/>
    <w:pitch w:val="default"/>
    <w:sig w:usb0="E10022FF" w:usb1="C000E47F" w:usb2="00000029" w:usb3="00000000" w:csb0="200001DF" w:csb1="20000000"/>
  </w:font>
  <w:font w:name="MT Extra">
    <w:panose1 w:val="05050102010205020202"/>
    <w:charset w:val="00"/>
    <w:family w:val="auto"/>
    <w:pitch w:val="default"/>
    <w:sig w:usb0="8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 w:name="Segoe UI Symbol">
    <w:panose1 w:val="020B0502040204020203"/>
    <w:charset w:val="00"/>
    <w:family w:val="auto"/>
    <w:pitch w:val="default"/>
    <w:sig w:usb0="8000006F" w:usb1="1200FBEF" w:usb2="0064C000" w:usb3="00000002"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I1ZjVmODlmZDZlYjNmOWUxMGFjODNmNzEwNTAzZWYifQ=="/>
  </w:docVars>
  <w:rsids>
    <w:rsidRoot w:val="6E273524"/>
    <w:rsid w:val="02AF363D"/>
    <w:rsid w:val="05E51322"/>
    <w:rsid w:val="096802A0"/>
    <w:rsid w:val="0A391C3C"/>
    <w:rsid w:val="0A5C592B"/>
    <w:rsid w:val="17EB0BBF"/>
    <w:rsid w:val="1AD339E7"/>
    <w:rsid w:val="2BB67139"/>
    <w:rsid w:val="2EE63891"/>
    <w:rsid w:val="374B0B77"/>
    <w:rsid w:val="41FB36A0"/>
    <w:rsid w:val="42AE426E"/>
    <w:rsid w:val="42D57A4D"/>
    <w:rsid w:val="44E26451"/>
    <w:rsid w:val="44F63392"/>
    <w:rsid w:val="47460F19"/>
    <w:rsid w:val="4B3C4202"/>
    <w:rsid w:val="4B9F6E4A"/>
    <w:rsid w:val="550A5A33"/>
    <w:rsid w:val="5BE24CBF"/>
    <w:rsid w:val="5C6519EA"/>
    <w:rsid w:val="5C977621"/>
    <w:rsid w:val="5DB20C5F"/>
    <w:rsid w:val="621A5025"/>
    <w:rsid w:val="646709F5"/>
    <w:rsid w:val="660B3602"/>
    <w:rsid w:val="67695573"/>
    <w:rsid w:val="68F4037D"/>
    <w:rsid w:val="6A822A1B"/>
    <w:rsid w:val="6E273524"/>
    <w:rsid w:val="6E68570A"/>
    <w:rsid w:val="6EC46A44"/>
    <w:rsid w:val="6EEE3AC1"/>
    <w:rsid w:val="725B76BF"/>
    <w:rsid w:val="726E2F4F"/>
    <w:rsid w:val="7B902188"/>
    <w:rsid w:val="7E037902"/>
    <w:rsid w:val="7E5D03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Default"/>
    <w:qFormat/>
    <w:uiPriority w:val="0"/>
    <w:pPr>
      <w:widowControl w:val="0"/>
      <w:autoSpaceDE w:val="0"/>
      <w:autoSpaceDN w:val="0"/>
      <w:adjustRightInd w:val="0"/>
      <w:spacing w:line="240" w:lineRule="atLeast"/>
      <w:jc w:val="center"/>
    </w:pPr>
    <w:rPr>
      <w:rFonts w:ascii="Times New Roman"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33</TotalTime>
  <ScaleCrop>false</ScaleCrop>
  <LinksUpToDate>false</LinksUpToDate>
  <CharactersWithSpaces>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2023-07-05T01:50:00Z</dcterms:created>
  <dc:creator>闫向军</dc:creator>
  <cp:lastModifiedBy>闫向军</cp:lastModifiedBy>
  <cp:lastPrinted>2023-07-21T07:39:27Z</cp:lastPrinted>
  <dcterms:modified xsi:type="dcterms:W3CDTF">2023-07-21T08:07:44Z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839C7A66D0364259AB0E03EA11EFD1CF_11</vt:lpwstr>
  </property>
</Properties>
</file>