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500" w:lineRule="exact"/>
        <w:rPr>
          <w:rFonts w:ascii="黑体" w:hAnsi="Calibri" w:eastAsia="黑体"/>
          <w:sz w:val="13"/>
          <w:szCs w:val="13"/>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ascii="黑体" w:eastAsia="黑体"/>
          <w:sz w:val="44"/>
          <w:szCs w:val="44"/>
        </w:rPr>
      </w:pPr>
      <w:r>
        <w:rPr>
          <w:rFonts w:hint="eastAsia" w:ascii="仿宋_GB2312" w:hAnsi="仿宋_GB2312" w:eastAsia="仿宋_GB2312" w:cs="仿宋_GB2312"/>
          <w:sz w:val="32"/>
          <w:szCs w:val="32"/>
        </w:rPr>
        <w:t>涞水字〔20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22</w:t>
      </w:r>
      <w:r>
        <w:rPr>
          <w:rFonts w:hint="eastAsia" w:ascii="仿宋_GB2312" w:hAnsi="仿宋_GB2312" w:eastAsia="仿宋_GB2312" w:cs="仿宋_GB2312"/>
          <w:color w:val="000000"/>
          <w:sz w:val="32"/>
          <w:szCs w:val="32"/>
        </w:rPr>
        <w:t>号</w:t>
      </w:r>
    </w:p>
    <w:p>
      <w:pPr>
        <w:spacing w:line="600" w:lineRule="exact"/>
        <w:jc w:val="center"/>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pPr>
        <w:widowControl/>
        <w:snapToGrid w:val="0"/>
        <w:spacing w:line="60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涞源县水利局</w:t>
      </w:r>
    </w:p>
    <w:p>
      <w:pPr>
        <w:widowControl/>
        <w:snapToGrid w:val="0"/>
        <w:spacing w:line="60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2022年度“双随机、一公开”抽</w:t>
      </w:r>
      <w:bookmarkStart w:id="0" w:name="_GoBack"/>
      <w:bookmarkEnd w:id="0"/>
      <w:r>
        <w:rPr>
          <w:rFonts w:hint="eastAsia" w:ascii="方正小标宋简体" w:hAnsi="宋体" w:eastAsia="方正小标宋简体" w:cs="宋体"/>
          <w:kern w:val="0"/>
          <w:sz w:val="44"/>
          <w:szCs w:val="44"/>
        </w:rPr>
        <w:t>查工作计划</w:t>
      </w:r>
    </w:p>
    <w:p>
      <w:pPr>
        <w:widowControl/>
        <w:snapToGrid w:val="0"/>
        <w:spacing w:line="600" w:lineRule="exact"/>
        <w:jc w:val="left"/>
        <w:rPr>
          <w:rFonts w:ascii="仿宋_GB2312" w:eastAsia="仿宋_GB2312" w:hAnsiTheme="minorEastAsia" w:cstheme="minorEastAsia"/>
          <w:kern w:val="0"/>
          <w:sz w:val="32"/>
          <w:szCs w:val="32"/>
        </w:rPr>
      </w:pPr>
    </w:p>
    <w:p>
      <w:pPr>
        <w:widowControl/>
        <w:snapToGrid w:val="0"/>
        <w:spacing w:line="600" w:lineRule="exact"/>
        <w:ind w:firstLine="640" w:firstLineChars="200"/>
        <w:jc w:val="left"/>
        <w:rPr>
          <w:rFonts w:ascii="仿宋_GB2312" w:eastAsia="仿宋_GB2312" w:hAnsiTheme="minorEastAsia" w:cstheme="minorEastAsia"/>
          <w:kern w:val="0"/>
          <w:sz w:val="32"/>
          <w:szCs w:val="32"/>
        </w:rPr>
      </w:pPr>
      <w:r>
        <w:rPr>
          <w:rFonts w:hint="eastAsia" w:ascii="仿宋_GB2312" w:eastAsia="仿宋_GB2312" w:hAnsiTheme="minorEastAsia" w:cstheme="minorEastAsia"/>
          <w:kern w:val="0"/>
          <w:sz w:val="32"/>
          <w:szCs w:val="32"/>
        </w:rPr>
        <w:t>为切实做好2022年度涞源县“双随机一公开”随机抽查工作，进一步探索深化行政体制改革，加强行政许可的后续监管，推进行政监管科学化、规范化，</w:t>
      </w:r>
      <w:r>
        <w:rPr>
          <w:rFonts w:hint="eastAsia" w:ascii="仿宋_GB2312" w:eastAsia="仿宋_GB2312" w:hAnsiTheme="minorEastAsia" w:cstheme="minorEastAsia"/>
          <w:sz w:val="32"/>
          <w:szCs w:val="32"/>
          <w:shd w:val="clear" w:color="auto" w:fill="FFFFFF"/>
        </w:rPr>
        <w:t>促进执法公开、公平、公正。</w:t>
      </w:r>
      <w:r>
        <w:rPr>
          <w:rFonts w:hint="eastAsia" w:ascii="仿宋_GB2312" w:eastAsia="仿宋_GB2312" w:hAnsiTheme="minorEastAsia" w:cstheme="minorEastAsia"/>
          <w:kern w:val="0"/>
          <w:sz w:val="32"/>
          <w:szCs w:val="32"/>
        </w:rPr>
        <w:t>按照《2022年涞源县“双随机、一公开”监管工作实施方案》相关要求，结合我局实际，制定本计划。</w:t>
      </w:r>
    </w:p>
    <w:p>
      <w:pPr>
        <w:spacing w:line="600" w:lineRule="exact"/>
        <w:ind w:firstLine="640" w:firstLineChars="200"/>
        <w:rPr>
          <w:rFonts w:ascii="黑体" w:hAnsi="黑体" w:eastAsia="黑体" w:cstheme="minorEastAsia"/>
          <w:kern w:val="0"/>
          <w:sz w:val="32"/>
          <w:szCs w:val="32"/>
          <w:shd w:val="clear" w:color="auto" w:fill="FFFFFF"/>
        </w:rPr>
      </w:pPr>
      <w:r>
        <w:rPr>
          <w:rFonts w:hint="eastAsia" w:ascii="黑体" w:hAnsi="黑体" w:eastAsia="黑体" w:cstheme="minorEastAsia"/>
          <w:kern w:val="0"/>
          <w:sz w:val="32"/>
          <w:szCs w:val="32"/>
          <w:shd w:val="clear" w:color="auto" w:fill="FFFFFF"/>
        </w:rPr>
        <w:t>一、目标要求</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按照“依法监督、公开高效、公开透明、协同推进”原则，大力推广随机抽查，规范监管行为，创新管理方式，强化市场主体自律和社会监督，着力解决群众反映强烈的突出问题，创新监管方式，提高监管效能，优化监管服务，创造良好的水利发展环境。</w:t>
      </w:r>
    </w:p>
    <w:p>
      <w:pPr>
        <w:spacing w:line="600" w:lineRule="exact"/>
        <w:ind w:firstLine="640" w:firstLineChars="200"/>
        <w:rPr>
          <w:rFonts w:ascii="黑体" w:hAnsi="黑体" w:eastAsia="黑体" w:cstheme="minorEastAsia"/>
          <w:kern w:val="0"/>
          <w:sz w:val="32"/>
          <w:szCs w:val="32"/>
          <w:shd w:val="clear" w:color="auto" w:fill="FFFFFF"/>
        </w:rPr>
      </w:pPr>
      <w:r>
        <w:rPr>
          <w:rFonts w:hint="eastAsia" w:ascii="黑体" w:hAnsi="黑体" w:eastAsia="黑体" w:cstheme="minorEastAsia"/>
          <w:kern w:val="0"/>
          <w:sz w:val="32"/>
          <w:szCs w:val="32"/>
          <w:shd w:val="clear" w:color="auto" w:fill="FFFFFF"/>
        </w:rPr>
        <w:t>二、抽查工作开展时间</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2022年3月7日至2022年12月31日。</w:t>
      </w:r>
    </w:p>
    <w:p>
      <w:pPr>
        <w:spacing w:line="600" w:lineRule="exact"/>
        <w:ind w:firstLine="640" w:firstLineChars="200"/>
        <w:rPr>
          <w:rFonts w:ascii="黑体" w:hAnsi="黑体" w:eastAsia="黑体" w:cstheme="minorEastAsia"/>
          <w:kern w:val="0"/>
          <w:sz w:val="32"/>
          <w:szCs w:val="32"/>
          <w:shd w:val="clear" w:color="auto" w:fill="FFFFFF"/>
        </w:rPr>
      </w:pPr>
      <w:r>
        <w:rPr>
          <w:rFonts w:hint="eastAsia" w:ascii="黑体" w:hAnsi="黑体" w:eastAsia="黑体" w:cstheme="minorEastAsia"/>
          <w:kern w:val="0"/>
          <w:sz w:val="32"/>
          <w:szCs w:val="32"/>
          <w:shd w:val="clear" w:color="auto" w:fill="FFFFFF"/>
        </w:rPr>
        <w:t>三、抽查对象和抽查人员组成</w:t>
      </w:r>
    </w:p>
    <w:p>
      <w:pPr>
        <w:spacing w:line="600" w:lineRule="exact"/>
        <w:ind w:firstLine="643" w:firstLineChars="200"/>
        <w:rPr>
          <w:rFonts w:ascii="楷体_GB2312" w:eastAsia="楷体_GB2312" w:hAnsiTheme="minorEastAsia" w:cstheme="minorEastAsia"/>
          <w:b/>
          <w:kern w:val="0"/>
          <w:sz w:val="32"/>
          <w:szCs w:val="32"/>
          <w:shd w:val="clear" w:color="auto" w:fill="FFFFFF"/>
        </w:rPr>
      </w:pPr>
      <w:r>
        <w:rPr>
          <w:rFonts w:hint="eastAsia" w:ascii="楷体_GB2312" w:eastAsia="楷体_GB2312" w:hAnsiTheme="minorEastAsia" w:cstheme="minorEastAsia"/>
          <w:b/>
          <w:kern w:val="0"/>
          <w:sz w:val="32"/>
          <w:szCs w:val="32"/>
          <w:shd w:val="clear" w:color="auto" w:fill="FFFFFF"/>
        </w:rPr>
        <w:t>（一）抽查对象</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抽查对象从执法检查对象名录中随机抽取。</w:t>
      </w:r>
    </w:p>
    <w:p>
      <w:pPr>
        <w:spacing w:line="600" w:lineRule="exact"/>
        <w:ind w:firstLine="643" w:firstLineChars="200"/>
        <w:rPr>
          <w:rFonts w:ascii="楷体_GB2312" w:eastAsia="楷体_GB2312" w:hAnsiTheme="minorEastAsia" w:cstheme="minorEastAsia"/>
          <w:b/>
          <w:kern w:val="0"/>
          <w:sz w:val="32"/>
          <w:szCs w:val="32"/>
          <w:shd w:val="clear" w:color="auto" w:fill="FFFFFF"/>
        </w:rPr>
      </w:pPr>
      <w:r>
        <w:rPr>
          <w:rFonts w:hint="eastAsia" w:ascii="楷体_GB2312" w:eastAsia="楷体_GB2312" w:hAnsiTheme="minorEastAsia" w:cstheme="minorEastAsia"/>
          <w:b/>
          <w:kern w:val="0"/>
          <w:sz w:val="32"/>
          <w:szCs w:val="32"/>
          <w:shd w:val="clear" w:color="auto" w:fill="FFFFFF"/>
        </w:rPr>
        <w:t>（二）抽查人员组成</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抽查人员由监管责任股室和执法人员组成，从执法检查人员名录库中随机抽取（不少于2人）。</w:t>
      </w:r>
    </w:p>
    <w:p>
      <w:pPr>
        <w:spacing w:line="600" w:lineRule="exact"/>
        <w:ind w:firstLine="640" w:firstLineChars="200"/>
        <w:rPr>
          <w:rFonts w:ascii="黑体" w:hAnsi="黑体" w:eastAsia="黑体" w:cstheme="minorEastAsia"/>
          <w:kern w:val="0"/>
          <w:sz w:val="32"/>
          <w:szCs w:val="32"/>
          <w:shd w:val="clear" w:color="auto" w:fill="FFFFFF"/>
        </w:rPr>
      </w:pPr>
      <w:r>
        <w:rPr>
          <w:rFonts w:hint="eastAsia" w:ascii="黑体" w:hAnsi="黑体" w:eastAsia="黑体" w:cstheme="minorEastAsia"/>
          <w:kern w:val="0"/>
          <w:sz w:val="32"/>
          <w:szCs w:val="32"/>
          <w:shd w:val="clear" w:color="auto" w:fill="FFFFFF"/>
        </w:rPr>
        <w:t>四、抽查内容</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根据《涞源县水利局随机抽查事项清单》抽查项目开展检查。</w:t>
      </w:r>
    </w:p>
    <w:p>
      <w:pPr>
        <w:spacing w:line="600" w:lineRule="exact"/>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水资源管理股负责取水许可的后续监管随机抽查；水保股负责生产建设项目水土保持方案后续监督检查。</w:t>
      </w:r>
    </w:p>
    <w:p>
      <w:pPr>
        <w:spacing w:line="600" w:lineRule="exact"/>
        <w:ind w:firstLine="640" w:firstLineChars="200"/>
        <w:rPr>
          <w:rFonts w:ascii="黑体" w:hAnsi="黑体" w:eastAsia="黑体" w:cstheme="minorEastAsia"/>
          <w:kern w:val="0"/>
          <w:sz w:val="32"/>
          <w:szCs w:val="32"/>
          <w:shd w:val="clear" w:color="auto" w:fill="FFFFFF"/>
        </w:rPr>
      </w:pPr>
      <w:r>
        <w:rPr>
          <w:rFonts w:hint="eastAsia" w:ascii="黑体" w:hAnsi="黑体" w:eastAsia="黑体" w:cstheme="minorEastAsia"/>
          <w:kern w:val="0"/>
          <w:sz w:val="32"/>
          <w:szCs w:val="32"/>
          <w:shd w:val="clear" w:color="auto" w:fill="FFFFFF"/>
        </w:rPr>
        <w:t>五、随机抽查比例和频次</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各责任股室要根据水利的发展和监管领域的实际情况，合理确定随机抽查的比例和频次，既要保证必要的抽查覆盖和工作力度，又要防止检查过多和执法扰民。对于法律法规规章有规定的，按有关规定实施；法律法规规章没有规定的，每年随机抽查比例按照企业信用风险分级分类3%以上，抽查频次每年不少于2次。对涉及安全和民生的重点监管领域，以及投诉举报多、列入经营异常名录或有严重违法违规记录等情况的市场主体，要加大随机抽查力度。</w:t>
      </w:r>
    </w:p>
    <w:p>
      <w:pPr>
        <w:spacing w:line="600" w:lineRule="exact"/>
        <w:ind w:firstLine="640" w:firstLineChars="200"/>
        <w:rPr>
          <w:rFonts w:ascii="黑体" w:hAnsi="黑体" w:eastAsia="黑体" w:cstheme="minorEastAsia"/>
          <w:kern w:val="0"/>
          <w:sz w:val="32"/>
          <w:szCs w:val="32"/>
          <w:shd w:val="clear" w:color="auto" w:fill="FFFFFF"/>
        </w:rPr>
      </w:pPr>
      <w:r>
        <w:rPr>
          <w:rFonts w:hint="eastAsia" w:ascii="黑体" w:hAnsi="黑体" w:eastAsia="黑体" w:cstheme="minorEastAsia"/>
          <w:kern w:val="0"/>
          <w:sz w:val="32"/>
          <w:szCs w:val="32"/>
          <w:shd w:val="clear" w:color="auto" w:fill="FFFFFF"/>
        </w:rPr>
        <w:t>六、抽查方式</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开展“双随机、一公开”检查工作。由责任股室组织采随机的方式从市场主体名录库和执法检查人员名录库中随机抽取检查对象、执法检查人员（不少于2名），执法检查人员与抽查对象有利害关系的，应依法回避。检查人员开展检查工作时，现场检查记录表和现场照片等证据资料应当作为执法全过程进行记录备案，各责任股室要及时做好检查档案归档并妥善保管。检查工作应在抽取工作完成后的一个月内结束。</w:t>
      </w:r>
    </w:p>
    <w:p>
      <w:pPr>
        <w:spacing w:line="600" w:lineRule="exact"/>
        <w:ind w:firstLine="640" w:firstLineChars="200"/>
        <w:rPr>
          <w:rFonts w:ascii="黑体" w:hAnsi="黑体" w:eastAsia="黑体" w:cstheme="minorEastAsia"/>
          <w:kern w:val="0"/>
          <w:sz w:val="32"/>
          <w:szCs w:val="32"/>
          <w:shd w:val="clear" w:color="auto" w:fill="FFFFFF"/>
        </w:rPr>
      </w:pPr>
      <w:r>
        <w:rPr>
          <w:rFonts w:hint="eastAsia" w:ascii="黑体" w:hAnsi="黑体" w:eastAsia="黑体" w:cstheme="minorEastAsia"/>
          <w:kern w:val="0"/>
          <w:sz w:val="32"/>
          <w:szCs w:val="32"/>
          <w:shd w:val="clear" w:color="auto" w:fill="FFFFFF"/>
        </w:rPr>
        <w:t>七、抽查结果运用</w:t>
      </w:r>
    </w:p>
    <w:p>
      <w:pPr>
        <w:spacing w:line="600" w:lineRule="exact"/>
        <w:ind w:firstLine="643" w:firstLineChars="200"/>
        <w:rPr>
          <w:rFonts w:ascii="楷体_GB2312" w:eastAsia="楷体_GB2312" w:hAnsiTheme="minorEastAsia" w:cstheme="minorEastAsia"/>
          <w:b/>
          <w:kern w:val="0"/>
          <w:sz w:val="32"/>
          <w:szCs w:val="32"/>
          <w:shd w:val="clear" w:color="auto" w:fill="FFFFFF"/>
        </w:rPr>
      </w:pPr>
      <w:r>
        <w:rPr>
          <w:rFonts w:hint="eastAsia" w:ascii="楷体_GB2312" w:eastAsia="楷体_GB2312" w:hAnsiTheme="minorEastAsia" w:cstheme="minorEastAsia"/>
          <w:b/>
          <w:kern w:val="0"/>
          <w:sz w:val="32"/>
          <w:szCs w:val="32"/>
          <w:shd w:val="clear" w:color="auto" w:fill="FFFFFF"/>
        </w:rPr>
        <w:t>（一）实行“一抽查一通报”制度</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在抽查任务完成后，按照“谁检查、谁录入、谁公开”的原则，将抽查情况及查处结果要及时通过公示系统进行公示（除涉密外），主动接受社会监督；对检查中发现的问题要从严从快处理，该整改的及时责令整改，该处罚的依法处罚。对涉嫌犯罪的要移交公安部门进行处理，确保水利领域违法问题整治到位、处罚到位、移交移送到位、责任追究到位。</w:t>
      </w:r>
    </w:p>
    <w:p>
      <w:pPr>
        <w:spacing w:line="600" w:lineRule="exact"/>
        <w:ind w:firstLine="643" w:firstLineChars="200"/>
        <w:rPr>
          <w:rFonts w:ascii="楷体_GB2312" w:eastAsia="楷体_GB2312" w:hAnsiTheme="minorEastAsia" w:cstheme="minorEastAsia"/>
          <w:b/>
          <w:kern w:val="0"/>
          <w:sz w:val="32"/>
          <w:szCs w:val="32"/>
          <w:shd w:val="clear" w:color="auto" w:fill="FFFFFF"/>
        </w:rPr>
      </w:pPr>
      <w:r>
        <w:rPr>
          <w:rFonts w:hint="eastAsia" w:ascii="楷体_GB2312" w:eastAsia="楷体_GB2312" w:hAnsiTheme="minorEastAsia" w:cstheme="minorEastAsia"/>
          <w:b/>
          <w:kern w:val="0"/>
          <w:sz w:val="32"/>
          <w:szCs w:val="32"/>
          <w:shd w:val="clear" w:color="auto" w:fill="FFFFFF"/>
        </w:rPr>
        <w:t>（二）加快建立统一的市场监管信息平台</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推进随机抽查与社会信用体系相衔接。积极参与统一的市场监管信息平台建设，依托平台加强部门之间、上下之间监管信息的互联互通，形成监管合力。各业务股室要加强沟通协调，推动市场主体诚信档案、失信联合惩戒、黑名单和整改回访制度建设；根据市场主体的信用情况，采取针对性强的监督检查方式。</w:t>
      </w:r>
    </w:p>
    <w:p>
      <w:pPr>
        <w:spacing w:line="600" w:lineRule="exact"/>
        <w:ind w:firstLine="643" w:firstLineChars="200"/>
        <w:rPr>
          <w:rFonts w:ascii="楷体_GB2312" w:eastAsia="楷体_GB2312" w:hAnsiTheme="minorEastAsia" w:cstheme="minorEastAsia"/>
          <w:b/>
          <w:kern w:val="0"/>
          <w:sz w:val="32"/>
          <w:szCs w:val="32"/>
          <w:shd w:val="clear" w:color="auto" w:fill="FFFFFF"/>
        </w:rPr>
      </w:pPr>
      <w:r>
        <w:rPr>
          <w:rFonts w:hint="eastAsia" w:ascii="楷体_GB2312" w:eastAsia="楷体_GB2312" w:hAnsiTheme="minorEastAsia" w:cstheme="minorEastAsia"/>
          <w:b/>
          <w:kern w:val="0"/>
          <w:sz w:val="32"/>
          <w:szCs w:val="32"/>
          <w:shd w:val="clear" w:color="auto" w:fill="FFFFFF"/>
        </w:rPr>
        <w:t>（三）探索开展联合抽查和建立跨区域执法机制</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局机关成立随机抽查工作协调小组，组织协调相关部门开展联合抽查工作。按照“双随机、一公开”的抽查要求，按照“涞源县2022年部门联合随机抽查工作计划”对涞源县住房城乡建设领域跨部门联合抽查，有效整合利用现有执法资源，提高执法能力，降低市场主体成本。</w:t>
      </w:r>
    </w:p>
    <w:p>
      <w:pPr>
        <w:spacing w:line="600" w:lineRule="exact"/>
        <w:ind w:firstLine="640" w:firstLineChars="200"/>
        <w:rPr>
          <w:rFonts w:ascii="黑体" w:hAnsi="黑体" w:eastAsia="黑体" w:cstheme="minorEastAsia"/>
          <w:kern w:val="0"/>
          <w:sz w:val="32"/>
          <w:szCs w:val="32"/>
          <w:shd w:val="clear" w:color="auto" w:fill="FFFFFF"/>
        </w:rPr>
      </w:pPr>
      <w:r>
        <w:rPr>
          <w:rFonts w:hint="eastAsia" w:ascii="黑体" w:hAnsi="黑体" w:eastAsia="黑体" w:cstheme="minorEastAsia"/>
          <w:kern w:val="0"/>
          <w:sz w:val="32"/>
          <w:szCs w:val="32"/>
          <w:shd w:val="clear" w:color="auto" w:fill="FFFFFF"/>
        </w:rPr>
        <w:t>八、工作要求</w:t>
      </w:r>
    </w:p>
    <w:p>
      <w:pPr>
        <w:spacing w:line="600" w:lineRule="exact"/>
        <w:ind w:firstLine="643" w:firstLineChars="200"/>
        <w:rPr>
          <w:rFonts w:ascii="仿宋_GB2312" w:eastAsia="仿宋_GB2312" w:hAnsiTheme="minorEastAsia" w:cstheme="minorEastAsia"/>
          <w:kern w:val="0"/>
          <w:sz w:val="32"/>
          <w:szCs w:val="32"/>
          <w:shd w:val="clear" w:color="auto" w:fill="FFFFFF"/>
        </w:rPr>
      </w:pPr>
      <w:r>
        <w:rPr>
          <w:rFonts w:hint="eastAsia" w:ascii="楷体_GB2312" w:eastAsia="楷体_GB2312" w:hAnsiTheme="minorEastAsia" w:cstheme="minorEastAsia"/>
          <w:b/>
          <w:kern w:val="0"/>
          <w:sz w:val="32"/>
          <w:szCs w:val="32"/>
          <w:shd w:val="clear" w:color="auto" w:fill="FFFFFF"/>
        </w:rPr>
        <w:t>（一）加强组织领导。</w:t>
      </w:r>
      <w:r>
        <w:rPr>
          <w:rFonts w:hint="eastAsia" w:ascii="仿宋_GB2312" w:eastAsia="仿宋_GB2312" w:hAnsiTheme="minorEastAsia" w:cstheme="minorEastAsia"/>
          <w:kern w:val="0"/>
          <w:sz w:val="32"/>
          <w:szCs w:val="32"/>
          <w:shd w:val="clear" w:color="auto" w:fill="FFFFFF"/>
        </w:rPr>
        <w:t>推进随机抽查是贯彻落实党中央、国务院关于深化行政体制改革，加快转变政府职能，推进简政放权、放管结合、优化服务决策部署的重要举措，要深刻认识推广“双随机、一公开”抽查工作的重要性和必要性，主要领导对随机抽查工作亲自抓，分管领导具体抓，做好对抽查工作的组织部署、督促指导，强化部门之间的协同配合，不断探索和完善相关工作体制机制，提高执法检查的效能和水平。</w:t>
      </w:r>
    </w:p>
    <w:p>
      <w:pPr>
        <w:spacing w:line="600" w:lineRule="exact"/>
        <w:ind w:firstLine="643" w:firstLineChars="200"/>
        <w:rPr>
          <w:rFonts w:ascii="仿宋_GB2312" w:eastAsia="仿宋_GB2312" w:hAnsiTheme="minorEastAsia" w:cstheme="minorEastAsia"/>
          <w:kern w:val="0"/>
          <w:sz w:val="32"/>
          <w:szCs w:val="32"/>
          <w:shd w:val="clear" w:color="auto" w:fill="FFFFFF"/>
        </w:rPr>
      </w:pPr>
      <w:r>
        <w:rPr>
          <w:rFonts w:hint="eastAsia" w:ascii="楷体_GB2312" w:eastAsia="楷体_GB2312" w:hAnsiTheme="minorEastAsia" w:cstheme="minorEastAsia"/>
          <w:b/>
          <w:kern w:val="0"/>
          <w:sz w:val="32"/>
          <w:szCs w:val="32"/>
          <w:shd w:val="clear" w:color="auto" w:fill="FFFFFF"/>
        </w:rPr>
        <w:t>（二）严格落实责任。</w:t>
      </w:r>
      <w:r>
        <w:rPr>
          <w:rFonts w:hint="eastAsia" w:ascii="仿宋_GB2312" w:eastAsia="仿宋_GB2312" w:hAnsiTheme="minorEastAsia" w:cstheme="minorEastAsia"/>
          <w:kern w:val="0"/>
          <w:sz w:val="32"/>
          <w:szCs w:val="32"/>
          <w:shd w:val="clear" w:color="auto" w:fill="FFFFFF"/>
        </w:rPr>
        <w:t>各股室要进一步增强责任意识，大力推广“双随机、一公开”抽查，公平、有效、透明地进行事中事后监管，明确工作要求，落实责任任务，切实履行法定监管职责，强化对随机抽查工作的过程监控和绩效评价，对监管工作中失职渎职的依法依规严肃处理。</w:t>
      </w:r>
    </w:p>
    <w:p>
      <w:pPr>
        <w:spacing w:line="600" w:lineRule="exact"/>
        <w:ind w:firstLine="643" w:firstLineChars="200"/>
        <w:rPr>
          <w:rFonts w:ascii="仿宋_GB2312" w:eastAsia="仿宋_GB2312" w:hAnsiTheme="minorEastAsia" w:cstheme="minorEastAsia"/>
          <w:kern w:val="0"/>
          <w:sz w:val="32"/>
          <w:szCs w:val="32"/>
          <w:shd w:val="clear" w:color="auto" w:fill="FFFFFF"/>
        </w:rPr>
      </w:pPr>
      <w:r>
        <w:rPr>
          <w:rFonts w:hint="eastAsia" w:ascii="楷体_GB2312" w:eastAsia="楷体_GB2312" w:hAnsiTheme="minorEastAsia" w:cstheme="minorEastAsia"/>
          <w:b/>
          <w:kern w:val="0"/>
          <w:sz w:val="32"/>
          <w:szCs w:val="32"/>
          <w:shd w:val="clear" w:color="auto" w:fill="FFFFFF"/>
        </w:rPr>
        <w:t>（三）加强宣传培训。</w:t>
      </w:r>
      <w:r>
        <w:rPr>
          <w:rFonts w:hint="eastAsia" w:ascii="仿宋_GB2312" w:eastAsia="仿宋_GB2312" w:hAnsiTheme="minorEastAsia" w:cstheme="minorEastAsia"/>
          <w:kern w:val="0"/>
          <w:sz w:val="32"/>
          <w:szCs w:val="32"/>
          <w:shd w:val="clear" w:color="auto" w:fill="FFFFFF"/>
        </w:rPr>
        <w:t>随机抽查是事中事后监管方式的探索和创新，各业务股室要按照本方案的工作要求，积极与相关部门沟通，加大宣传力度，充分运用网络、媒体等渠道，广泛开展宣传报导，积极争取社会各界支持，为随机抽查工作顺利开展营造良好的氛围。同时加强执法人员培训，加快转变执法理念，不断探索完善随机抽查机制。</w:t>
      </w:r>
    </w:p>
    <w:p>
      <w:pPr>
        <w:spacing w:line="600" w:lineRule="exact"/>
        <w:ind w:firstLine="643" w:firstLineChars="200"/>
        <w:rPr>
          <w:rFonts w:ascii="仿宋_GB2312" w:eastAsia="仿宋_GB2312" w:hAnsiTheme="minorEastAsia" w:cstheme="minorEastAsia"/>
          <w:kern w:val="0"/>
          <w:sz w:val="32"/>
          <w:szCs w:val="32"/>
          <w:shd w:val="clear" w:color="auto" w:fill="FFFFFF"/>
        </w:rPr>
      </w:pPr>
      <w:r>
        <w:rPr>
          <w:rFonts w:hint="eastAsia" w:ascii="楷体_GB2312" w:eastAsia="楷体_GB2312" w:hAnsiTheme="minorEastAsia" w:cstheme="minorEastAsia"/>
          <w:b/>
          <w:kern w:val="0"/>
          <w:sz w:val="32"/>
          <w:szCs w:val="32"/>
          <w:shd w:val="clear" w:color="auto" w:fill="FFFFFF"/>
        </w:rPr>
        <w:t>（四）强化廉洁自律。</w:t>
      </w:r>
      <w:r>
        <w:rPr>
          <w:rFonts w:hint="eastAsia" w:ascii="仿宋_GB2312" w:eastAsia="仿宋_GB2312" w:hAnsiTheme="minorEastAsia" w:cstheme="minorEastAsia"/>
          <w:kern w:val="0"/>
          <w:sz w:val="32"/>
          <w:szCs w:val="32"/>
          <w:shd w:val="clear" w:color="auto" w:fill="FFFFFF"/>
        </w:rPr>
        <w:t>各股室要严格遵守法定程序和权限，不得妨碍生产经营单位正常的生产经营活动，不得索取、收受被检查对象及相关利益人的财物或其他利益，不得徇私枉法和营私舞弊。对抽查工作中失职渎职和违纪的，要依法依纪严肃处理。</w:t>
      </w: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kern w:val="0"/>
          <w:sz w:val="32"/>
          <w:szCs w:val="32"/>
          <w:shd w:val="clear" w:color="auto" w:fill="FFFFFF"/>
        </w:rPr>
        <w:t>附件：</w:t>
      </w:r>
      <w:r>
        <w:rPr>
          <w:rFonts w:hint="eastAsia" w:ascii="仿宋_GB2312" w:eastAsia="仿宋_GB2312" w:hAnsiTheme="minorEastAsia" w:cstheme="minorEastAsia"/>
          <w:kern w:val="0"/>
          <w:sz w:val="32"/>
          <w:szCs w:val="32"/>
          <w:shd w:val="clear" w:color="auto" w:fill="FFFFFF"/>
        </w:rPr>
        <w:t>涞源县水利局2022年度内部随机抽查工作计划</w:t>
      </w:r>
    </w:p>
    <w:p>
      <w:pPr>
        <w:spacing w:line="600" w:lineRule="exact"/>
        <w:ind w:firstLine="640" w:firstLineChars="200"/>
        <w:rPr>
          <w:rFonts w:hint="eastAsia" w:ascii="仿宋_GB2312" w:eastAsia="仿宋_GB2312" w:hAnsiTheme="minorEastAsia" w:cstheme="minorEastAsia"/>
          <w:kern w:val="0"/>
          <w:sz w:val="32"/>
          <w:szCs w:val="32"/>
          <w:shd w:val="clear" w:color="auto" w:fill="FFFFFF"/>
        </w:rPr>
      </w:pPr>
    </w:p>
    <w:p>
      <w:pPr>
        <w:spacing w:line="600" w:lineRule="exact"/>
        <w:ind w:firstLine="640" w:firstLineChars="200"/>
        <w:rPr>
          <w:rFonts w:hint="eastAsia" w:ascii="仿宋_GB2312" w:eastAsia="仿宋_GB2312" w:hAnsiTheme="minorEastAsia" w:cstheme="minorEastAsia"/>
          <w:kern w:val="0"/>
          <w:sz w:val="32"/>
          <w:szCs w:val="32"/>
          <w:shd w:val="clear" w:color="auto" w:fill="FFFFFF"/>
        </w:rPr>
      </w:pPr>
    </w:p>
    <w:p>
      <w:pPr>
        <w:spacing w:line="600" w:lineRule="exact"/>
        <w:ind w:firstLine="640" w:firstLineChars="200"/>
        <w:rPr>
          <w:rFonts w:ascii="仿宋_GB2312" w:eastAsia="仿宋_GB2312" w:hAnsiTheme="minorEastAsia" w:cstheme="minorEastAsia"/>
          <w:kern w:val="0"/>
          <w:sz w:val="32"/>
          <w:szCs w:val="32"/>
          <w:shd w:val="clear" w:color="auto" w:fill="FFFFFF"/>
        </w:rPr>
      </w:pPr>
    </w:p>
    <w:p>
      <w:pPr>
        <w:spacing w:line="600" w:lineRule="exact"/>
        <w:ind w:firstLine="640" w:firstLineChars="200"/>
        <w:rPr>
          <w:rFonts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 xml:space="preserve">                             涞源县水利局</w:t>
      </w: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r>
        <w:rPr>
          <w:rFonts w:hint="eastAsia" w:ascii="仿宋_GB2312" w:eastAsia="仿宋_GB2312" w:hAnsiTheme="minorEastAsia" w:cstheme="minorEastAsia"/>
          <w:kern w:val="0"/>
          <w:sz w:val="32"/>
          <w:szCs w:val="32"/>
          <w:shd w:val="clear" w:color="auto" w:fill="FFFFFF"/>
        </w:rPr>
        <w:t>2022年3月7日</w:t>
      </w: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p>
    <w:p>
      <w:pPr>
        <w:spacing w:line="600" w:lineRule="exact"/>
        <w:ind w:firstLine="5120" w:firstLineChars="1600"/>
        <w:rPr>
          <w:rFonts w:hint="eastAsia" w:ascii="仿宋_GB2312" w:eastAsia="仿宋_GB2312" w:hAnsiTheme="minorEastAsia" w:cstheme="minorEastAsia"/>
          <w:kern w:val="0"/>
          <w:sz w:val="32"/>
          <w:szCs w:val="32"/>
          <w:shd w:val="clear" w:color="auto" w:fill="FFFFFF"/>
        </w:rPr>
      </w:pPr>
    </w:p>
    <w:p>
      <w:pPr>
        <w:pStyle w:val="2"/>
        <w:rPr>
          <w:rFonts w:hint="eastAsia"/>
        </w:rPr>
      </w:pPr>
    </w:p>
    <w:p/>
    <w:p>
      <w:pPr>
        <w:pStyle w:val="2"/>
      </w:pPr>
    </w:p>
    <w:p>
      <w:pPr>
        <w:pStyle w:val="3"/>
        <w:spacing w:line="520" w:lineRule="exact"/>
        <w:rPr>
          <w:rFonts w:ascii="仿宋_GB2312" w:eastAsia="仿宋_GB2312" w:hAnsiTheme="minorEastAsia" w:cstheme="minorEastAsia"/>
          <w:kern w:val="0"/>
          <w:sz w:val="32"/>
          <w:szCs w:val="32"/>
          <w:shd w:val="clear" w:color="auto" w:fill="FFFFFF"/>
        </w:rPr>
      </w:pPr>
      <w:r>
        <w:rPr>
          <w:rFonts w:ascii="仿宋_GB2312" w:hAnsi="仿宋_GB2312" w:eastAsia="仿宋_GB2312" w:cs="仿宋_GB2312"/>
          <w:sz w:val="32"/>
          <w:szCs w:val="32"/>
        </w:rPr>
        <w:pict>
          <v:line id="直接连接符 3" o:spid="_x0000_s1026" o:spt="20" style="position:absolute;left:0pt;flip:y;margin-left:0.3pt;margin-top:31.15pt;height:0.15pt;width:444.5pt;z-index:251659264;mso-width-relative:page;mso-height-relative:page;" coordsize="21600,21600" o:gfxdata="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0ysedMAAAAG&#10;AQAADwAAAAAAAAABACAAAAAiAAAAZHJzL2Rvd25yZXYueG1sUEsBAhQAFAAAAAgAh07iQKkeI9vo&#10;AQAAsQMAAA4AAAAAAAAAAQAgAAAAIgEAAGRycy9lMm9Eb2MueG1sUEsFBgAAAAAGAAYAWQEAAHwF&#10;AAAAAA==&#10;">
            <v:path arrowok="t"/>
            <v:fill focussize="0,0"/>
            <v:stroke/>
            <v:imagedata o:title=""/>
            <o:lock v:ext="edit"/>
          </v:line>
        </w:pict>
      </w:r>
      <w:r>
        <w:rPr>
          <w:rFonts w:ascii="仿宋_GB2312" w:hAnsi="仿宋_GB2312" w:eastAsia="仿宋_GB2312" w:cs="仿宋_GB2312"/>
          <w:sz w:val="32"/>
          <w:szCs w:val="32"/>
        </w:rPr>
        <w:pict>
          <v:line id="直接连接符 5" o:spid="_x0000_s1027" o:spt="20" style="position:absolute;left:0pt;margin-left:0.6pt;margin-top:1pt;height:0.45pt;width:443.9pt;z-index:251660288;mso-width-relative:page;mso-height-relative:page;" coordsize="21600,21600" o:gfxdata="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aM77SAAAABQEAAA8AAAAAAAAA&#10;AQAgAAAAIgAAAGRycy9kb3ducmV2LnhtbFBLAQIUABQAAAAIAIdO4kCqTxDF3gEAAKcDAAAOAAAA&#10;AAAAAAEAIAAAACEBAABkcnMvZTJvRG9jLnhtbFBLBQYAAAAABgAGAFkBAABxBQAAAAA=&#10;">
            <v:path arrowok="t"/>
            <v:fill focussize="0,0"/>
            <v:stroke/>
            <v:imagedata o:title=""/>
            <o:lock v:ext="edit"/>
          </v:line>
        </w:pict>
      </w:r>
      <w:r>
        <w:rPr>
          <w:rFonts w:hint="eastAsia" w:ascii="仿宋_GB2312" w:hAnsi="仿宋_GB2312" w:eastAsia="仿宋_GB2312" w:cs="仿宋_GB2312"/>
          <w:sz w:val="32"/>
          <w:szCs w:val="32"/>
        </w:rPr>
        <w:t>涞源县水利局                         2022年3月7日印发</w:t>
      </w:r>
      <w:r>
        <w:rPr>
          <w:rFonts w:hint="eastAsia" w:ascii="宋体" w:hAnsi="宋体"/>
          <w:bCs/>
          <w:sz w:val="32"/>
          <w:szCs w:val="32"/>
        </w:rPr>
        <w:t xml:space="preserve"> </w:t>
      </w:r>
    </w:p>
    <w:p>
      <w:pPr>
        <w:spacing w:line="560" w:lineRule="exact"/>
        <w:rPr>
          <w:rFonts w:ascii="仿宋_GB2312" w:eastAsia="仿宋_GB2312" w:hAnsiTheme="minorEastAsia" w:cstheme="minorEastAsia"/>
          <w:kern w:val="0"/>
          <w:sz w:val="32"/>
          <w:szCs w:val="32"/>
          <w:shd w:val="clear" w:color="auto" w:fill="FFFFFF"/>
        </w:rPr>
        <w:sectPr>
          <w:footerReference r:id="rId3" w:type="default"/>
          <w:pgSz w:w="11906" w:h="16838"/>
          <w:pgMar w:top="1531" w:right="1531" w:bottom="1531" w:left="1531" w:header="851" w:footer="992" w:gutter="0"/>
          <w:cols w:space="425" w:num="1"/>
          <w:docGrid w:type="lines" w:linePitch="312" w:charSpace="0"/>
        </w:sectPr>
      </w:pPr>
    </w:p>
    <w:tbl>
      <w:tblPr>
        <w:tblStyle w:val="7"/>
        <w:tblW w:w="14595" w:type="dxa"/>
        <w:tblInd w:w="94" w:type="dxa"/>
        <w:tblLayout w:type="autofit"/>
        <w:tblCellMar>
          <w:top w:w="0" w:type="dxa"/>
          <w:left w:w="108" w:type="dxa"/>
          <w:bottom w:w="0" w:type="dxa"/>
          <w:right w:w="108" w:type="dxa"/>
        </w:tblCellMar>
      </w:tblPr>
      <w:tblGrid>
        <w:gridCol w:w="1305"/>
        <w:gridCol w:w="1410"/>
        <w:gridCol w:w="1200"/>
        <w:gridCol w:w="1515"/>
        <w:gridCol w:w="1155"/>
        <w:gridCol w:w="975"/>
        <w:gridCol w:w="1575"/>
        <w:gridCol w:w="1425"/>
        <w:gridCol w:w="990"/>
        <w:gridCol w:w="1095"/>
        <w:gridCol w:w="1950"/>
      </w:tblGrid>
      <w:tr>
        <w:tblPrEx>
          <w:tblCellMar>
            <w:top w:w="0" w:type="dxa"/>
            <w:left w:w="108" w:type="dxa"/>
            <w:bottom w:w="0" w:type="dxa"/>
            <w:right w:w="108" w:type="dxa"/>
          </w:tblCellMar>
        </w:tblPrEx>
        <w:trPr>
          <w:trHeight w:val="375" w:hRule="atLeast"/>
        </w:trPr>
        <w:tc>
          <w:tcPr>
            <w:tcW w:w="1305" w:type="dxa"/>
            <w:tcBorders>
              <w:top w:val="nil"/>
              <w:left w:val="nil"/>
              <w:bottom w:val="nil"/>
              <w:right w:val="nil"/>
            </w:tcBorders>
            <w:shd w:val="clear" w:color="auto" w:fill="auto"/>
            <w:noWrap/>
            <w:vAlign w:val="center"/>
          </w:tcPr>
          <w:p>
            <w:pPr>
              <w:widowControl/>
              <w:jc w:val="center"/>
              <w:rPr>
                <w:rFonts w:ascii="黑体" w:hAnsi="黑体" w:eastAsia="黑体" w:cs="宋体"/>
                <w:color w:val="000000"/>
                <w:kern w:val="0"/>
                <w:sz w:val="28"/>
                <w:szCs w:val="28"/>
              </w:rPr>
            </w:pPr>
            <w:r>
              <w:rPr>
                <w:rFonts w:hint="eastAsia" w:ascii="黑体" w:hAnsi="黑体" w:eastAsia="黑体" w:cs="宋体"/>
                <w:color w:val="000000"/>
                <w:kern w:val="0"/>
                <w:sz w:val="28"/>
                <w:szCs w:val="28"/>
              </w:rPr>
              <w:t>附件：</w:t>
            </w:r>
          </w:p>
        </w:tc>
        <w:tc>
          <w:tcPr>
            <w:tcW w:w="1410" w:type="dxa"/>
            <w:tcBorders>
              <w:top w:val="nil"/>
              <w:left w:val="nil"/>
              <w:bottom w:val="nil"/>
              <w:right w:val="nil"/>
            </w:tcBorders>
            <w:shd w:val="clear" w:color="auto" w:fill="auto"/>
            <w:noWrap/>
            <w:vAlign w:val="center"/>
          </w:tcPr>
          <w:p>
            <w:pPr>
              <w:widowControl/>
              <w:jc w:val="left"/>
              <w:rPr>
                <w:rFonts w:ascii="宋体" w:hAnsi="宋体" w:cs="宋体"/>
                <w:color w:val="000000"/>
                <w:kern w:val="0"/>
                <w:sz w:val="22"/>
                <w:szCs w:val="22"/>
              </w:rPr>
            </w:pPr>
          </w:p>
        </w:tc>
        <w:tc>
          <w:tcPr>
            <w:tcW w:w="1200" w:type="dxa"/>
            <w:tcBorders>
              <w:top w:val="nil"/>
              <w:left w:val="nil"/>
              <w:bottom w:val="nil"/>
              <w:right w:val="nil"/>
            </w:tcBorders>
            <w:shd w:val="clear" w:color="auto" w:fill="auto"/>
            <w:noWrap/>
            <w:vAlign w:val="center"/>
          </w:tcPr>
          <w:p>
            <w:pPr>
              <w:widowControl/>
              <w:jc w:val="center"/>
              <w:rPr>
                <w:rFonts w:ascii="宋体" w:hAnsi="宋体" w:cs="宋体"/>
                <w:color w:val="000000"/>
                <w:kern w:val="0"/>
                <w:sz w:val="22"/>
                <w:szCs w:val="22"/>
              </w:rPr>
            </w:pPr>
          </w:p>
        </w:tc>
        <w:tc>
          <w:tcPr>
            <w:tcW w:w="1515" w:type="dxa"/>
            <w:tcBorders>
              <w:top w:val="nil"/>
              <w:left w:val="nil"/>
              <w:bottom w:val="nil"/>
              <w:right w:val="nil"/>
            </w:tcBorders>
            <w:shd w:val="clear" w:color="auto" w:fill="auto"/>
            <w:noWrap/>
            <w:vAlign w:val="center"/>
          </w:tcPr>
          <w:p>
            <w:pPr>
              <w:widowControl/>
              <w:jc w:val="left"/>
              <w:rPr>
                <w:rFonts w:ascii="宋体" w:hAnsi="宋体" w:cs="宋体"/>
                <w:color w:val="000000"/>
                <w:kern w:val="0"/>
                <w:sz w:val="22"/>
                <w:szCs w:val="22"/>
              </w:rPr>
            </w:pPr>
          </w:p>
        </w:tc>
        <w:tc>
          <w:tcPr>
            <w:tcW w:w="1155" w:type="dxa"/>
            <w:tcBorders>
              <w:top w:val="nil"/>
              <w:left w:val="nil"/>
              <w:bottom w:val="nil"/>
              <w:right w:val="nil"/>
            </w:tcBorders>
            <w:shd w:val="clear" w:color="auto" w:fill="auto"/>
            <w:noWrap/>
            <w:vAlign w:val="center"/>
          </w:tcPr>
          <w:p>
            <w:pPr>
              <w:widowControl/>
              <w:jc w:val="center"/>
              <w:rPr>
                <w:rFonts w:ascii="宋体" w:hAnsi="宋体" w:cs="宋体"/>
                <w:color w:val="000000"/>
                <w:kern w:val="0"/>
                <w:sz w:val="22"/>
                <w:szCs w:val="22"/>
              </w:rPr>
            </w:pPr>
          </w:p>
        </w:tc>
        <w:tc>
          <w:tcPr>
            <w:tcW w:w="975" w:type="dxa"/>
            <w:tcBorders>
              <w:top w:val="nil"/>
              <w:left w:val="nil"/>
              <w:bottom w:val="nil"/>
              <w:right w:val="nil"/>
            </w:tcBorders>
            <w:shd w:val="clear" w:color="auto" w:fill="auto"/>
            <w:noWrap/>
            <w:vAlign w:val="center"/>
          </w:tcPr>
          <w:p>
            <w:pPr>
              <w:widowControl/>
              <w:jc w:val="center"/>
              <w:rPr>
                <w:rFonts w:ascii="宋体" w:hAnsi="宋体" w:cs="宋体"/>
                <w:color w:val="000000"/>
                <w:kern w:val="0"/>
                <w:sz w:val="22"/>
                <w:szCs w:val="22"/>
              </w:rPr>
            </w:pPr>
          </w:p>
        </w:tc>
        <w:tc>
          <w:tcPr>
            <w:tcW w:w="1575" w:type="dxa"/>
            <w:tcBorders>
              <w:top w:val="nil"/>
              <w:left w:val="nil"/>
              <w:bottom w:val="nil"/>
              <w:right w:val="nil"/>
            </w:tcBorders>
            <w:shd w:val="clear" w:color="auto" w:fill="auto"/>
            <w:noWrap/>
            <w:vAlign w:val="center"/>
          </w:tcPr>
          <w:p>
            <w:pPr>
              <w:widowControl/>
              <w:jc w:val="left"/>
              <w:rPr>
                <w:rFonts w:ascii="宋体" w:hAnsi="宋体" w:cs="宋体"/>
                <w:color w:val="000000"/>
                <w:kern w:val="0"/>
                <w:sz w:val="22"/>
                <w:szCs w:val="22"/>
              </w:rPr>
            </w:pPr>
          </w:p>
        </w:tc>
        <w:tc>
          <w:tcPr>
            <w:tcW w:w="1425" w:type="dxa"/>
            <w:tcBorders>
              <w:top w:val="nil"/>
              <w:left w:val="nil"/>
              <w:bottom w:val="nil"/>
              <w:right w:val="nil"/>
            </w:tcBorders>
            <w:shd w:val="clear" w:color="auto" w:fill="auto"/>
            <w:vAlign w:val="center"/>
          </w:tcPr>
          <w:p>
            <w:pPr>
              <w:widowControl/>
              <w:jc w:val="left"/>
              <w:rPr>
                <w:rFonts w:ascii="宋体" w:hAnsi="宋体" w:cs="宋体"/>
                <w:color w:val="000000"/>
                <w:kern w:val="0"/>
                <w:sz w:val="22"/>
                <w:szCs w:val="22"/>
              </w:rPr>
            </w:pPr>
          </w:p>
        </w:tc>
        <w:tc>
          <w:tcPr>
            <w:tcW w:w="990" w:type="dxa"/>
            <w:tcBorders>
              <w:top w:val="nil"/>
              <w:left w:val="nil"/>
              <w:bottom w:val="nil"/>
              <w:right w:val="nil"/>
            </w:tcBorders>
            <w:shd w:val="clear" w:color="auto" w:fill="auto"/>
            <w:noWrap/>
            <w:vAlign w:val="center"/>
          </w:tcPr>
          <w:p>
            <w:pPr>
              <w:widowControl/>
              <w:jc w:val="left"/>
              <w:rPr>
                <w:rFonts w:ascii="宋体" w:hAnsi="宋体" w:cs="宋体"/>
                <w:color w:val="000000"/>
                <w:kern w:val="0"/>
                <w:sz w:val="22"/>
                <w:szCs w:val="22"/>
              </w:rPr>
            </w:pPr>
          </w:p>
        </w:tc>
        <w:tc>
          <w:tcPr>
            <w:tcW w:w="1095" w:type="dxa"/>
            <w:tcBorders>
              <w:top w:val="nil"/>
              <w:left w:val="nil"/>
              <w:bottom w:val="nil"/>
              <w:right w:val="nil"/>
            </w:tcBorders>
            <w:shd w:val="clear" w:color="auto" w:fill="auto"/>
            <w:noWrap/>
            <w:vAlign w:val="center"/>
          </w:tcPr>
          <w:p>
            <w:pPr>
              <w:widowControl/>
              <w:jc w:val="left"/>
              <w:rPr>
                <w:rFonts w:ascii="宋体" w:hAnsi="宋体" w:cs="宋体"/>
                <w:color w:val="000000"/>
                <w:kern w:val="0"/>
                <w:sz w:val="22"/>
                <w:szCs w:val="22"/>
              </w:rPr>
            </w:pPr>
          </w:p>
        </w:tc>
        <w:tc>
          <w:tcPr>
            <w:tcW w:w="1950" w:type="dxa"/>
            <w:tcBorders>
              <w:top w:val="nil"/>
              <w:left w:val="nil"/>
              <w:bottom w:val="nil"/>
              <w:right w:val="nil"/>
            </w:tcBorders>
            <w:shd w:val="clear" w:color="auto" w:fill="auto"/>
            <w:noWrap/>
            <w:vAlign w:val="center"/>
          </w:tcPr>
          <w:p>
            <w:pPr>
              <w:widowControl/>
              <w:jc w:val="left"/>
              <w:rPr>
                <w:rFonts w:ascii="宋体" w:hAnsi="宋体" w:cs="宋体"/>
                <w:color w:val="000000"/>
                <w:kern w:val="0"/>
                <w:sz w:val="22"/>
                <w:szCs w:val="22"/>
              </w:rPr>
            </w:pPr>
          </w:p>
        </w:tc>
      </w:tr>
      <w:tr>
        <w:tblPrEx>
          <w:tblCellMar>
            <w:top w:w="0" w:type="dxa"/>
            <w:left w:w="108" w:type="dxa"/>
            <w:bottom w:w="0" w:type="dxa"/>
            <w:right w:w="108" w:type="dxa"/>
          </w:tblCellMar>
        </w:tblPrEx>
        <w:trPr>
          <w:trHeight w:val="525" w:hRule="atLeast"/>
        </w:trPr>
        <w:tc>
          <w:tcPr>
            <w:tcW w:w="14595" w:type="dxa"/>
            <w:gridSpan w:val="11"/>
            <w:tcBorders>
              <w:top w:val="nil"/>
              <w:left w:val="nil"/>
              <w:bottom w:val="nil"/>
              <w:right w:val="nil"/>
            </w:tcBorders>
            <w:shd w:val="clear" w:color="auto" w:fill="auto"/>
            <w:vAlign w:val="center"/>
          </w:tcPr>
          <w:p>
            <w:pPr>
              <w:widowControl/>
              <w:jc w:val="center"/>
              <w:rPr>
                <w:rFonts w:ascii="方正小标宋简体" w:hAnsi="宋体" w:eastAsia="方正小标宋简体" w:cs="宋体"/>
                <w:color w:val="000000"/>
                <w:kern w:val="0"/>
                <w:sz w:val="40"/>
                <w:szCs w:val="40"/>
              </w:rPr>
            </w:pPr>
            <w:r>
              <w:rPr>
                <w:rFonts w:hint="eastAsia" w:ascii="方正小标宋简体" w:hAnsi="宋体" w:eastAsia="方正小标宋简体" w:cs="宋体"/>
                <w:color w:val="000000"/>
                <w:kern w:val="0"/>
                <w:sz w:val="40"/>
                <w:szCs w:val="40"/>
              </w:rPr>
              <w:t>涞源县水利局2022年度内部随机抽查工作计划</w:t>
            </w:r>
          </w:p>
        </w:tc>
      </w:tr>
      <w:tr>
        <w:tblPrEx>
          <w:tblCellMar>
            <w:top w:w="0" w:type="dxa"/>
            <w:left w:w="108" w:type="dxa"/>
            <w:bottom w:w="0" w:type="dxa"/>
            <w:right w:w="108" w:type="dxa"/>
          </w:tblCellMar>
        </w:tblPrEx>
        <w:trPr>
          <w:trHeight w:val="300" w:hRule="atLeast"/>
        </w:trPr>
        <w:tc>
          <w:tcPr>
            <w:tcW w:w="14595" w:type="dxa"/>
            <w:gridSpan w:val="11"/>
            <w:tcBorders>
              <w:top w:val="nil"/>
              <w:left w:val="nil"/>
              <w:bottom w:val="nil"/>
              <w:right w:val="nil"/>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 xml:space="preserve"> </w:t>
            </w:r>
          </w:p>
        </w:tc>
      </w:tr>
      <w:tr>
        <w:tblPrEx>
          <w:tblCellMar>
            <w:top w:w="0" w:type="dxa"/>
            <w:left w:w="108" w:type="dxa"/>
            <w:bottom w:w="0" w:type="dxa"/>
            <w:right w:w="108" w:type="dxa"/>
          </w:tblCellMar>
        </w:tblPrEx>
        <w:trPr>
          <w:trHeight w:val="312" w:hRule="atLeast"/>
        </w:trPr>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抽查计划编号</w:t>
            </w:r>
          </w:p>
        </w:tc>
        <w:tc>
          <w:tcPr>
            <w:tcW w:w="14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抽查计划名称</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抽查任务编号</w:t>
            </w:r>
          </w:p>
        </w:tc>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抽查任务名称</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抽查类型</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抽查比例</w:t>
            </w:r>
          </w:p>
        </w:tc>
        <w:tc>
          <w:tcPr>
            <w:tcW w:w="15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抽查事项</w:t>
            </w:r>
          </w:p>
        </w:tc>
        <w:tc>
          <w:tcPr>
            <w:tcW w:w="14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抽查对象范围</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发起科室</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联合科室</w:t>
            </w:r>
          </w:p>
        </w:tc>
        <w:tc>
          <w:tcPr>
            <w:tcW w:w="1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抽查时间</w:t>
            </w:r>
          </w:p>
        </w:tc>
      </w:tr>
      <w:tr>
        <w:tblPrEx>
          <w:tblCellMar>
            <w:top w:w="0" w:type="dxa"/>
            <w:left w:w="108" w:type="dxa"/>
            <w:bottom w:w="0" w:type="dxa"/>
            <w:right w:w="108" w:type="dxa"/>
          </w:tblCellMar>
        </w:tblPrEx>
        <w:trPr>
          <w:trHeight w:val="630" w:hRule="atLeast"/>
        </w:trPr>
        <w:tc>
          <w:tcPr>
            <w:tcW w:w="1305"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141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120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1515"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1155"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975"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1575"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1425"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9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1095"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c>
          <w:tcPr>
            <w:tcW w:w="195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仿宋" w:hAnsi="仿宋" w:eastAsia="仿宋" w:cs="宋体"/>
                <w:b/>
                <w:bCs/>
                <w:color w:val="000000"/>
                <w:kern w:val="0"/>
                <w:sz w:val="24"/>
              </w:rPr>
            </w:pPr>
          </w:p>
        </w:tc>
      </w:tr>
      <w:tr>
        <w:tblPrEx>
          <w:tblCellMar>
            <w:top w:w="0" w:type="dxa"/>
            <w:left w:w="108" w:type="dxa"/>
            <w:bottom w:w="0" w:type="dxa"/>
            <w:right w:w="108" w:type="dxa"/>
          </w:tblCellMar>
        </w:tblPrEx>
        <w:trPr>
          <w:trHeight w:val="1890" w:hRule="atLeast"/>
        </w:trPr>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2"/>
                <w:szCs w:val="22"/>
              </w:rPr>
            </w:pPr>
            <w:r>
              <w:rPr>
                <w:rFonts w:hint="eastAsia" w:ascii="仿宋" w:hAnsi="仿宋" w:eastAsia="仿宋" w:cs="宋体"/>
                <w:color w:val="000000"/>
                <w:kern w:val="0"/>
                <w:sz w:val="22"/>
                <w:szCs w:val="22"/>
              </w:rPr>
              <w:t>2022001</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2022年涞源县水利局内部联合随机抽查（取水许可的后续监管随机抽查）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2"/>
                <w:szCs w:val="22"/>
              </w:rPr>
            </w:pPr>
            <w:r>
              <w:rPr>
                <w:rFonts w:hint="eastAsia" w:ascii="仿宋" w:hAnsi="仿宋" w:eastAsia="仿宋" w:cs="宋体"/>
                <w:color w:val="000000"/>
                <w:kern w:val="0"/>
                <w:sz w:val="22"/>
                <w:szCs w:val="22"/>
              </w:rPr>
              <w:t>001号</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2022年涞源县水利局内部联合随机抽查</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仿宋" w:hAnsi="仿宋" w:eastAsia="仿宋" w:cs="宋体"/>
                <w:color w:val="000000"/>
                <w:kern w:val="0"/>
                <w:sz w:val="22"/>
                <w:szCs w:val="22"/>
              </w:rPr>
            </w:pPr>
            <w:r>
              <w:rPr>
                <w:rFonts w:hint="eastAsia" w:ascii="仿宋" w:hAnsi="仿宋" w:eastAsia="仿宋" w:cs="宋体"/>
                <w:color w:val="000000"/>
                <w:kern w:val="0"/>
                <w:sz w:val="22"/>
                <w:szCs w:val="22"/>
              </w:rPr>
              <w:t>定向</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2"/>
                <w:szCs w:val="22"/>
              </w:rPr>
            </w:pPr>
            <w:r>
              <w:rPr>
                <w:rFonts w:hint="eastAsia" w:ascii="仿宋" w:hAnsi="仿宋" w:eastAsia="仿宋" w:cs="宋体"/>
                <w:color w:val="000000"/>
                <w:kern w:val="0"/>
                <w:sz w:val="22"/>
                <w:szCs w:val="22"/>
              </w:rPr>
              <w:t>按照企业信用风险分级分类3%以上</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按照《涞源县水利局随机抽查事项清单》</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根据“抽查方案”要求确定</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水资源管理股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相关股室配合</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2022年3月至12月</w:t>
            </w:r>
          </w:p>
        </w:tc>
      </w:tr>
      <w:tr>
        <w:tblPrEx>
          <w:tblCellMar>
            <w:top w:w="0" w:type="dxa"/>
            <w:left w:w="108" w:type="dxa"/>
            <w:bottom w:w="0" w:type="dxa"/>
            <w:right w:w="108" w:type="dxa"/>
          </w:tblCellMar>
        </w:tblPrEx>
        <w:trPr>
          <w:trHeight w:val="2160" w:hRule="atLeast"/>
        </w:trPr>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2"/>
                <w:szCs w:val="22"/>
              </w:rPr>
            </w:pPr>
            <w:r>
              <w:rPr>
                <w:rFonts w:hint="eastAsia" w:ascii="仿宋" w:hAnsi="仿宋" w:eastAsia="仿宋" w:cs="宋体"/>
                <w:color w:val="000000"/>
                <w:kern w:val="0"/>
                <w:sz w:val="22"/>
                <w:szCs w:val="22"/>
              </w:rPr>
              <w:t>2022002</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2022年涞源县水利局内部联合随机抽查（生产建设项目水土保持方案后续监督检查）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2"/>
                <w:szCs w:val="22"/>
              </w:rPr>
            </w:pPr>
            <w:r>
              <w:rPr>
                <w:rFonts w:hint="eastAsia" w:ascii="仿宋" w:hAnsi="仿宋" w:eastAsia="仿宋" w:cs="宋体"/>
                <w:color w:val="000000"/>
                <w:kern w:val="0"/>
                <w:sz w:val="22"/>
                <w:szCs w:val="22"/>
              </w:rPr>
              <w:t>002号</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2022年涞源县水利局内部联合随机抽查</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仿宋" w:hAnsi="仿宋" w:eastAsia="仿宋" w:cs="宋体"/>
                <w:color w:val="000000"/>
                <w:kern w:val="0"/>
                <w:sz w:val="22"/>
                <w:szCs w:val="22"/>
              </w:rPr>
            </w:pPr>
            <w:r>
              <w:rPr>
                <w:rFonts w:hint="eastAsia" w:ascii="仿宋" w:hAnsi="仿宋" w:eastAsia="仿宋" w:cs="宋体"/>
                <w:color w:val="000000"/>
                <w:kern w:val="0"/>
                <w:sz w:val="22"/>
                <w:szCs w:val="22"/>
              </w:rPr>
              <w:t>定向</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2"/>
                <w:szCs w:val="22"/>
              </w:rPr>
            </w:pPr>
            <w:r>
              <w:rPr>
                <w:rFonts w:hint="eastAsia" w:ascii="仿宋" w:hAnsi="仿宋" w:eastAsia="仿宋" w:cs="宋体"/>
                <w:color w:val="000000"/>
                <w:kern w:val="0"/>
                <w:sz w:val="22"/>
                <w:szCs w:val="22"/>
              </w:rPr>
              <w:t>按照企业信用风险分级分类3%以上</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按照《涞源县水利局随机抽查事项清单》</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根据“抽查方案”要求确定</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水保股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相关股室配合</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rPr>
              <w:t>2022年3月至12月</w:t>
            </w:r>
          </w:p>
        </w:tc>
      </w:tr>
    </w:tbl>
    <w:p>
      <w:pPr>
        <w:spacing w:line="560" w:lineRule="exact"/>
        <w:rPr>
          <w:rFonts w:ascii="仿宋_GB2312" w:eastAsia="仿宋_GB2312" w:hAnsiTheme="minorEastAsia" w:cstheme="minorEastAsia"/>
          <w:kern w:val="0"/>
          <w:sz w:val="32"/>
          <w:szCs w:val="32"/>
          <w:shd w:val="clear" w:color="auto" w:fill="FFFFFF"/>
        </w:rPr>
      </w:pPr>
    </w:p>
    <w:p>
      <w:pPr>
        <w:spacing w:line="560" w:lineRule="exact"/>
        <w:rPr>
          <w:rFonts w:ascii="仿宋_GB2312" w:eastAsia="仿宋_GB2312" w:hAnsiTheme="minorEastAsia" w:cstheme="minorEastAsia"/>
          <w:kern w:val="0"/>
          <w:sz w:val="32"/>
          <w:szCs w:val="32"/>
          <w:shd w:val="clear" w:color="auto" w:fill="FFFFFF"/>
        </w:rPr>
      </w:pPr>
    </w:p>
    <w:sectPr>
      <w:pgSz w:w="16838" w:h="11906" w:orient="landscape"/>
      <w:pgMar w:top="1531" w:right="1531" w:bottom="1531" w:left="153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1980532"/>
    </w:sdtPr>
    <w:sdtContent>
      <w:p>
        <w:pPr>
          <w:pStyle w:val="5"/>
          <w:jc w:val="center"/>
        </w:pPr>
        <w:r>
          <w:fldChar w:fldCharType="begin"/>
        </w:r>
        <w:r>
          <w:instrText xml:space="preserve"> PAGE   \* MERGEFORMAT </w:instrText>
        </w:r>
        <w:r>
          <w:fldChar w:fldCharType="separate"/>
        </w:r>
        <w:r>
          <w:rPr>
            <w:lang w:val="zh-CN"/>
          </w:rPr>
          <w:t>4</w:t>
        </w:r>
        <w:r>
          <w:rPr>
            <w:lang w:val="zh-CN"/>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5C764A36"/>
    <w:rsid w:val="000118D9"/>
    <w:rsid w:val="000431F5"/>
    <w:rsid w:val="000A3146"/>
    <w:rsid w:val="002F3E01"/>
    <w:rsid w:val="004F3E5D"/>
    <w:rsid w:val="00525C8F"/>
    <w:rsid w:val="00530EA8"/>
    <w:rsid w:val="005D5B06"/>
    <w:rsid w:val="007658FC"/>
    <w:rsid w:val="008215DC"/>
    <w:rsid w:val="008B268D"/>
    <w:rsid w:val="00982673"/>
    <w:rsid w:val="009C14D8"/>
    <w:rsid w:val="00A9024F"/>
    <w:rsid w:val="00B03C2B"/>
    <w:rsid w:val="00C2234B"/>
    <w:rsid w:val="00CB765F"/>
    <w:rsid w:val="00D30BFE"/>
    <w:rsid w:val="00E82B99"/>
    <w:rsid w:val="00F159A9"/>
    <w:rsid w:val="189914CA"/>
    <w:rsid w:val="22D7040A"/>
    <w:rsid w:val="23DE7DC9"/>
    <w:rsid w:val="26B67052"/>
    <w:rsid w:val="474620D2"/>
    <w:rsid w:val="54ED7C69"/>
    <w:rsid w:val="5C764A3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3">
    <w:name w:val="Body Text"/>
    <w:basedOn w:val="1"/>
    <w:next w:val="1"/>
    <w:link w:val="12"/>
    <w:qFormat/>
    <w:uiPriority w:val="0"/>
    <w:pPr>
      <w:spacing w:after="120"/>
    </w:pPr>
    <w:rPr>
      <w:rFonts w:ascii="Calibri" w:hAnsi="Calibri"/>
      <w:sz w:val="28"/>
      <w:szCs w:val="28"/>
    </w:rPr>
  </w:style>
  <w:style w:type="paragraph" w:styleId="4">
    <w:name w:val="Date"/>
    <w:basedOn w:val="1"/>
    <w:next w:val="1"/>
    <w:link w:val="11"/>
    <w:uiPriority w:val="0"/>
    <w:pPr>
      <w:ind w:left="100" w:leftChars="2500"/>
    </w:pPr>
  </w:style>
  <w:style w:type="paragraph" w:styleId="5">
    <w:name w:val="footer"/>
    <w:basedOn w:val="1"/>
    <w:link w:val="10"/>
    <w:qFormat/>
    <w:uiPriority w:val="99"/>
    <w:pPr>
      <w:tabs>
        <w:tab w:val="center" w:pos="4153"/>
        <w:tab w:val="right" w:pos="8306"/>
      </w:tabs>
      <w:snapToGrid w:val="0"/>
      <w:jc w:val="left"/>
    </w:pPr>
    <w:rPr>
      <w:sz w:val="18"/>
      <w:szCs w:val="18"/>
    </w:rPr>
  </w:style>
  <w:style w:type="paragraph" w:styleId="6">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customStyle="1" w:styleId="9">
    <w:name w:val="页眉 Char"/>
    <w:basedOn w:val="8"/>
    <w:link w:val="6"/>
    <w:qFormat/>
    <w:uiPriority w:val="0"/>
    <w:rPr>
      <w:kern w:val="2"/>
      <w:sz w:val="18"/>
      <w:szCs w:val="18"/>
    </w:rPr>
  </w:style>
  <w:style w:type="character" w:customStyle="1" w:styleId="10">
    <w:name w:val="页脚 Char"/>
    <w:basedOn w:val="8"/>
    <w:link w:val="5"/>
    <w:qFormat/>
    <w:uiPriority w:val="99"/>
    <w:rPr>
      <w:kern w:val="2"/>
      <w:sz w:val="18"/>
      <w:szCs w:val="18"/>
    </w:rPr>
  </w:style>
  <w:style w:type="character" w:customStyle="1" w:styleId="11">
    <w:name w:val="日期 Char"/>
    <w:basedOn w:val="8"/>
    <w:link w:val="4"/>
    <w:uiPriority w:val="0"/>
    <w:rPr>
      <w:kern w:val="2"/>
      <w:sz w:val="21"/>
      <w:szCs w:val="24"/>
    </w:rPr>
  </w:style>
  <w:style w:type="character" w:customStyle="1" w:styleId="12">
    <w:name w:val="正文文本 Char"/>
    <w:basedOn w:val="8"/>
    <w:link w:val="3"/>
    <w:uiPriority w:val="0"/>
    <w:rPr>
      <w:rFonts w:ascii="Calibri" w:hAnsi="Calibri"/>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377</Words>
  <Characters>2153</Characters>
  <Lines>17</Lines>
  <Paragraphs>5</Paragraphs>
  <TotalTime>4</TotalTime>
  <ScaleCrop>false</ScaleCrop>
  <LinksUpToDate>false</LinksUpToDate>
  <CharactersWithSpaces>2525</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2020-04-09T03:11:00Z</dcterms:created>
  <dc:creator>Administrator</dc:creator>
  <cp:lastModifiedBy>D</cp:lastModifiedBy>
  <cp:lastPrinted>2022-03-15T01:17:25Z</cp:lastPrinted>
  <dcterms:modified xsi:type="dcterms:W3CDTF">2022-03-15T01:18:16Z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FD29F6C1B766469C94FCE3FDF9067481</vt:lpwstr>
  </property>
</Properties>
</file>