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eastAsia="黑体"/>
          <w:color w:val="000000"/>
          <w:sz w:val="44"/>
          <w:szCs w:val="44"/>
        </w:rPr>
      </w:pPr>
    </w:p>
    <w:p>
      <w:pPr>
        <w:spacing w:line="600" w:lineRule="exact"/>
        <w:jc w:val="center"/>
        <w:rPr>
          <w:rFonts w:ascii="黑体" w:eastAsia="黑体"/>
          <w:color w:val="000000"/>
          <w:sz w:val="44"/>
          <w:szCs w:val="44"/>
        </w:rPr>
      </w:pPr>
    </w:p>
    <w:p>
      <w:pPr>
        <w:spacing w:line="600" w:lineRule="exact"/>
        <w:jc w:val="center"/>
        <w:rPr>
          <w:rFonts w:ascii="黑体" w:eastAsia="黑体"/>
          <w:color w:val="000000"/>
          <w:sz w:val="44"/>
          <w:szCs w:val="44"/>
        </w:rPr>
      </w:pPr>
    </w:p>
    <w:p>
      <w:pPr>
        <w:spacing w:line="600" w:lineRule="exact"/>
        <w:jc w:val="center"/>
        <w:rPr>
          <w:rFonts w:hint="eastAsia" w:ascii="黑体" w:eastAsia="黑体"/>
          <w:color w:val="000000"/>
          <w:sz w:val="44"/>
          <w:szCs w:val="44"/>
        </w:rPr>
      </w:pPr>
    </w:p>
    <w:p>
      <w:pPr>
        <w:spacing w:line="600" w:lineRule="exact"/>
        <w:jc w:val="center"/>
        <w:rPr>
          <w:rFonts w:ascii="黑体" w:eastAsia="黑体"/>
          <w:color w:val="000000"/>
          <w:sz w:val="44"/>
          <w:szCs w:val="44"/>
        </w:rPr>
      </w:pPr>
    </w:p>
    <w:p>
      <w:pPr>
        <w:spacing w:line="60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涞水字〔20</w:t>
      </w:r>
      <w:r>
        <w:rPr>
          <w:rFonts w:hint="eastAsia" w:ascii="仿宋_GB2312" w:hAnsi="仿宋_GB2312" w:eastAsia="仿宋_GB2312" w:cs="仿宋_GB2312"/>
          <w:color w:val="000000"/>
          <w:sz w:val="32"/>
          <w:szCs w:val="32"/>
          <w:lang w:val="en-US" w:eastAsia="zh-CN"/>
        </w:rPr>
        <w:t>21</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号</w:t>
      </w:r>
    </w:p>
    <w:p>
      <w:pPr>
        <w:pStyle w:val="3"/>
        <w:spacing w:line="620" w:lineRule="exact"/>
        <w:ind w:firstLine="0" w:firstLineChars="0"/>
        <w:rPr>
          <w:rFonts w:hint="eastAsia" w:ascii="仿宋_GB2312" w:eastAsia="仿宋_GB2312"/>
          <w:color w:val="000000"/>
          <w:sz w:val="24"/>
        </w:rPr>
      </w:pPr>
    </w:p>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eastAsia" w:ascii="方正小标宋简体" w:hAnsi="方正小标宋简体" w:eastAsia="方正小标宋简体" w:cs="方正小标宋简体"/>
          <w:b w:val="0"/>
          <w:bCs w:val="0"/>
          <w:sz w:val="44"/>
          <w:szCs w:val="44"/>
        </w:rPr>
      </w:pPr>
    </w:p>
    <w:p>
      <w:pPr>
        <w:spacing w:line="600" w:lineRule="exact"/>
        <w:jc w:val="center"/>
        <w:rPr>
          <w:rFonts w:ascii="方正小标宋简体" w:eastAsia="方正小标宋简体" w:hAnsiTheme="majorEastAsia" w:cstheme="majorEastAsia"/>
          <w:bCs/>
          <w:sz w:val="44"/>
          <w:szCs w:val="44"/>
        </w:rPr>
      </w:pP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涞源县水利局</w:t>
      </w: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2021年度“双随机、一公开”监管工作</w:t>
      </w: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实施方案</w:t>
      </w:r>
    </w:p>
    <w:p>
      <w:pPr>
        <w:spacing w:line="600" w:lineRule="exact"/>
        <w:jc w:val="center"/>
        <w:rPr>
          <w:rFonts w:ascii="仿宋_GB2312" w:eastAsia="仿宋_GB2312" w:hAnsiTheme="majorEastAsia" w:cstheme="majorEastAsia"/>
          <w:bCs/>
          <w:sz w:val="32"/>
          <w:szCs w:val="32"/>
        </w:rPr>
      </w:pP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仿宋_GB2312" w:eastAsia="仿宋_GB2312" w:hAnsiTheme="minorEastAsia" w:cstheme="minorEastAsia"/>
          <w:color w:val="000000"/>
          <w:sz w:val="32"/>
          <w:szCs w:val="32"/>
        </w:rPr>
        <w:t>为深入贯彻落实2021年涞源县“双随机、一公开”办公室有关部署要求，实现“双随机、一公开”监管全覆盖，推进部门联合“双随机、一公开”监管，制定本方案。</w:t>
      </w:r>
    </w:p>
    <w:p>
      <w:pPr>
        <w:pStyle w:val="7"/>
        <w:widowControl/>
        <w:spacing w:line="600" w:lineRule="exact"/>
        <w:ind w:firstLine="640"/>
        <w:jc w:val="left"/>
        <w:rPr>
          <w:rFonts w:ascii="黑体" w:hAnsi="黑体" w:eastAsia="黑体" w:cstheme="minorEastAsia"/>
          <w:color w:val="000000"/>
          <w:sz w:val="32"/>
          <w:szCs w:val="32"/>
        </w:rPr>
      </w:pPr>
      <w:r>
        <w:rPr>
          <w:rFonts w:hint="eastAsia" w:ascii="黑体" w:hAnsi="黑体" w:eastAsia="黑体" w:cstheme="minorEastAsia"/>
          <w:color w:val="000000"/>
          <w:sz w:val="32"/>
          <w:szCs w:val="32"/>
        </w:rPr>
        <w:t>一、指导思想</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仿宋_GB2312" w:eastAsia="仿宋_GB2312" w:hAnsiTheme="minorEastAsia" w:cstheme="minorEastAsia"/>
          <w:color w:val="000000"/>
          <w:sz w:val="32"/>
          <w:szCs w:val="32"/>
        </w:rPr>
        <w:t>坚持以习近平新时代中国特色社会主义思想为指导，全面贯彻党的十九大精神，认真落实党中央、国务院关于全面推行“双随机、一公开”监管作出的重大决策部署，创新监管理念和方式，深化“放管服”改革、加快政府职能转变，减轻企业负担、优化营商环境，加快信用体系</w:t>
      </w:r>
      <w:r>
        <w:rPr>
          <w:rFonts w:hint="eastAsia" w:ascii="仿宋_GB2312" w:eastAsia="仿宋_GB2312" w:hAnsiTheme="minorEastAsia" w:cstheme="minorEastAsia"/>
          <w:color w:val="000000"/>
          <w:spacing w:val="4"/>
          <w:sz w:val="32"/>
          <w:szCs w:val="32"/>
        </w:rPr>
        <w:t>建设、创新事中事后监管，</w:t>
      </w:r>
      <w:r>
        <w:rPr>
          <w:rFonts w:hint="eastAsia" w:ascii="仿宋_GB2312" w:eastAsia="仿宋_GB2312" w:hAnsiTheme="minorEastAsia" w:cstheme="minorEastAsia"/>
          <w:color w:val="000000"/>
          <w:sz w:val="32"/>
          <w:szCs w:val="32"/>
        </w:rPr>
        <w:t>坚持以公平公正监管为基本遵循，做到监管效能最大化、监管成本最优化、对市场主体干扰最小化，努力营造良好营商环境、有序竞争环境和放心消费环境，提升监管公平性、规范性和有效性，为涞源县创新发展绿色发展高质量发展提供有力支撑。</w:t>
      </w:r>
    </w:p>
    <w:p>
      <w:pPr>
        <w:pStyle w:val="7"/>
        <w:widowControl/>
        <w:spacing w:line="600" w:lineRule="exact"/>
        <w:ind w:firstLine="640"/>
        <w:jc w:val="left"/>
        <w:rPr>
          <w:rFonts w:ascii="黑体" w:hAnsi="黑体" w:eastAsia="黑体" w:cstheme="minorEastAsia"/>
          <w:color w:val="000000"/>
          <w:sz w:val="32"/>
          <w:szCs w:val="32"/>
        </w:rPr>
      </w:pPr>
      <w:r>
        <w:rPr>
          <w:rFonts w:hint="eastAsia" w:ascii="黑体" w:hAnsi="黑体" w:eastAsia="黑体" w:cstheme="minorEastAsia"/>
          <w:color w:val="000000"/>
          <w:sz w:val="32"/>
          <w:szCs w:val="32"/>
        </w:rPr>
        <w:t>二、工作目标</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仿宋_GB2312" w:eastAsia="仿宋_GB2312" w:hAnsiTheme="minorEastAsia" w:cstheme="minorEastAsia"/>
          <w:color w:val="000000"/>
          <w:sz w:val="32"/>
          <w:szCs w:val="32"/>
        </w:rPr>
        <w:t>（一）适应机构改革新形势，进一步完善随机抽查制度机制。</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仿宋_GB2312" w:eastAsia="仿宋_GB2312" w:hAnsiTheme="minorEastAsia" w:cstheme="minorEastAsia"/>
          <w:color w:val="000000"/>
          <w:sz w:val="32"/>
          <w:szCs w:val="32"/>
        </w:rPr>
        <w:t>（二）完成本监管部门的“双随机”抽查全流程整合，实现监管领域主要监管部门内部联合“双随机、一公开”监管全覆盖、常态化。</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仿宋_GB2312" w:eastAsia="仿宋_GB2312" w:hAnsiTheme="minorEastAsia" w:cstheme="minorEastAsia"/>
          <w:color w:val="000000"/>
          <w:sz w:val="32"/>
          <w:szCs w:val="32"/>
        </w:rPr>
        <w:t>（三）深入推进部门联合抽查，实现监管领域主要监管部门开展部门联合抽查全覆盖。</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仿宋_GB2312" w:eastAsia="仿宋_GB2312" w:hAnsiTheme="minorEastAsia" w:cstheme="minorEastAsia"/>
          <w:color w:val="000000"/>
          <w:sz w:val="32"/>
          <w:szCs w:val="32"/>
        </w:rPr>
        <w:t>（四）各有关股室对检查对象的年度抽查比例达到5%以上。按要求填写月报表。</w:t>
      </w:r>
    </w:p>
    <w:p>
      <w:pPr>
        <w:pStyle w:val="7"/>
        <w:widowControl/>
        <w:spacing w:line="600" w:lineRule="exact"/>
        <w:ind w:firstLine="640"/>
        <w:jc w:val="left"/>
        <w:rPr>
          <w:rFonts w:ascii="黑体" w:hAnsi="黑体" w:eastAsia="黑体" w:cstheme="minorEastAsia"/>
          <w:color w:val="000000"/>
          <w:sz w:val="32"/>
          <w:szCs w:val="32"/>
        </w:rPr>
      </w:pPr>
      <w:r>
        <w:rPr>
          <w:rFonts w:hint="eastAsia" w:ascii="黑体" w:hAnsi="黑体" w:eastAsia="黑体" w:cstheme="minorEastAsia"/>
          <w:color w:val="000000"/>
          <w:sz w:val="32"/>
          <w:szCs w:val="32"/>
        </w:rPr>
        <w:t>三、主要工作任务</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（一）健全完善制度机制。</w:t>
      </w:r>
      <w:r>
        <w:rPr>
          <w:rFonts w:hint="eastAsia" w:ascii="仿宋_GB2312" w:eastAsia="仿宋_GB2312" w:hAnsiTheme="minorEastAsia" w:cstheme="minorEastAsia"/>
          <w:color w:val="000000"/>
          <w:sz w:val="32"/>
          <w:szCs w:val="32"/>
        </w:rPr>
        <w:t>及时调整我局“双随机”抽查工作组织领导机构，确保工作有序开展。在抽查事项清单调整的基础上，结合“三定”职责和执法依据，形成抽查事项清单，并及时向社会公布。调整检查对象名录库，确保监管对象应纳尽纳；综合考虑执法队伍实际、内部职能划分、执法人员种类等因素，将有执法资格的执法人员全部录入执法检查人员名录库，加强对抽查工作的规范。</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（二）统筹制定年度随机抽查计划。</w:t>
      </w:r>
      <w:r>
        <w:rPr>
          <w:rFonts w:hint="eastAsia" w:ascii="仿宋_GB2312" w:eastAsia="仿宋_GB2312" w:hAnsiTheme="minorEastAsia" w:cstheme="minorEastAsia"/>
          <w:bCs/>
          <w:color w:val="000000"/>
          <w:sz w:val="32"/>
          <w:szCs w:val="32"/>
        </w:rPr>
        <w:t>各有</w:t>
      </w:r>
      <w:r>
        <w:rPr>
          <w:rFonts w:hint="eastAsia" w:ascii="仿宋_GB2312" w:eastAsia="仿宋_GB2312" w:hAnsiTheme="minorEastAsia" w:cstheme="minorEastAsia"/>
          <w:color w:val="000000"/>
          <w:sz w:val="32"/>
          <w:szCs w:val="32"/>
        </w:rPr>
        <w:t>关股室要依据监管职责，结合重点工作、区域重点产业集群、监管重点等，本着统一组织、均衡开展、突出重点的原则，认真谋划本股室2021年度抽查计划，对抽查检查对象和检查方式相近的抽查，应当在计划中合并为一次,做到内部联合抽查，防止出现单一事项和各自为政的抽查检查。</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（三）严格依计划开展随机抽查检查。</w:t>
      </w:r>
      <w:r>
        <w:rPr>
          <w:rFonts w:hint="eastAsia" w:ascii="仿宋_GB2312" w:eastAsia="仿宋_GB2312" w:hAnsiTheme="minorEastAsia" w:cstheme="minorEastAsia"/>
          <w:bCs/>
          <w:color w:val="000000"/>
          <w:sz w:val="32"/>
          <w:szCs w:val="32"/>
        </w:rPr>
        <w:t>各有关股</w:t>
      </w:r>
      <w:r>
        <w:rPr>
          <w:rFonts w:hint="eastAsia" w:ascii="仿宋_GB2312" w:eastAsia="仿宋_GB2312" w:hAnsiTheme="minorEastAsia" w:cstheme="minorEastAsia"/>
          <w:color w:val="000000"/>
          <w:sz w:val="32"/>
          <w:szCs w:val="32"/>
        </w:rPr>
        <w:t>室要按照年度随机抽查工作计划，通过公开、公正的方式从检查对象名录库中随机抽取检查对象，并充分考虑工作实际随机匹配执法检查人员，科学合理地实施随机抽查检查。对涉及专业性强的可以委托有资质的机构开展检验检测、调查咨询等检查事项的检查，或依法采用相关机构作出的鉴定结论。对抽查计划有调整的要严格履行相关工作程序，不得随意更改，确保抽查有序开展。</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（四）强化抽查检查结果公示运用。</w:t>
      </w:r>
      <w:r>
        <w:rPr>
          <w:rFonts w:hint="eastAsia" w:ascii="仿宋_GB2312" w:eastAsia="仿宋_GB2312" w:hAnsiTheme="minorEastAsia" w:cstheme="minorEastAsia"/>
          <w:color w:val="000000"/>
          <w:sz w:val="32"/>
          <w:szCs w:val="32"/>
        </w:rPr>
        <w:t>加大推广“河北省双随机与双告知系统”，确保抽查检查结果自动归集到企业名下并通过国家企业信用信息公示系统公示。接受社会监督，对抽查发现的违法违规行为依法加大惩处力度，对涉嫌犯罪的及时移送司法机关。着力推进“双随机、一公开”监管与信用监管的有效衔接，对抽查发现的违法失信行为实施联合惩戒，形成有效震慑，增强监管主体守法的自觉性。</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（五）加大随机抽查宣传、业务培训力度。</w:t>
      </w:r>
      <w:r>
        <w:rPr>
          <w:rFonts w:hint="eastAsia" w:ascii="仿宋_GB2312" w:eastAsia="仿宋_GB2312" w:hAnsiTheme="minorEastAsia" w:cstheme="minorEastAsia"/>
          <w:bCs/>
          <w:color w:val="000000"/>
          <w:sz w:val="32"/>
          <w:szCs w:val="32"/>
        </w:rPr>
        <w:t>各股室</w:t>
      </w:r>
      <w:r>
        <w:rPr>
          <w:rFonts w:hint="eastAsia" w:ascii="仿宋_GB2312" w:eastAsia="仿宋_GB2312" w:hAnsiTheme="minorEastAsia" w:cstheme="minorEastAsia"/>
          <w:color w:val="000000"/>
          <w:sz w:val="32"/>
          <w:szCs w:val="32"/>
        </w:rPr>
        <w:t>要强化对随机抽查的宣传报道，不断扩大监管对象、社会的认知度和参与度，形成良好的社会监督氛围。积极将好的经验做法向有关部门、新闻媒体推介，扩大“双随机”工作的影响力。在今年培训计划中安排好随机抽查业务培训，加强执法人员培训，不断提高执法能力和监管水平，确保抽查结果认定规范统一。</w:t>
      </w:r>
    </w:p>
    <w:p>
      <w:pPr>
        <w:pStyle w:val="7"/>
        <w:widowControl/>
        <w:spacing w:line="600" w:lineRule="exact"/>
        <w:ind w:firstLine="640"/>
        <w:jc w:val="left"/>
        <w:rPr>
          <w:rFonts w:ascii="黑体" w:hAnsi="黑体" w:eastAsia="黑体" w:cstheme="minorEastAsia"/>
          <w:color w:val="000000"/>
          <w:sz w:val="32"/>
          <w:szCs w:val="32"/>
        </w:rPr>
      </w:pPr>
      <w:r>
        <w:rPr>
          <w:rFonts w:hint="eastAsia" w:ascii="黑体" w:hAnsi="黑体" w:eastAsia="黑体" w:cstheme="minorEastAsia"/>
          <w:color w:val="000000"/>
          <w:sz w:val="32"/>
          <w:szCs w:val="32"/>
        </w:rPr>
        <w:t>四、工作要求</w:t>
      </w:r>
    </w:p>
    <w:p>
      <w:pPr>
        <w:pStyle w:val="7"/>
        <w:widowControl/>
        <w:spacing w:line="600" w:lineRule="exact"/>
        <w:ind w:firstLine="640"/>
        <w:jc w:val="left"/>
        <w:rPr>
          <w:rFonts w:ascii="仿宋_GB2312" w:eastAsia="仿宋_GB2312" w:hAnsiTheme="minorEastAsia" w:cstheme="minorEastAsia"/>
          <w:bCs/>
          <w:color w:val="000000"/>
          <w:spacing w:val="4"/>
          <w:sz w:val="32"/>
          <w:szCs w:val="32"/>
        </w:rPr>
      </w:pPr>
      <w:r>
        <w:rPr>
          <w:rFonts w:hint="eastAsia" w:ascii="楷体_GB2312" w:eastAsia="楷体_GB2312" w:hAnsiTheme="minorEastAsia" w:cstheme="minorEastAsia"/>
          <w:b/>
          <w:bCs/>
          <w:color w:val="000000"/>
          <w:sz w:val="32"/>
          <w:szCs w:val="32"/>
        </w:rPr>
        <w:t>（一）加强组织领导。</w:t>
      </w:r>
      <w:r>
        <w:rPr>
          <w:rFonts w:hint="eastAsia" w:ascii="仿宋_GB2312" w:eastAsia="仿宋_GB2312" w:hAnsiTheme="minorEastAsia" w:cstheme="minorEastAsia"/>
          <w:bCs/>
          <w:color w:val="000000"/>
          <w:spacing w:val="4"/>
          <w:sz w:val="32"/>
          <w:szCs w:val="32"/>
        </w:rPr>
        <w:t>各有关股室务必高度重视，加强对本股室“双随机、一公开”监管工作的组织领导、统筹协调，建立健全相应工作机制，制定科学务实的工作方案，细化目标任务和推进措施，确保各项工作任务落到实处。</w:t>
      </w:r>
    </w:p>
    <w:p>
      <w:pPr>
        <w:tabs>
          <w:tab w:val="left" w:pos="6276"/>
        </w:tabs>
        <w:ind w:firstLine="643" w:firstLineChars="200"/>
        <w:rPr>
          <w:rFonts w:ascii="仿宋_GB2312" w:eastAsia="仿宋_GB2312" w:hAnsiTheme="minorEastAsia" w:cstheme="minorEastAsia"/>
          <w:bCs/>
          <w:color w:val="000000"/>
          <w:spacing w:val="4"/>
          <w:sz w:val="32"/>
          <w:szCs w:val="32"/>
        </w:rPr>
      </w:pPr>
      <w:r>
        <w:rPr>
          <w:rFonts w:hint="eastAsia" w:ascii="楷体_GB2312" w:eastAsia="楷体_GB2312" w:hAnsiTheme="minorEastAsia" w:cstheme="minorEastAsia"/>
          <w:b/>
          <w:bCs/>
          <w:color w:val="000000"/>
          <w:sz w:val="32"/>
          <w:szCs w:val="32"/>
        </w:rPr>
        <w:t>（二）做好协调配合。</w:t>
      </w:r>
      <w:r>
        <w:rPr>
          <w:rFonts w:hint="eastAsia" w:ascii="仿宋_GB2312" w:eastAsia="仿宋_GB2312" w:hAnsiTheme="minorEastAsia" w:cstheme="minorEastAsia"/>
          <w:bCs/>
          <w:color w:val="000000"/>
          <w:sz w:val="32"/>
          <w:szCs w:val="32"/>
        </w:rPr>
        <w:t>进一步加强对“双随机、一公开”监管工作的指导、协调、调度和督导。各相关股室之间要加强联络沟通，主动配合，密切协作，形成合力，推进工作落实。</w:t>
      </w: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楷体_GB2312" w:eastAsia="楷体_GB2312" w:hAnsiTheme="minorEastAsia" w:cstheme="minorEastAsia"/>
          <w:b/>
          <w:bCs/>
          <w:color w:val="000000"/>
          <w:sz w:val="32"/>
          <w:szCs w:val="32"/>
        </w:rPr>
        <w:t>（三）加大督导检查力度。</w:t>
      </w:r>
      <w:r>
        <w:rPr>
          <w:rFonts w:hint="eastAsia" w:ascii="仿宋_GB2312" w:eastAsia="仿宋_GB2312" w:hAnsiTheme="minorEastAsia" w:cstheme="minorEastAsia"/>
          <w:bCs/>
          <w:color w:val="000000"/>
          <w:sz w:val="32"/>
          <w:szCs w:val="32"/>
        </w:rPr>
        <w:t>要建立健全长效考核奖惩机制，切实加强对“双随机、一公开”监管工作的督导检查，查找问题不足，督促整改落实。</w:t>
      </w:r>
    </w:p>
    <w:p>
      <w:pPr>
        <w:pStyle w:val="7"/>
        <w:widowControl/>
        <w:spacing w:line="600" w:lineRule="exact"/>
        <w:ind w:firstLine="640"/>
        <w:jc w:val="left"/>
        <w:rPr>
          <w:rFonts w:hint="eastAsia" w:ascii="仿宋_GB2312" w:eastAsia="仿宋_GB2312" w:hAnsiTheme="minorEastAsia" w:cstheme="minorEastAsia"/>
          <w:bCs/>
          <w:color w:val="000000"/>
          <w:sz w:val="32"/>
          <w:szCs w:val="32"/>
          <w:lang w:eastAsia="zh-CN"/>
        </w:rPr>
      </w:pPr>
      <w:r>
        <w:rPr>
          <w:rFonts w:hint="eastAsia" w:ascii="仿宋_GB2312" w:eastAsia="仿宋_GB2312" w:hAnsiTheme="minorEastAsia" w:cstheme="minorEastAsia"/>
          <w:bCs/>
          <w:color w:val="000000"/>
          <w:sz w:val="32"/>
          <w:szCs w:val="32"/>
        </w:rPr>
        <w:t>附件</w:t>
      </w:r>
      <w:r>
        <w:rPr>
          <w:rFonts w:hint="eastAsia" w:ascii="仿宋_GB2312" w:eastAsia="仿宋_GB2312" w:hAnsiTheme="minorEastAsia" w:cstheme="minorEastAsia"/>
          <w:bCs/>
          <w:color w:val="000000"/>
          <w:sz w:val="32"/>
          <w:szCs w:val="32"/>
          <w:lang w:eastAsia="zh-CN"/>
        </w:rPr>
        <w:t>：</w:t>
      </w:r>
    </w:p>
    <w:p>
      <w:pPr>
        <w:pStyle w:val="7"/>
        <w:widowControl/>
        <w:spacing w:line="600" w:lineRule="exact"/>
        <w:ind w:firstLine="640"/>
        <w:jc w:val="left"/>
        <w:rPr>
          <w:rFonts w:hint="eastAsia" w:ascii="仿宋_GB2312" w:eastAsia="仿宋_GB2312" w:hAnsiTheme="minorEastAsia" w:cstheme="minorEastAsia"/>
          <w:bCs/>
          <w:color w:val="000000"/>
          <w:sz w:val="32"/>
          <w:szCs w:val="32"/>
          <w:lang w:eastAsia="zh-CN"/>
        </w:rPr>
      </w:pPr>
      <w:r>
        <w:rPr>
          <w:rFonts w:hint="eastAsia" w:ascii="仿宋_GB2312" w:eastAsia="仿宋_GB2312" w:hAnsiTheme="minorEastAsia" w:cstheme="minorEastAsia"/>
          <w:bCs/>
          <w:color w:val="000000"/>
          <w:sz w:val="32"/>
          <w:szCs w:val="32"/>
          <w:lang w:val="en-US" w:eastAsia="zh-CN"/>
        </w:rPr>
        <w:t>1.</w:t>
      </w:r>
      <w:r>
        <w:rPr>
          <w:rFonts w:hint="eastAsia" w:ascii="仿宋_GB2312" w:eastAsia="仿宋_GB2312" w:hAnsiTheme="minorEastAsia" w:cstheme="minorEastAsia"/>
          <w:bCs/>
          <w:color w:val="000000"/>
          <w:sz w:val="32"/>
          <w:szCs w:val="32"/>
        </w:rPr>
        <w:t>涞源县水利局“双随机、一公开”监管工作领导小组</w:t>
      </w:r>
      <w:r>
        <w:rPr>
          <w:rFonts w:hint="eastAsia" w:ascii="仿宋_GB2312" w:eastAsia="仿宋_GB2312" w:hAnsiTheme="minorEastAsia" w:cstheme="minorEastAsia"/>
          <w:bCs/>
          <w:color w:val="000000"/>
          <w:sz w:val="32"/>
          <w:szCs w:val="32"/>
          <w:lang w:eastAsia="zh-CN"/>
        </w:rPr>
        <w:t>；</w:t>
      </w: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lang w:val="en-US" w:eastAsia="zh-CN"/>
        </w:rPr>
        <w:t>2.</w:t>
      </w:r>
      <w:r>
        <w:rPr>
          <w:rFonts w:hint="eastAsia" w:ascii="仿宋_GB2312" w:eastAsia="仿宋_GB2312" w:hAnsiTheme="minorEastAsia" w:cstheme="minorEastAsia"/>
          <w:bCs/>
          <w:color w:val="000000"/>
          <w:sz w:val="32"/>
          <w:szCs w:val="32"/>
        </w:rPr>
        <w:t>涞源县“双随机、一公开”监管工作月报表。</w:t>
      </w:r>
    </w:p>
    <w:p>
      <w:pPr>
        <w:pStyle w:val="7"/>
        <w:widowControl/>
        <w:spacing w:line="600" w:lineRule="exact"/>
        <w:ind w:firstLine="640"/>
        <w:jc w:val="left"/>
        <w:rPr>
          <w:rFonts w:hint="eastAsia"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w:t>
      </w:r>
    </w:p>
    <w:p>
      <w:pPr>
        <w:pStyle w:val="7"/>
        <w:widowControl/>
        <w:spacing w:line="600" w:lineRule="exact"/>
        <w:ind w:firstLine="5126" w:firstLineChars="1602"/>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126" w:firstLineChars="1602"/>
        <w:jc w:val="left"/>
        <w:rPr>
          <w:rFonts w:hint="eastAsia" w:ascii="仿宋" w:hAnsi="仿宋" w:eastAsia="仿宋" w:cs="仿宋"/>
          <w:sz w:val="32"/>
          <w:szCs w:val="32"/>
          <w:u w:val="single"/>
        </w:rPr>
      </w:pPr>
      <w:r>
        <w:rPr>
          <w:rFonts w:hint="eastAsia" w:ascii="仿宋_GB2312" w:eastAsia="仿宋_GB2312" w:hAnsiTheme="minorEastAsia" w:cstheme="minorEastAsia"/>
          <w:bCs/>
          <w:color w:val="000000"/>
          <w:sz w:val="32"/>
          <w:szCs w:val="32"/>
        </w:rPr>
        <w:t>2021年2月4日</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p>
    <w:p>
      <w:pPr>
        <w:spacing w:line="600" w:lineRule="exact"/>
        <w:rPr>
          <w:rFonts w:hint="eastAsia" w:ascii="仿宋_GB2312" w:eastAsia="仿宋_GB2312" w:hAnsiTheme="minorEastAsia" w:cstheme="minorEastAsia"/>
          <w:bCs/>
          <w:color w:val="000000"/>
          <w:sz w:val="32"/>
          <w:szCs w:val="32"/>
        </w:rPr>
      </w:pPr>
      <w:r>
        <w:rPr>
          <w:rFonts w:hint="eastAsia" w:ascii="仿宋" w:hAnsi="仿宋" w:eastAsia="仿宋" w:cs="仿宋"/>
          <w:sz w:val="32"/>
          <w:szCs w:val="32"/>
          <w:u w:val="single"/>
        </w:rPr>
        <w:t xml:space="preserve">涞源县水利局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highlight w:val="none"/>
          <w:u w:val="single"/>
        </w:rPr>
        <w:t>20</w:t>
      </w:r>
      <w:r>
        <w:rPr>
          <w:rFonts w:hint="eastAsia" w:ascii="仿宋" w:hAnsi="仿宋" w:eastAsia="仿宋" w:cs="仿宋"/>
          <w:sz w:val="32"/>
          <w:szCs w:val="32"/>
          <w:highlight w:val="none"/>
          <w:u w:val="single"/>
          <w:lang w:val="en-US" w:eastAsia="zh-CN"/>
        </w:rPr>
        <w:t>21</w:t>
      </w:r>
      <w:r>
        <w:rPr>
          <w:rFonts w:hint="eastAsia" w:ascii="仿宋" w:hAnsi="仿宋" w:eastAsia="仿宋" w:cs="仿宋"/>
          <w:sz w:val="32"/>
          <w:szCs w:val="32"/>
          <w:highlight w:val="none"/>
          <w:u w:val="single"/>
        </w:rPr>
        <w:t>年</w:t>
      </w:r>
      <w:r>
        <w:rPr>
          <w:rFonts w:hint="eastAsia" w:ascii="仿宋" w:hAnsi="仿宋" w:eastAsia="仿宋" w:cs="仿宋"/>
          <w:sz w:val="32"/>
          <w:szCs w:val="32"/>
          <w:highlight w:val="none"/>
          <w:u w:val="single"/>
          <w:lang w:val="en-US" w:eastAsia="zh-CN"/>
        </w:rPr>
        <w:t>2</w:t>
      </w:r>
      <w:r>
        <w:rPr>
          <w:rFonts w:hint="eastAsia" w:ascii="仿宋" w:hAnsi="仿宋" w:eastAsia="仿宋" w:cs="仿宋"/>
          <w:sz w:val="32"/>
          <w:szCs w:val="32"/>
          <w:highlight w:val="none"/>
          <w:u w:val="single"/>
        </w:rPr>
        <w:t>月</w:t>
      </w:r>
      <w:r>
        <w:rPr>
          <w:rFonts w:hint="eastAsia" w:ascii="仿宋" w:hAnsi="仿宋" w:eastAsia="仿宋" w:cs="仿宋"/>
          <w:sz w:val="32"/>
          <w:szCs w:val="32"/>
          <w:highlight w:val="none"/>
          <w:u w:val="single"/>
          <w:lang w:val="en-US" w:eastAsia="zh-CN"/>
        </w:rPr>
        <w:t>4</w:t>
      </w:r>
      <w:r>
        <w:rPr>
          <w:rFonts w:hint="eastAsia" w:ascii="仿宋" w:hAnsi="仿宋" w:eastAsia="仿宋" w:cs="仿宋"/>
          <w:sz w:val="32"/>
          <w:szCs w:val="32"/>
          <w:highlight w:val="none"/>
          <w:u w:val="single"/>
        </w:rPr>
        <w:t>日印</w:t>
      </w:r>
      <w:r>
        <w:rPr>
          <w:rFonts w:hint="eastAsia" w:ascii="仿宋" w:hAnsi="仿宋" w:eastAsia="仿宋" w:cs="仿宋"/>
          <w:sz w:val="32"/>
          <w:szCs w:val="32"/>
          <w:highlight w:val="none"/>
          <w:u w:val="single"/>
          <w:lang w:val="en-US" w:eastAsia="zh-CN"/>
        </w:rPr>
        <w:t>发</w:t>
      </w:r>
    </w:p>
    <w:p>
      <w:pPr>
        <w:pStyle w:val="7"/>
        <w:widowControl/>
        <w:spacing w:line="600" w:lineRule="exact"/>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附件1：</w:t>
      </w:r>
    </w:p>
    <w:p>
      <w:pPr>
        <w:pStyle w:val="7"/>
        <w:spacing w:line="600" w:lineRule="exact"/>
        <w:jc w:val="center"/>
        <w:rPr>
          <w:rFonts w:ascii="方正小标宋简体" w:eastAsia="方正小标宋简体" w:hAnsiTheme="minorEastAsia" w:cstheme="minorEastAsia"/>
          <w:bCs/>
          <w:color w:val="000000"/>
          <w:sz w:val="44"/>
          <w:szCs w:val="44"/>
        </w:rPr>
      </w:pPr>
      <w:r>
        <w:rPr>
          <w:rFonts w:hint="eastAsia" w:ascii="方正小标宋简体" w:eastAsia="方正小标宋简体" w:hAnsiTheme="minorEastAsia" w:cstheme="minorEastAsia"/>
          <w:bCs/>
          <w:color w:val="000000"/>
          <w:sz w:val="44"/>
          <w:szCs w:val="44"/>
        </w:rPr>
        <w:t>涞源县水利局</w:t>
      </w:r>
    </w:p>
    <w:p>
      <w:pPr>
        <w:pStyle w:val="7"/>
        <w:spacing w:line="600" w:lineRule="exact"/>
        <w:jc w:val="center"/>
        <w:rPr>
          <w:rFonts w:ascii="方正小标宋简体" w:eastAsia="方正小标宋简体" w:hAnsiTheme="minorEastAsia" w:cstheme="minorEastAsia"/>
          <w:bCs/>
          <w:color w:val="000000"/>
          <w:sz w:val="44"/>
          <w:szCs w:val="44"/>
        </w:rPr>
      </w:pPr>
      <w:r>
        <w:rPr>
          <w:rFonts w:hint="eastAsia" w:ascii="方正小标宋简体" w:eastAsia="方正小标宋简体" w:hAnsiTheme="minorEastAsia" w:cstheme="minorEastAsia"/>
          <w:bCs/>
          <w:color w:val="000000"/>
          <w:sz w:val="44"/>
          <w:szCs w:val="44"/>
        </w:rPr>
        <w:t>“双随机、一公开”监管工作领导小组</w:t>
      </w:r>
    </w:p>
    <w:p>
      <w:pPr>
        <w:pStyle w:val="7"/>
        <w:spacing w:line="600" w:lineRule="exact"/>
        <w:rPr>
          <w:rFonts w:ascii="仿宋_GB2312" w:eastAsia="仿宋_GB2312" w:hAnsiTheme="minorEastAsia" w:cstheme="minorEastAsia"/>
          <w:bCs/>
          <w:color w:val="000000"/>
          <w:sz w:val="32"/>
          <w:szCs w:val="32"/>
        </w:rPr>
      </w:pP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为深入贯彻落实202</w:t>
      </w:r>
      <w:r>
        <w:rPr>
          <w:rFonts w:hint="eastAsia" w:ascii="仿宋_GB2312" w:eastAsia="仿宋_GB2312" w:hAnsiTheme="minorEastAsia" w:cstheme="minorEastAsia"/>
          <w:bCs/>
          <w:color w:val="000000"/>
          <w:sz w:val="32"/>
          <w:szCs w:val="32"/>
          <w:lang w:val="en-US" w:eastAsia="zh-CN"/>
        </w:rPr>
        <w:t>1</w:t>
      </w:r>
      <w:r>
        <w:rPr>
          <w:rFonts w:hint="eastAsia" w:ascii="仿宋_GB2312" w:eastAsia="仿宋_GB2312" w:hAnsiTheme="minorEastAsia" w:cstheme="minorEastAsia"/>
          <w:bCs/>
          <w:color w:val="000000"/>
          <w:sz w:val="32"/>
          <w:szCs w:val="32"/>
        </w:rPr>
        <w:t>年涞源县“双随机、一公开”监管工作决策部署，实现“双随机、一公开”监管全覆盖，经局党组研究，特成立涞源县水利局“双随机、一公开”监管工作领导小组，成员如下：</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组  长：张  龙</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副组长：张利斌、梁合心、王建新</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成  员：段伟杰、杨振东、潘双利</w:t>
      </w:r>
      <w:r>
        <w:rPr>
          <w:rFonts w:hint="eastAsia" w:ascii="仿宋_GB2312" w:eastAsia="仿宋_GB2312" w:hAnsiTheme="minorEastAsia" w:cstheme="minorEastAsia"/>
          <w:bCs/>
          <w:color w:val="000000"/>
          <w:sz w:val="32"/>
          <w:szCs w:val="32"/>
          <w:lang w:val="en-US" w:eastAsia="zh-CN"/>
        </w:rPr>
        <w:t>、</w:t>
      </w:r>
      <w:r>
        <w:rPr>
          <w:rFonts w:hint="eastAsia" w:ascii="仿宋_GB2312" w:eastAsia="仿宋_GB2312" w:hAnsiTheme="minorEastAsia" w:cstheme="minorEastAsia"/>
          <w:bCs/>
          <w:color w:val="000000"/>
          <w:sz w:val="32"/>
          <w:szCs w:val="32"/>
        </w:rPr>
        <w:t>徐丽霞</w:t>
      </w:r>
      <w:r>
        <w:rPr>
          <w:rFonts w:hint="eastAsia" w:ascii="仿宋_GB2312" w:eastAsia="仿宋_GB2312" w:hAnsiTheme="minorEastAsia" w:cstheme="minorEastAsia"/>
          <w:bCs/>
          <w:color w:val="000000"/>
          <w:sz w:val="32"/>
          <w:szCs w:val="32"/>
          <w:lang w:eastAsia="zh-CN"/>
        </w:rPr>
        <w:t>、</w:t>
      </w:r>
      <w:r>
        <w:rPr>
          <w:rFonts w:hint="eastAsia" w:ascii="仿宋_GB2312" w:eastAsia="仿宋_GB2312" w:hAnsiTheme="minorEastAsia" w:cstheme="minorEastAsia"/>
          <w:bCs/>
          <w:color w:val="000000"/>
          <w:sz w:val="32"/>
          <w:szCs w:val="32"/>
          <w:lang w:val="en-US" w:eastAsia="zh-CN"/>
        </w:rPr>
        <w:t>李建国</w:t>
      </w:r>
    </w:p>
    <w:p>
      <w:pPr>
        <w:pStyle w:val="7"/>
        <w:spacing w:line="600" w:lineRule="exact"/>
        <w:ind w:firstLine="640" w:firstLineChars="200"/>
        <w:rPr>
          <w:rFonts w:hint="eastAsia" w:ascii="仿宋_GB2312" w:eastAsia="仿宋_GB2312" w:hAnsiTheme="minorEastAsia" w:cstheme="minorEastAsia"/>
          <w:bCs/>
          <w:color w:val="000000"/>
          <w:sz w:val="32"/>
          <w:szCs w:val="32"/>
          <w:lang w:eastAsia="zh-CN"/>
        </w:rPr>
      </w:pPr>
      <w:r>
        <w:rPr>
          <w:rFonts w:hint="eastAsia" w:ascii="仿宋_GB2312" w:eastAsia="仿宋_GB2312" w:hAnsiTheme="minorEastAsia" w:cstheme="minorEastAsia"/>
          <w:bCs/>
          <w:color w:val="000000"/>
          <w:sz w:val="32"/>
          <w:szCs w:val="32"/>
        </w:rPr>
        <w:t xml:space="preserve">        岳雪萍、贾晓珍、龙燕斌、张小霞</w:t>
      </w:r>
      <w:r>
        <w:rPr>
          <w:rFonts w:hint="eastAsia" w:ascii="仿宋_GB2312" w:eastAsia="仿宋_GB2312" w:hAnsiTheme="minorEastAsia" w:cstheme="minorEastAsia"/>
          <w:bCs/>
          <w:color w:val="000000"/>
          <w:sz w:val="32"/>
          <w:szCs w:val="32"/>
          <w:lang w:eastAsia="zh-CN"/>
        </w:rPr>
        <w:t>、</w:t>
      </w:r>
      <w:r>
        <w:rPr>
          <w:rFonts w:hint="eastAsia" w:ascii="仿宋_GB2312" w:eastAsia="仿宋_GB2312" w:hAnsiTheme="minorEastAsia" w:cstheme="minorEastAsia"/>
          <w:bCs/>
          <w:color w:val="000000"/>
          <w:sz w:val="32"/>
          <w:szCs w:val="32"/>
        </w:rPr>
        <w:t>吴鑫鑫</w:t>
      </w:r>
    </w:p>
    <w:p>
      <w:pPr>
        <w:pStyle w:val="7"/>
        <w:spacing w:line="600" w:lineRule="exact"/>
        <w:ind w:firstLine="1920" w:firstLineChars="600"/>
        <w:rPr>
          <w:rFonts w:hint="eastAsia" w:ascii="仿宋_GB2312" w:eastAsia="仿宋_GB2312" w:hAnsiTheme="minorEastAsia" w:cstheme="minorEastAsia"/>
          <w:bCs/>
          <w:color w:val="000000"/>
          <w:sz w:val="32"/>
          <w:szCs w:val="32"/>
          <w:lang w:eastAsia="zh-CN"/>
        </w:rPr>
      </w:pPr>
      <w:r>
        <w:rPr>
          <w:rFonts w:hint="eastAsia" w:ascii="仿宋_GB2312" w:eastAsia="仿宋_GB2312" w:hAnsiTheme="minorEastAsia" w:cstheme="minorEastAsia"/>
          <w:bCs/>
          <w:color w:val="000000"/>
          <w:sz w:val="32"/>
          <w:szCs w:val="32"/>
        </w:rPr>
        <w:t>王  娜</w:t>
      </w:r>
      <w:r>
        <w:rPr>
          <w:rFonts w:hint="eastAsia" w:ascii="仿宋_GB2312" w:eastAsia="仿宋_GB2312" w:hAnsiTheme="minorEastAsia" w:cstheme="minorEastAsia"/>
          <w:bCs/>
          <w:color w:val="000000"/>
          <w:sz w:val="32"/>
          <w:szCs w:val="32"/>
          <w:lang w:val="en-US" w:eastAsia="zh-CN"/>
        </w:rPr>
        <w:t xml:space="preserve"> </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领导小组下设办公室，办公室设在水政监察大队，办公室主任由</w:t>
      </w:r>
      <w:r>
        <w:rPr>
          <w:rFonts w:hint="eastAsia" w:ascii="仿宋_GB2312" w:eastAsia="仿宋_GB2312" w:hAnsiTheme="minorEastAsia" w:cstheme="minorEastAsia"/>
          <w:bCs/>
          <w:color w:val="000000"/>
          <w:sz w:val="32"/>
          <w:szCs w:val="32"/>
          <w:lang w:eastAsia="zh-CN"/>
        </w:rPr>
        <w:t>王建新</w:t>
      </w:r>
      <w:bookmarkStart w:id="0" w:name="_GoBack"/>
      <w:bookmarkEnd w:id="0"/>
      <w:r>
        <w:rPr>
          <w:rFonts w:hint="eastAsia" w:ascii="仿宋_GB2312" w:eastAsia="仿宋_GB2312" w:hAnsiTheme="minorEastAsia" w:cstheme="minorEastAsia"/>
          <w:bCs/>
          <w:color w:val="000000"/>
          <w:sz w:val="32"/>
          <w:szCs w:val="32"/>
        </w:rPr>
        <w:t>同志兼任。</w:t>
      </w: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w:t>
      </w:r>
      <w:r>
        <w:rPr>
          <w:rFonts w:hint="eastAsia" w:ascii="仿宋_GB2312" w:eastAsia="仿宋_GB2312" w:hAnsiTheme="minorEastAsia" w:cstheme="minorEastAsia"/>
          <w:bCs/>
          <w:color w:val="000000"/>
          <w:sz w:val="32"/>
          <w:szCs w:val="32"/>
          <w:lang w:val="en-US" w:eastAsia="zh-CN"/>
        </w:rPr>
        <w:t xml:space="preserve"> </w:t>
      </w: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280" w:firstLineChars="165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202</w:t>
      </w:r>
      <w:r>
        <w:rPr>
          <w:rFonts w:hint="eastAsia" w:ascii="仿宋_GB2312" w:eastAsia="仿宋_GB2312" w:hAnsiTheme="minorEastAsia" w:cstheme="minorEastAsia"/>
          <w:bCs/>
          <w:color w:val="000000"/>
          <w:sz w:val="32"/>
          <w:szCs w:val="32"/>
          <w:lang w:val="en-US" w:eastAsia="zh-CN"/>
        </w:rPr>
        <w:t>1</w:t>
      </w:r>
      <w:r>
        <w:rPr>
          <w:rFonts w:hint="eastAsia" w:ascii="仿宋_GB2312" w:eastAsia="仿宋_GB2312" w:hAnsiTheme="minorEastAsia" w:cstheme="minorEastAsia"/>
          <w:bCs/>
          <w:color w:val="000000"/>
          <w:sz w:val="32"/>
          <w:szCs w:val="32"/>
        </w:rPr>
        <w:t>年</w:t>
      </w:r>
      <w:r>
        <w:rPr>
          <w:rFonts w:hint="eastAsia" w:ascii="仿宋_GB2312" w:eastAsia="仿宋_GB2312" w:hAnsiTheme="minorEastAsia" w:cstheme="minorEastAsia"/>
          <w:bCs/>
          <w:color w:val="000000"/>
          <w:sz w:val="32"/>
          <w:szCs w:val="32"/>
          <w:lang w:val="en-US" w:eastAsia="zh-CN"/>
        </w:rPr>
        <w:t>2</w:t>
      </w:r>
      <w:r>
        <w:rPr>
          <w:rFonts w:hint="eastAsia" w:ascii="仿宋_GB2312" w:eastAsia="仿宋_GB2312" w:hAnsiTheme="minorEastAsia" w:cstheme="minorEastAsia"/>
          <w:bCs/>
          <w:color w:val="000000"/>
          <w:sz w:val="32"/>
          <w:szCs w:val="32"/>
        </w:rPr>
        <w:t>月</w:t>
      </w:r>
      <w:r>
        <w:rPr>
          <w:rFonts w:hint="eastAsia" w:ascii="仿宋_GB2312" w:eastAsia="仿宋_GB2312" w:hAnsiTheme="minorEastAsia" w:cstheme="minorEastAsia"/>
          <w:bCs/>
          <w:color w:val="000000"/>
          <w:sz w:val="32"/>
          <w:szCs w:val="32"/>
          <w:lang w:val="en-US" w:eastAsia="zh-CN"/>
        </w:rPr>
        <w:t>4</w:t>
      </w:r>
      <w:r>
        <w:rPr>
          <w:rFonts w:hint="eastAsia" w:ascii="仿宋_GB2312" w:eastAsia="仿宋_GB2312" w:hAnsiTheme="minorEastAsia" w:cstheme="minorEastAsia"/>
          <w:bCs/>
          <w:color w:val="000000"/>
          <w:sz w:val="32"/>
          <w:szCs w:val="32"/>
        </w:rPr>
        <w:t>日</w:t>
      </w: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附件2：</w:t>
      </w:r>
    </w:p>
    <w:tbl>
      <w:tblPr>
        <w:tblStyle w:val="8"/>
        <w:tblW w:w="9757" w:type="dxa"/>
        <w:tblInd w:w="96" w:type="dxa"/>
        <w:tblLayout w:type="autofit"/>
        <w:tblCellMar>
          <w:top w:w="0" w:type="dxa"/>
          <w:left w:w="108" w:type="dxa"/>
          <w:bottom w:w="0" w:type="dxa"/>
          <w:right w:w="108" w:type="dxa"/>
        </w:tblCellMar>
      </w:tblPr>
      <w:tblGrid>
        <w:gridCol w:w="579"/>
        <w:gridCol w:w="2977"/>
        <w:gridCol w:w="6201"/>
      </w:tblGrid>
      <w:tr>
        <w:tblPrEx>
          <w:tblCellMar>
            <w:top w:w="0" w:type="dxa"/>
            <w:left w:w="108" w:type="dxa"/>
            <w:bottom w:w="0" w:type="dxa"/>
            <w:right w:w="108" w:type="dxa"/>
          </w:tblCellMar>
        </w:tblPrEx>
        <w:trPr>
          <w:trHeight w:val="921" w:hRule="atLeast"/>
        </w:trPr>
        <w:tc>
          <w:tcPr>
            <w:tcW w:w="9757" w:type="dxa"/>
            <w:gridSpan w:val="3"/>
            <w:tcBorders>
              <w:top w:val="nil"/>
              <w:left w:val="nil"/>
              <w:bottom w:val="nil"/>
              <w:right w:val="nil"/>
            </w:tcBorders>
            <w:shd w:val="clear" w:color="auto" w:fill="auto"/>
            <w:noWrap/>
            <w:vAlign w:val="center"/>
          </w:tcPr>
          <w:p>
            <w:pPr>
              <w:widowControl/>
              <w:jc w:val="center"/>
              <w:rPr>
                <w:rFonts w:ascii="方正小标宋简体" w:hAnsi="宋体" w:eastAsia="方正小标宋简体" w:cs="宋体"/>
                <w:color w:val="000000"/>
                <w:kern w:val="0"/>
                <w:sz w:val="36"/>
                <w:szCs w:val="36"/>
              </w:rPr>
            </w:pPr>
            <w:r>
              <w:rPr>
                <w:rFonts w:hint="eastAsia" w:ascii="方正小标宋简体" w:hAnsi="宋体" w:eastAsia="方正小标宋简体" w:cs="宋体"/>
                <w:color w:val="000000"/>
                <w:kern w:val="0"/>
                <w:sz w:val="36"/>
                <w:szCs w:val="36"/>
              </w:rPr>
              <w:t>涞源县水利局“双随机、一公开”监管工作月报表</w:t>
            </w:r>
          </w:p>
        </w:tc>
      </w:tr>
      <w:tr>
        <w:tblPrEx>
          <w:tblCellMar>
            <w:top w:w="0" w:type="dxa"/>
            <w:left w:w="108" w:type="dxa"/>
            <w:bottom w:w="0" w:type="dxa"/>
            <w:right w:w="108" w:type="dxa"/>
          </w:tblCellMar>
        </w:tblPrEx>
        <w:trPr>
          <w:trHeight w:val="348" w:hRule="atLeast"/>
        </w:trPr>
        <w:tc>
          <w:tcPr>
            <w:tcW w:w="9757" w:type="dxa"/>
            <w:gridSpan w:val="3"/>
            <w:tcBorders>
              <w:top w:val="nil"/>
              <w:left w:val="nil"/>
              <w:bottom w:val="nil"/>
              <w:right w:val="nil"/>
            </w:tcBorders>
            <w:shd w:val="clear" w:color="auto" w:fill="auto"/>
            <w:noWrap/>
            <w:vAlign w:val="center"/>
          </w:tcPr>
          <w:p>
            <w:pPr>
              <w:widowControl/>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单位名称（盖章）：</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 xml:space="preserve"> 填表时间：     年    月   日</w:t>
            </w:r>
          </w:p>
        </w:tc>
      </w:tr>
      <w:tr>
        <w:tblPrEx>
          <w:tblCellMar>
            <w:top w:w="0" w:type="dxa"/>
            <w:left w:w="108" w:type="dxa"/>
            <w:bottom w:w="0" w:type="dxa"/>
            <w:right w:w="108" w:type="dxa"/>
          </w:tblCellMar>
        </w:tblPrEx>
        <w:trPr>
          <w:trHeight w:val="279" w:hRule="atLeast"/>
        </w:trPr>
        <w:tc>
          <w:tcPr>
            <w:tcW w:w="9757" w:type="dxa"/>
            <w:gridSpan w:val="3"/>
            <w:tcBorders>
              <w:top w:val="nil"/>
              <w:left w:val="nil"/>
              <w:bottom w:val="nil"/>
              <w:right w:val="nil"/>
            </w:tcBorders>
            <w:shd w:val="clear" w:color="auto" w:fill="auto"/>
            <w:noWrap/>
            <w:vAlign w:val="center"/>
          </w:tcPr>
          <w:p>
            <w:pPr>
              <w:widowControl/>
              <w:rPr>
                <w:rFonts w:ascii="方正小标宋简体" w:hAnsi="宋体" w:eastAsia="方正小标宋简体" w:cs="宋体"/>
                <w:color w:val="000000"/>
                <w:kern w:val="0"/>
                <w:sz w:val="28"/>
                <w:szCs w:val="28"/>
              </w:rPr>
            </w:pPr>
          </w:p>
        </w:tc>
      </w:tr>
      <w:tr>
        <w:tblPrEx>
          <w:tblCellMar>
            <w:top w:w="0" w:type="dxa"/>
            <w:left w:w="108" w:type="dxa"/>
            <w:bottom w:w="0" w:type="dxa"/>
            <w:right w:w="108" w:type="dxa"/>
          </w:tblCellMar>
        </w:tblPrEx>
        <w:trPr>
          <w:trHeight w:val="759" w:hRule="atLeast"/>
        </w:trPr>
        <w:tc>
          <w:tcPr>
            <w:tcW w:w="975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一、“双随机、一公开”监管工作安排部署情况</w:t>
            </w:r>
          </w:p>
        </w:tc>
      </w:tr>
      <w:tr>
        <w:tblPrEx>
          <w:tblCellMar>
            <w:top w:w="0" w:type="dxa"/>
            <w:left w:w="108" w:type="dxa"/>
            <w:bottom w:w="0" w:type="dxa"/>
            <w:right w:w="108" w:type="dxa"/>
          </w:tblCellMar>
        </w:tblPrEx>
        <w:trPr>
          <w:trHeight w:val="879" w:hRule="atLeast"/>
        </w:trPr>
        <w:tc>
          <w:tcPr>
            <w:tcW w:w="579"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1　</w:t>
            </w: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本月召开会议部署随机抽查工作情况</w:t>
            </w:r>
          </w:p>
        </w:tc>
        <w:tc>
          <w:tcPr>
            <w:tcW w:w="6201"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780" w:hRule="atLeast"/>
        </w:trPr>
        <w:tc>
          <w:tcPr>
            <w:tcW w:w="579"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2　</w:t>
            </w: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本月印发双随机工作文件情况</w:t>
            </w:r>
          </w:p>
        </w:tc>
        <w:tc>
          <w:tcPr>
            <w:tcW w:w="6201"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1020" w:hRule="atLeast"/>
        </w:trPr>
        <w:tc>
          <w:tcPr>
            <w:tcW w:w="579"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3　</w:t>
            </w: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本月组织随机抽查业务培训情况</w:t>
            </w:r>
          </w:p>
        </w:tc>
        <w:tc>
          <w:tcPr>
            <w:tcW w:w="6201"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525" w:hRule="atLeast"/>
        </w:trPr>
        <w:tc>
          <w:tcPr>
            <w:tcW w:w="9757" w:type="dxa"/>
            <w:gridSpan w:val="3"/>
            <w:tcBorders>
              <w:top w:val="single" w:color="auto" w:sz="4" w:space="0"/>
              <w:left w:val="single" w:color="auto" w:sz="8" w:space="0"/>
              <w:bottom w:val="nil"/>
              <w:right w:val="single" w:color="000000" w:sz="8" w:space="0"/>
            </w:tcBorders>
            <w:shd w:val="clear" w:color="auto" w:fill="auto"/>
            <w:vAlign w:val="center"/>
          </w:tcPr>
          <w:p>
            <w:pPr>
              <w:widowControl/>
              <w:spacing w:line="500" w:lineRule="exact"/>
              <w:jc w:val="center"/>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二、“双随机、一公开”监管工作开展情况</w:t>
            </w:r>
          </w:p>
        </w:tc>
      </w:tr>
      <w:tr>
        <w:tblPrEx>
          <w:tblCellMar>
            <w:top w:w="0" w:type="dxa"/>
            <w:left w:w="108" w:type="dxa"/>
            <w:bottom w:w="0" w:type="dxa"/>
            <w:right w:w="108" w:type="dxa"/>
          </w:tblCellMar>
        </w:tblPrEx>
        <w:trPr>
          <w:trHeight w:val="420" w:hRule="atLeast"/>
        </w:trPr>
        <w:tc>
          <w:tcPr>
            <w:tcW w:w="57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　</w:t>
            </w:r>
          </w:p>
        </w:tc>
        <w:tc>
          <w:tcPr>
            <w:tcW w:w="9178"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本月按年度随机抽查工作计划县本级开展随机抽查情况</w:t>
            </w:r>
          </w:p>
        </w:tc>
      </w:tr>
      <w:tr>
        <w:tblPrEx>
          <w:tblCellMar>
            <w:top w:w="0" w:type="dxa"/>
            <w:left w:w="108" w:type="dxa"/>
            <w:bottom w:w="0" w:type="dxa"/>
            <w:right w:w="108" w:type="dxa"/>
          </w:tblCellMar>
        </w:tblPrEx>
        <w:trPr>
          <w:trHeight w:val="765" w:hRule="atLeast"/>
        </w:trPr>
        <w:tc>
          <w:tcPr>
            <w:tcW w:w="57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宋体" w:hAnsi="宋体" w:eastAsia="宋体" w:cs="宋体"/>
                <w:color w:val="000000"/>
                <w:kern w:val="0"/>
                <w:sz w:val="28"/>
                <w:szCs w:val="28"/>
              </w:rPr>
            </w:pP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本月组织随机抽查的文件</w:t>
            </w:r>
          </w:p>
        </w:tc>
        <w:tc>
          <w:tcPr>
            <w:tcW w:w="6201"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795" w:hRule="atLeast"/>
        </w:trPr>
        <w:tc>
          <w:tcPr>
            <w:tcW w:w="57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宋体" w:hAnsi="宋体" w:eastAsia="宋体" w:cs="宋体"/>
                <w:color w:val="000000"/>
                <w:kern w:val="0"/>
                <w:sz w:val="28"/>
                <w:szCs w:val="28"/>
              </w:rPr>
            </w:pP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随机抽查抽查对象范围、数量、抽查比例</w:t>
            </w:r>
          </w:p>
        </w:tc>
        <w:tc>
          <w:tcPr>
            <w:tcW w:w="6201" w:type="dxa"/>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525" w:hRule="atLeast"/>
        </w:trPr>
        <w:tc>
          <w:tcPr>
            <w:tcW w:w="57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宋体" w:hAnsi="宋体" w:eastAsia="宋体" w:cs="宋体"/>
                <w:color w:val="000000"/>
                <w:kern w:val="0"/>
                <w:sz w:val="28"/>
                <w:szCs w:val="28"/>
              </w:rPr>
            </w:pP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随机抽查的检查事项</w:t>
            </w:r>
          </w:p>
        </w:tc>
        <w:tc>
          <w:tcPr>
            <w:tcW w:w="6201" w:type="dxa"/>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801" w:hRule="atLeast"/>
        </w:trPr>
        <w:tc>
          <w:tcPr>
            <w:tcW w:w="57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宋体" w:hAnsi="宋体" w:eastAsia="宋体" w:cs="宋体"/>
                <w:color w:val="000000"/>
                <w:kern w:val="0"/>
                <w:sz w:val="28"/>
                <w:szCs w:val="28"/>
              </w:rPr>
            </w:pPr>
          </w:p>
        </w:tc>
        <w:tc>
          <w:tcPr>
            <w:tcW w:w="2977"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随机抽查结果公示情况</w:t>
            </w:r>
          </w:p>
        </w:tc>
        <w:tc>
          <w:tcPr>
            <w:tcW w:w="6201" w:type="dxa"/>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left"/>
              <w:rPr>
                <w:rFonts w:ascii="宋体" w:hAnsi="宋体" w:eastAsia="宋体" w:cs="宋体"/>
                <w:color w:val="000000"/>
                <w:kern w:val="0"/>
                <w:sz w:val="28"/>
                <w:szCs w:val="28"/>
              </w:rPr>
            </w:pPr>
          </w:p>
        </w:tc>
      </w:tr>
      <w:tr>
        <w:tblPrEx>
          <w:tblCellMar>
            <w:top w:w="0" w:type="dxa"/>
            <w:left w:w="108" w:type="dxa"/>
            <w:bottom w:w="0" w:type="dxa"/>
            <w:right w:w="108" w:type="dxa"/>
          </w:tblCellMar>
        </w:tblPrEx>
        <w:trPr>
          <w:trHeight w:val="441" w:hRule="atLeast"/>
        </w:trPr>
        <w:tc>
          <w:tcPr>
            <w:tcW w:w="579"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　</w:t>
            </w:r>
          </w:p>
        </w:tc>
        <w:tc>
          <w:tcPr>
            <w:tcW w:w="9178" w:type="dxa"/>
            <w:gridSpan w:val="2"/>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全县本系统开展随机抽查情况</w:t>
            </w:r>
          </w:p>
        </w:tc>
      </w:tr>
      <w:tr>
        <w:tblPrEx>
          <w:tblCellMar>
            <w:top w:w="0" w:type="dxa"/>
            <w:left w:w="108" w:type="dxa"/>
            <w:bottom w:w="0" w:type="dxa"/>
            <w:right w:w="108" w:type="dxa"/>
          </w:tblCellMar>
        </w:tblPrEx>
        <w:trPr>
          <w:trHeight w:val="441" w:hRule="atLeast"/>
        </w:trPr>
        <w:tc>
          <w:tcPr>
            <w:tcW w:w="579"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宋体" w:hAnsi="宋体" w:eastAsia="宋体" w:cs="宋体"/>
                <w:color w:val="000000"/>
                <w:kern w:val="0"/>
                <w:sz w:val="28"/>
                <w:szCs w:val="28"/>
              </w:rPr>
            </w:pPr>
          </w:p>
        </w:tc>
        <w:tc>
          <w:tcPr>
            <w:tcW w:w="9178" w:type="dxa"/>
            <w:gridSpan w:val="2"/>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　（开展的单位及抽查检查主体数量及抽查结果公示数量等情况）</w:t>
            </w:r>
          </w:p>
        </w:tc>
      </w:tr>
    </w:tbl>
    <w:p>
      <w:pPr>
        <w:pStyle w:val="7"/>
        <w:widowControl/>
        <w:spacing w:line="500" w:lineRule="exact"/>
        <w:jc w:val="left"/>
        <w:rPr>
          <w:rFonts w:ascii="仿宋_GB2312" w:eastAsia="仿宋_GB2312" w:hAnsiTheme="minorEastAsia" w:cstheme="minorEastAsia"/>
          <w:bCs/>
          <w:color w:val="000000"/>
          <w:sz w:val="28"/>
          <w:szCs w:val="28"/>
        </w:rPr>
      </w:pPr>
    </w:p>
    <w:sectPr>
      <w:footerReference r:id="rId3" w:type="default"/>
      <w:pgSz w:w="11906" w:h="16838"/>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pPr>
          <w:pStyle w:val="5"/>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F309C"/>
    <w:rsid w:val="000D416C"/>
    <w:rsid w:val="002061F3"/>
    <w:rsid w:val="0082107B"/>
    <w:rsid w:val="00D867F7"/>
    <w:rsid w:val="00DF309C"/>
    <w:rsid w:val="00DF6792"/>
    <w:rsid w:val="00EA55C9"/>
    <w:rsid w:val="00F05DC1"/>
    <w:rsid w:val="00F14A62"/>
    <w:rsid w:val="0983714B"/>
    <w:rsid w:val="09EA6AFE"/>
    <w:rsid w:val="0D394456"/>
    <w:rsid w:val="14740C5E"/>
    <w:rsid w:val="17E15861"/>
    <w:rsid w:val="195444EE"/>
    <w:rsid w:val="1E4363CF"/>
    <w:rsid w:val="1EDA4882"/>
    <w:rsid w:val="2CBC3918"/>
    <w:rsid w:val="32130D04"/>
    <w:rsid w:val="43C804B9"/>
    <w:rsid w:val="459B4CA3"/>
    <w:rsid w:val="587F4A06"/>
    <w:rsid w:val="611A05CE"/>
    <w:rsid w:val="6848574E"/>
    <w:rsid w:val="68DA5ED1"/>
    <w:rsid w:val="768524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Indent"/>
    <w:basedOn w:val="1"/>
    <w:uiPriority w:val="0"/>
    <w:pPr>
      <w:ind w:firstLine="720" w:firstLineChars="225"/>
    </w:pPr>
    <w:rPr>
      <w:rFonts w:eastAsia="仿宋_GB2312"/>
      <w:sz w:val="32"/>
    </w:r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page number"/>
    <w:basedOn w:val="9"/>
    <w:qFormat/>
    <w:uiPriority w:val="0"/>
  </w:style>
  <w:style w:type="character" w:customStyle="1" w:styleId="11">
    <w:name w:val="页眉 Char"/>
    <w:basedOn w:val="9"/>
    <w:link w:val="6"/>
    <w:qFormat/>
    <w:uiPriority w:val="0"/>
    <w:rPr>
      <w:rFonts w:asciiTheme="minorHAnsi" w:hAnsiTheme="minorHAnsi" w:eastAsiaTheme="minorEastAsia" w:cstheme="minorBidi"/>
      <w:kern w:val="2"/>
      <w:sz w:val="18"/>
      <w:szCs w:val="18"/>
    </w:rPr>
  </w:style>
  <w:style w:type="character" w:customStyle="1" w:styleId="12">
    <w:name w:val="页脚 Char"/>
    <w:basedOn w:val="9"/>
    <w:link w:val="5"/>
    <w:qFormat/>
    <w:uiPriority w:val="99"/>
    <w:rPr>
      <w:rFonts w:asciiTheme="minorHAnsi" w:hAnsiTheme="minorHAnsi" w:eastAsiaTheme="minorEastAsia" w:cstheme="minorBidi"/>
      <w:kern w:val="2"/>
      <w:sz w:val="18"/>
      <w:szCs w:val="18"/>
    </w:rPr>
  </w:style>
  <w:style w:type="character" w:customStyle="1" w:styleId="13">
    <w:name w:val="日期 Char"/>
    <w:basedOn w:val="9"/>
    <w:link w:val="4"/>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356</Words>
  <Characters>2032</Characters>
  <Lines>16</Lines>
  <Paragraphs>4</Paragraphs>
  <TotalTime>3</TotalTime>
  <ScaleCrop>false</ScaleCrop>
  <LinksUpToDate>false</LinksUpToDate>
  <CharactersWithSpaces>2384</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D</cp:lastModifiedBy>
  <cp:lastPrinted>2021-08-05T03:15:12Z</cp:lastPrinted>
  <dcterms:modified xsi:type="dcterms:W3CDTF">2021-08-05T03:16:30Z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387E74DE6387496B87A9BF399268B270</vt:lpwstr>
  </property>
</Properties>
</file>