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A3C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>涞源县</w:t>
      </w:r>
      <w:r>
        <w:rPr>
          <w:rFonts w:hint="eastAsia"/>
          <w:sz w:val="44"/>
          <w:szCs w:val="44"/>
        </w:rPr>
        <w:t>农业农村局</w:t>
      </w:r>
    </w:p>
    <w:p w14:paraId="684AA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>关于</w:t>
      </w:r>
      <w:r>
        <w:rPr>
          <w:rFonts w:hint="eastAsia"/>
          <w:sz w:val="44"/>
          <w:szCs w:val="44"/>
        </w:rPr>
        <w:t>2025年度法治政府建设</w:t>
      </w:r>
    </w:p>
    <w:p w14:paraId="4E505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情况的</w:t>
      </w:r>
      <w:r>
        <w:rPr>
          <w:rFonts w:hint="eastAsia"/>
          <w:sz w:val="44"/>
          <w:szCs w:val="44"/>
        </w:rPr>
        <w:t>报告</w:t>
      </w:r>
    </w:p>
    <w:p w14:paraId="3955A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2025年，我局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坚持以习近平思想为指导，紧扣农业农村中心工作，扎实推进依法行政，规范农业综合行政执法，持续优化涉农营商环境，法治政府建设取得阶段性成效。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sz w:val="32"/>
          <w:szCs w:val="32"/>
        </w:rPr>
        <w:t>情况报告如下：</w:t>
      </w:r>
    </w:p>
    <w:p w14:paraId="5E8124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一、2025年法治政府建设工作开展情况</w:t>
      </w:r>
    </w:p>
    <w:p w14:paraId="302B75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一）压实法治建设责任，强化理论武装 </w:t>
      </w:r>
    </w:p>
    <w:p w14:paraId="715ED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落实党政主要负责人履行推进法治建设第一责任人职责，将法治建设纳入局年度重点工作，与业务工作同部署、同落实、同考核。落实“第一议题”制度，局党组中心组开展习近平法治思想专题学习4次，组织领导干部述法、农业法律法规专题培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场。组织全体干部参加线上学法考试，参考率、合格率100%。配齐法律顾问，落实重大事项法律咨询制度，筑牢依法决策基础。</w:t>
      </w:r>
    </w:p>
    <w:p w14:paraId="4A8E2C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（二）规范行政决策，健全制度体系</w:t>
      </w:r>
    </w:p>
    <w:p w14:paraId="0A0E8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严格执行重大行政决策程序制度，落实重大事项公众参与、风险评估、合法性审查、集体讨论决定机制。全年开展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集体讨论决定、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合同协议合法性审查32件，做到未经合法性审查不提交决策。动态更新权责清单，及时清理过时涉农文件，推进政务信息公开，依法公开行政许可、行政处罚、行政强制等信息，保障群众知情权监督权。</w:t>
      </w:r>
    </w:p>
    <w:p w14:paraId="7BC83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（三）深化放管服改革，优化涉农营商环境</w:t>
      </w:r>
    </w:p>
    <w:p w14:paraId="184DC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全面落实包容审慎监管，推行轻微违法行为依法不予处罚清单（首违不罚、轻微免罚），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2025年我局适用“</w:t>
      </w:r>
      <w:r>
        <w:rPr>
          <w:rFonts w:hint="eastAsia" w:ascii="仿宋_GB2312" w:hAnsi="仿宋_GB2312" w:eastAsia="仿宋_GB2312" w:cs="仿宋_GB2312"/>
          <w:sz w:val="32"/>
          <w:szCs w:val="32"/>
        </w:rPr>
        <w:t>首违不罚、轻微免罚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政策1起。</w:t>
      </w:r>
      <w:r>
        <w:rPr>
          <w:rFonts w:hint="eastAsia" w:ascii="仿宋_GB2312" w:hAnsi="仿宋_GB2312" w:eastAsia="仿宋_GB2312" w:cs="仿宋_GB2312"/>
          <w:sz w:val="32"/>
          <w:szCs w:val="32"/>
        </w:rPr>
        <w:t>落实“两违四乱”专项整治，坚决杜绝逐利式、运动式执法。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推行“双随机、一公开”监管与重点专项监管相结合，整合涉企检查事项，杜绝多头检查、</w:t>
      </w:r>
      <w:r>
        <w:rPr>
          <w:rFonts w:hint="eastAsia" w:ascii="仿宋_GB2312" w:hAnsi="仿宋_GB2312" w:eastAsia="仿宋_GB2312" w:cs="仿宋_GB2312"/>
          <w:sz w:val="32"/>
          <w:szCs w:val="32"/>
        </w:rPr>
        <w:t>重复检查，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持续规范涉农市场秩序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5763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（四）规范农业综合执法，提升监管效能</w:t>
      </w:r>
    </w:p>
    <w:p w14:paraId="3605B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聚焦农资、农产品质量安全、畜禽养殖、农机、渔政等重点领域开展专项执法。严格落实行政执法“三项制度”，执法全过程记录，规范执法文书制作，常态化开展案卷评查。2025年，全局共立案查处涉农违法案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。开展乱收费乱罚款专项自查整治，不存在下达罚没收入任务、违规收费摊派等问题。组织执法人员业务轮训，提升队伍执法能力。</w:t>
      </w:r>
    </w:p>
    <w:p w14:paraId="3F29A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（五）做好普法与矛盾化解，推进法治乡村建设</w:t>
      </w:r>
    </w:p>
    <w:p w14:paraId="21396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落实“谁执法谁普法”责任制，结合宪法宣传周、民法典宣传月、“宪法进农村”等活动，深入乡村、养殖场、农资门店开展普法宣传。培育农村法律明白人，宣讲耕地保护、农产品质量安全、动物防疫法律法规。畅通行政复议、行政应诉渠道，落实行政争议实质性化解。全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</w:rPr>
        <w:t>行政复议、行政诉讼案件。</w:t>
      </w:r>
    </w:p>
    <w:p w14:paraId="602405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存在主要问题 </w:t>
      </w:r>
    </w:p>
    <w:p w14:paraId="2199C5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法治人才力量不足。基层农业综合执法队伍人员身兼数职，复合型法治专业人才短缺。</w:t>
      </w:r>
    </w:p>
    <w:p w14:paraId="481B6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执法规范化水平仍需提升。少数基层执法人员证据意识、程序意识有待加强，案卷制作细节仍有瑕疵。</w:t>
      </w:r>
    </w:p>
    <w:p w14:paraId="306FF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D0A2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</w:rPr>
        <w:t>普法宣传成效不均衡。农村普法方式较为传统，面向种植、养殖主体精准普法力度不足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FE65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三、下一步工作计划</w:t>
      </w:r>
    </w:p>
    <w:p w14:paraId="773CF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持续压实法治责任。严格落实第一责任人职责，常态化开展领导干部学法述法，加强执法队伍业务培训，不断提升依法行政能力。</w:t>
      </w:r>
    </w:p>
    <w:p w14:paraId="001CE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持续规范执法行为。深化农业综合行政执法规范化建设，常态化案卷评查，持续整治乱收费乱罚款、违规异地执法等问题，落实包容审慎监管。</w:t>
      </w:r>
    </w:p>
    <w:p w14:paraId="18339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三是强</w:t>
      </w:r>
      <w:r>
        <w:rPr>
          <w:rFonts w:hint="eastAsia" w:ascii="仿宋_GB2312" w:hAnsi="仿宋_GB2312" w:eastAsia="仿宋_GB2312" w:cs="仿宋_GB2312"/>
          <w:sz w:val="32"/>
          <w:szCs w:val="32"/>
        </w:rPr>
        <w:t>化普法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宣传</w:t>
      </w:r>
      <w:r>
        <w:rPr>
          <w:rFonts w:hint="eastAsia" w:ascii="仿宋_GB2312" w:hAnsi="仿宋_GB2312" w:eastAsia="仿宋_GB2312" w:cs="仿宋_GB2312"/>
          <w:sz w:val="32"/>
          <w:szCs w:val="32"/>
        </w:rPr>
        <w:t>。创新农村普法形式，聚焦农资、养殖、耕地保护等重点领域精准普法。</w:t>
      </w:r>
    </w:p>
    <w:p w14:paraId="5C54E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13FB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2D37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5D39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7264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2026年2月18日</w:t>
      </w:r>
    </w:p>
    <w:p w14:paraId="6ADEB9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2F49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4A5C6D"/>
    <w:multiLevelType w:val="singleLevel"/>
    <w:tmpl w:val="954A5C6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044D9"/>
    <w:rsid w:val="05AF67EC"/>
    <w:rsid w:val="118D7472"/>
    <w:rsid w:val="166709E6"/>
    <w:rsid w:val="51AF7F74"/>
    <w:rsid w:val="5EEB3AB5"/>
    <w:rsid w:val="676E07CA"/>
    <w:rsid w:val="6F9141E6"/>
    <w:rsid w:val="7E9204F9"/>
    <w:rsid w:val="7E94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1269</Words>
  <Characters>1293</Characters>
  <Lines>0</Lines>
  <Paragraphs>0</Paragraphs>
  <TotalTime>9</TotalTime>
  <ScaleCrop>false</ScaleCrop>
  <LinksUpToDate>false</LinksUpToDate>
  <CharactersWithSpaces>1299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2026-01-15T07:56:00Z</dcterms:created>
  <dc:creator>dh</dc:creator>
  <cp:lastModifiedBy>立春</cp:lastModifiedBy>
  <dcterms:modified xsi:type="dcterms:W3CDTF">2026-09-29T06:34:10Z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3367B22FF2564D99922D392CB4DC9447_12</vt:lpwstr>
  </property>
  <property fmtid="{D5CDD505-2E9C-101B-9397-08002B2CF9AE}" pid="4" name="KSOTemplateDocerSaveRecord">
    <vt:lpwstr>eyJoZGlkIjoiMTUyMWFhZThiMjU2MDk3NzcwMjVjZTY0M2Q4NDAxNWQiLCJ1c2VySWQiOiI2NDQ3NzQ4NDgifQ==</vt:lpwstr>
  </property>
</Properties>
</file>