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21AE5">
      <w:pPr>
        <w:keepNext w:val="0"/>
        <w:keepLines w:val="0"/>
        <w:pageBreakBefore w:val="0"/>
        <w:widowControl w:val="0"/>
        <w:kinsoku/>
        <w:wordWrap/>
        <w:overflowPunct/>
        <w:topLinePunct w:val="0"/>
        <w:autoSpaceDE/>
        <w:autoSpaceDN/>
        <w:bidi w:val="0"/>
        <w:adjustRightInd/>
        <w:snapToGrid/>
        <w:spacing w:line="620" w:lineRule="exact"/>
        <w:ind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涞源县发展改革和科学技术局</w:t>
      </w:r>
    </w:p>
    <w:p w14:paraId="2EBC4A29">
      <w:pPr>
        <w:keepNext w:val="0"/>
        <w:keepLines w:val="0"/>
        <w:pageBreakBefore w:val="0"/>
        <w:widowControl w:val="0"/>
        <w:kinsoku/>
        <w:wordWrap/>
        <w:overflowPunct/>
        <w:topLinePunct w:val="0"/>
        <w:autoSpaceDE/>
        <w:autoSpaceDN/>
        <w:bidi w:val="0"/>
        <w:adjustRightInd/>
        <w:snapToGrid/>
        <w:spacing w:line="620" w:lineRule="exact"/>
        <w:ind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关于2025年度法治政府建设情况的</w:t>
      </w:r>
      <w:bookmarkStart w:id="0" w:name="_GoBack"/>
      <w:bookmarkEnd w:id="0"/>
      <w:r>
        <w:rPr>
          <w:rFonts w:hint="eastAsia" w:ascii="方正小标宋简体" w:hAnsi="方正小标宋简体" w:eastAsia="方正小标宋简体" w:cs="方正小标宋简体"/>
          <w:sz w:val="44"/>
          <w:szCs w:val="44"/>
          <w:lang w:val="en-US" w:eastAsia="zh-CN"/>
        </w:rPr>
        <w:t>报告</w:t>
      </w:r>
    </w:p>
    <w:p w14:paraId="0D12AA53">
      <w:pPr>
        <w:keepNext w:val="0"/>
        <w:keepLines w:val="0"/>
        <w:pageBreakBefore w:val="0"/>
        <w:widowControl w:val="0"/>
        <w:kinsoku/>
        <w:wordWrap/>
        <w:overflowPunct/>
        <w:topLinePunct w:val="0"/>
        <w:autoSpaceDE/>
        <w:autoSpaceDN/>
        <w:bidi w:val="0"/>
        <w:adjustRightInd/>
        <w:snapToGrid/>
        <w:spacing w:line="260" w:lineRule="exact"/>
        <w:ind w:firstLine="0" w:firstLineChars="0"/>
        <w:textAlignment w:val="auto"/>
        <w:rPr>
          <w:rFonts w:hint="eastAsia" w:ascii="仿宋_GB2312" w:hAnsi="仿宋_GB2312" w:eastAsia="仿宋_GB2312" w:cs="仿宋_GB2312"/>
          <w:sz w:val="32"/>
          <w:szCs w:val="32"/>
          <w:lang w:val="en-US" w:eastAsia="zh-CN"/>
        </w:rPr>
      </w:pPr>
    </w:p>
    <w:p w14:paraId="719BCC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涞源县发展改革和科学技术局以习近平新时代中国特色社会主义思想为指导，深入贯彻党的二十大和二十届三中、四中全会精神，严格落实中央和省、市、县法治政府建设工作部署，立足发改科技职能，把依法行政贯穿各项工作全过程，扎实推进法治政府建设。现将年度情况报告如下：</w:t>
      </w:r>
    </w:p>
    <w:p w14:paraId="210F056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一、2025年度主要举措和成效</w:t>
      </w:r>
    </w:p>
    <w:p w14:paraId="6908B68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（一）强化法治学习教育</w:t>
      </w:r>
    </w:p>
    <w:p w14:paraId="32EEEA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坚持把学习习近平法治思想摆在首位，落实会前学法、集中学法制度，采取专题研讨、专家授课、线上学习、案例剖析等方式，组织学习法律法规，开展业务学法，切实提升干部法治思维和依法行政能力。</w:t>
      </w:r>
    </w:p>
    <w:p w14:paraId="3F11E63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（二）健全制度规范行政运行</w:t>
      </w:r>
    </w:p>
    <w:p w14:paraId="3174BC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梳理修订本局行政决策、行政执法相关制度，严格执行重大行政决策合法性审查，落实行政执法“三项制度”。重大政策、项目、资金全部履行初审、法制把关、集体研究程序，从源头防范法律风险，推动各项工作依规依程序开展。</w:t>
      </w:r>
    </w:p>
    <w:p w14:paraId="1F2DC89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（三）抓实重点领域执法监管</w:t>
      </w:r>
    </w:p>
    <w:p w14:paraId="627F5E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围绕粮食安全、能源运行、市场监管、优化营商环境开展履职。落实“双随机、一公开”监管，按计划开展抽查并及时公开结果。加大粮食、能源领域监督检查力度，规范执法程序和文书档案，依法维护市场秩序，保障市场主体合法权益。</w:t>
      </w:r>
    </w:p>
    <w:p w14:paraId="0E18D59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（四）开展常态化普法宣传</w:t>
      </w:r>
    </w:p>
    <w:p w14:paraId="7B94562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依托宪法宣传周、粮食安全宣传周、科技活动周等载体，开展进企业、进基层普法活动，普及粮食、能源、科技领域法律法规，同步做好机关内部法治教育，提升干部和社会群体法治意识。</w:t>
      </w:r>
    </w:p>
    <w:p w14:paraId="4BC02A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二、存在不足及原因</w:t>
      </w:r>
    </w:p>
    <w:p w14:paraId="34EA5F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一是法治宣传教育精准度不足，沉浸式、案例式学法占比不高，部分干部学用转化效果有待提升。</w:t>
      </w:r>
    </w:p>
    <w:p w14:paraId="7E8719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二是行政执法专业化能力仍有短板，面对新型复杂监管事项，部分人员在证据固定、文书制作、裁量把握方面仍需加强。</w:t>
      </w:r>
    </w:p>
    <w:p w14:paraId="5363D8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三是法治建设与业务工作融合不够，个别股室重业务推进、轻法律风险预判，事前风险评估做得不够到位。</w:t>
      </w:r>
    </w:p>
    <w:p w14:paraId="678A5B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四是法律顾问前置参与重大事项程度不高，参谋把关作用未能充分发挥。</w:t>
      </w:r>
    </w:p>
    <w:p w14:paraId="06E01E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三、党政主要负责人履行第一责任人职责情况</w:t>
      </w:r>
    </w:p>
    <w:p w14:paraId="0624E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局党政主要负责人切实履行法治建设第一责任人职责，将法治政府建设纳入全局重点工作，与业务工作同部署、同推进、同考核。定期召开专题会议研究法治建设工作，以领导小组为抓手，压实主要领导亲自抓、分管领导具体抓、各股室协同落实的责任体系。</w:t>
      </w:r>
    </w:p>
    <w:p w14:paraId="45BEF9C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带头尊法学法用法，在重大决策中坚持依法研判，发挥头雁示范作用。定期听取法治工作汇报，开展督导检查，针对短板弱项推动整改，主动接受社会各界监督，推动法治建设各项任务落地。</w:t>
      </w:r>
    </w:p>
    <w:p w14:paraId="5A6B73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四、2026年度主要工作安排</w:t>
      </w:r>
    </w:p>
    <w:p w14:paraId="61EE9B6F">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（一）提升学法普法质效</w:t>
      </w:r>
    </w:p>
    <w:p w14:paraId="18571B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持续学习习近平法治思想，丰富案例教学，结合业务节点开展精准普法，推动干部主动学法，促进学用深度转化。</w:t>
      </w:r>
    </w:p>
    <w:p w14:paraId="079AABD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（二）提升行政执法水平</w:t>
      </w:r>
    </w:p>
    <w:p w14:paraId="3AA176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组织执法业务专题培训，重点强化执法程序、文书制作等实操能力；落实行政执法“三项制度”，开展案卷自查，完善执法人员考核机制，规范执法行为。</w:t>
      </w:r>
    </w:p>
    <w:p w14:paraId="694DB24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（三）促进法治业务深度融合</w:t>
      </w:r>
    </w:p>
    <w:p w14:paraId="3E2C75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把法治审查、风险评估嵌入政策制定、项目实施全流程，破解“两张皮”问题；健全法律顾问前置介入机制，充分发挥法律风险防范作用。</w:t>
      </w:r>
    </w:p>
    <w:p w14:paraId="34D5284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（四）压实法治建设责任</w:t>
      </w:r>
    </w:p>
    <w:p w14:paraId="507562B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细化任务清单，强化跟踪督办，自觉接受各方监督。为涞源县经济社会高质量发展提供法治保障。</w:t>
      </w:r>
    </w:p>
    <w:p w14:paraId="1441B5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2025年我局法治政府建设虽取得一定成效，但仍存在短板。下一步，我局将坚持问题导向，补齐薄弱环节，持续提升依法行政工作水平。</w:t>
      </w:r>
    </w:p>
    <w:p w14:paraId="63E908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p>
    <w:p w14:paraId="67D2A5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2026年3月31日</w:t>
      </w:r>
    </w:p>
    <w:p w14:paraId="7A56EB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EF7CF8"/>
    <w:rsid w:val="2AE32A7F"/>
    <w:rsid w:val="49EF7CF8"/>
    <w:rsid w:val="7CB468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金山软件</Company>
  <Pages>4</Pages>
  <Words>1342</Words>
  <Characters>1361</Characters>
  <Lines>0</Lines>
  <Paragraphs>0</Paragraphs>
  <TotalTime>5</TotalTime>
  <ScaleCrop>false</ScaleCrop>
  <LinksUpToDate>false</LinksUpToDate>
  <CharactersWithSpaces>1413</CharactersWithSpaces>
  <Application>WPS Office_12.8.2.21555_F1E327BC-269C-435d-A152-05C5408002CA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2026-10-08T05:42:00Z</dcterms:created>
  <dc:creator>wps</dc:creator>
  <cp:lastModifiedBy>wps</cp:lastModifiedBy>
  <dcterms:modified xsi:type="dcterms:W3CDTF">2026-10-13T02:31:14Z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CFB46B390AC545B8939BF1E22F28759D_13</vt:lpwstr>
  </property>
  <property fmtid="{D5CDD505-2E9C-101B-9397-08002B2CF9AE}" pid="4" name="KSOTemplateDocerSaveRecord">
    <vt:lpwstr>eyJoZGlkIjoiZmNiNDUwMjczYjRkMjE5NmQ3OGVlZjgxMmE2ZjhjZTMiLCJ1c2VySWQiOiI0Mjc4NzcwNTAifQ==</vt:lpwstr>
  </property>
</Properties>
</file>