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3A830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sz w:val="32"/>
          <w:szCs w:val="32"/>
          <w:u w:val="none"/>
          <w:lang w:val="en-US" w:eastAsia="zh-CN"/>
        </w:rPr>
      </w:pPr>
    </w:p>
    <w:p w14:paraId="63C2DDF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sz w:val="32"/>
          <w:szCs w:val="32"/>
          <w:u w:val="none"/>
          <w:lang w:val="en-US" w:eastAsia="zh-CN"/>
        </w:rPr>
      </w:pPr>
      <w:r>
        <w:rPr>
          <w:rFonts w:hint="eastAsia" w:ascii="仿宋" w:eastAsia="仿宋" w:cs="仿宋"/>
          <w:sz w:val="32"/>
          <w:szCs w:val="32"/>
          <w:u w:val="none"/>
          <w:lang w:val="en-US" w:eastAsia="zh-CN"/>
        </w:rPr>
        <w:t xml:space="preserve"> </w:t>
      </w:r>
    </w:p>
    <w:p w14:paraId="766E94A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sz w:val="32"/>
          <w:szCs w:val="32"/>
          <w:u w:val="none"/>
          <w:lang w:val="en-US" w:eastAsia="zh-CN"/>
        </w:rPr>
      </w:pPr>
      <w:r>
        <w:rPr>
          <w:rFonts w:hint="eastAsia" w:ascii="仿宋" w:eastAsia="仿宋" w:cs="仿宋"/>
          <w:sz w:val="32"/>
          <w:szCs w:val="32"/>
          <w:u w:val="none"/>
          <w:lang w:val="en-US" w:eastAsia="zh-CN"/>
        </w:rPr>
        <w:t xml:space="preserve"> </w:t>
      </w:r>
    </w:p>
    <w:p w14:paraId="74ACA47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sz w:val="32"/>
          <w:szCs w:val="32"/>
          <w:u w:val="none"/>
          <w:lang w:val="en-US" w:eastAsia="zh-CN"/>
        </w:rPr>
      </w:pPr>
      <w:r>
        <w:rPr>
          <w:rFonts w:hint="eastAsia" w:ascii="仿宋" w:eastAsia="仿宋" w:cs="仿宋"/>
          <w:sz w:val="32"/>
          <w:szCs w:val="32"/>
          <w:u w:val="none"/>
          <w:lang w:val="en-US" w:eastAsia="zh-CN"/>
        </w:rPr>
        <w:t xml:space="preserve"> </w:t>
      </w:r>
    </w:p>
    <w:p w14:paraId="7FC7821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eastAsia="仿宋" w:cs="仿宋"/>
          <w:bCs/>
          <w:sz w:val="32"/>
          <w:szCs w:val="32"/>
        </w:rPr>
      </w:pPr>
      <w:r>
        <w:rPr>
          <w:rFonts w:hint="eastAsia" w:ascii="仿宋_GB2312" w:eastAsia="仿宋_GB2312" w:cs="仿宋_GB2312"/>
          <w:bCs/>
          <w:sz w:val="32"/>
          <w:szCs w:val="32"/>
          <w:lang w:eastAsia="zh-CN"/>
        </w:rPr>
        <w:t>涞</w:t>
      </w:r>
      <w:r>
        <w:rPr>
          <w:rFonts w:ascii="仿宋_GB2312" w:eastAsia="仿宋_GB2312" w:cs="仿宋_GB2312"/>
          <w:bCs/>
          <w:sz w:val="32"/>
          <w:szCs w:val="32"/>
          <w:lang w:eastAsia="zh-CN"/>
        </w:rPr>
        <w:t>统发</w:t>
      </w:r>
      <w:r>
        <w:rPr>
          <w:rFonts w:hint="eastAsia" w:ascii="仿宋_GB2312" w:eastAsia="仿宋_GB2312" w:cs="仿宋_GB2312"/>
          <w:bCs/>
          <w:sz w:val="32"/>
          <w:szCs w:val="32"/>
          <w:lang w:val="en-US" w:eastAsia="zh-CN"/>
        </w:rPr>
        <w:t>〔202</w:t>
      </w:r>
      <w:r>
        <w:rPr>
          <w:rFonts w:ascii="仿宋_GB2312" w:eastAsia="仿宋_GB2312" w:cs="仿宋_GB2312"/>
          <w:bCs/>
          <w:sz w:val="32"/>
          <w:szCs w:val="32"/>
          <w:lang w:val="en-US" w:eastAsia="zh-CN"/>
        </w:rPr>
        <w:t>6</w:t>
      </w:r>
      <w:r>
        <w:rPr>
          <w:rFonts w:hint="eastAsia" w:ascii="仿宋_GB2312" w:eastAsia="仿宋_GB2312" w:cs="仿宋_GB2312"/>
          <w:bCs/>
          <w:sz w:val="32"/>
          <w:szCs w:val="32"/>
          <w:lang w:val="en-US" w:eastAsia="zh-CN"/>
        </w:rPr>
        <w:t>〕</w:t>
      </w:r>
      <w:r>
        <w:rPr>
          <w:rFonts w:ascii="仿宋_GB2312" w:eastAsia="仿宋_GB2312" w:cs="仿宋_GB2312"/>
          <w:bCs/>
          <w:sz w:val="32"/>
          <w:szCs w:val="32"/>
          <w:lang w:val="en-US" w:eastAsia="zh-CN"/>
        </w:rPr>
        <w:t>2</w:t>
      </w:r>
      <w:r>
        <w:rPr>
          <w:rFonts w:hint="eastAsia" w:ascii="仿宋_GB2312" w:eastAsia="仿宋_GB2312" w:cs="仿宋_GB2312"/>
          <w:bCs/>
          <w:sz w:val="32"/>
          <w:szCs w:val="32"/>
        </w:rPr>
        <w:t>号</w:t>
      </w:r>
    </w:p>
    <w:p w14:paraId="1123079B">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ascii="方正小标宋简体" w:eastAsia="方正小标宋简体" w:cs="方正小标宋简体"/>
          <w:bCs/>
          <w:sz w:val="44"/>
          <w:szCs w:val="44"/>
          <w:lang w:val="en-US" w:eastAsia="zh-CN"/>
        </w:rPr>
      </w:pPr>
    </w:p>
    <w:p w14:paraId="155D1C6C">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方正小标宋简体" w:eastAsia="方正小标宋简体" w:cs="方正小标宋简体"/>
          <w:bCs/>
          <w:sz w:val="44"/>
          <w:szCs w:val="44"/>
          <w:lang w:val="en-US" w:eastAsia="zh-CN"/>
        </w:rPr>
      </w:pPr>
      <w:r>
        <w:rPr>
          <w:rFonts w:ascii="方正小标宋简体" w:eastAsia="方正小标宋简体" w:cs="方正小标宋简体"/>
          <w:bCs/>
          <w:sz w:val="44"/>
          <w:szCs w:val="44"/>
          <w:lang w:val="en-US" w:eastAsia="zh-CN"/>
        </w:rPr>
        <w:t>中共涞源县委统战部</w:t>
      </w:r>
    </w:p>
    <w:p w14:paraId="0BE1FCD8">
      <w:pPr>
        <w:keepNext w:val="0"/>
        <w:keepLines w:val="0"/>
        <w:pageBreakBefore w:val="0"/>
        <w:widowControl w:val="0"/>
        <w:kinsoku/>
        <w:wordWrap/>
        <w:overflowPunct/>
        <w:topLinePunct w:val="0"/>
        <w:autoSpaceDE/>
        <w:autoSpaceDN/>
        <w:adjustRightInd w:val="0"/>
        <w:snapToGrid w:val="0"/>
        <w:spacing w:line="560" w:lineRule="exact"/>
        <w:jc w:val="center"/>
        <w:rPr>
          <w:rFonts w:ascii="方正小标宋简体" w:eastAsia="方正小标宋简体" w:cs="方正小标宋简体"/>
          <w:bCs/>
          <w:sz w:val="44"/>
          <w:szCs w:val="44"/>
          <w:lang w:val="en-US" w:eastAsia="zh-CN"/>
        </w:rPr>
      </w:pPr>
      <w:r>
        <w:rPr>
          <w:rFonts w:hint="eastAsia" w:ascii="方正小标宋简体" w:eastAsia="方正小标宋简体" w:cs="方正小标宋简体"/>
          <w:bCs/>
          <w:sz w:val="44"/>
          <w:szCs w:val="44"/>
          <w:lang w:val="en-US" w:eastAsia="zh-CN"/>
        </w:rPr>
        <w:t>关于印发《2026年</w:t>
      </w:r>
      <w:r>
        <w:rPr>
          <w:rFonts w:ascii="方正小标宋简体" w:eastAsia="方正小标宋简体" w:cs="方正小标宋简体"/>
          <w:bCs/>
          <w:sz w:val="44"/>
          <w:szCs w:val="44"/>
          <w:lang w:val="en-US" w:eastAsia="zh-CN"/>
        </w:rPr>
        <w:t>中共涞源县委统战部</w:t>
      </w:r>
      <w:r>
        <w:rPr>
          <w:rFonts w:hint="eastAsia" w:ascii="方正小标宋简体" w:eastAsia="方正小标宋简体" w:cs="方正小标宋简体"/>
          <w:bCs/>
          <w:sz w:val="44"/>
          <w:szCs w:val="44"/>
          <w:lang w:val="en-US" w:eastAsia="zh-CN"/>
        </w:rPr>
        <w:t>“双随机、一公开”监管工作实施方案》的</w:t>
      </w:r>
    </w:p>
    <w:p w14:paraId="6DD9C2DB">
      <w:pPr>
        <w:keepNext w:val="0"/>
        <w:keepLines w:val="0"/>
        <w:pageBreakBefore w:val="0"/>
        <w:widowControl w:val="0"/>
        <w:kinsoku/>
        <w:wordWrap/>
        <w:overflowPunct/>
        <w:topLinePunct w:val="0"/>
        <w:autoSpaceDE/>
        <w:autoSpaceDN/>
        <w:adjustRightInd w:val="0"/>
        <w:snapToGrid w:val="0"/>
        <w:spacing w:line="560" w:lineRule="exact"/>
        <w:jc w:val="center"/>
        <w:rPr>
          <w:rFonts w:hint="eastAsia" w:ascii="方正小标宋简体" w:eastAsia="方正小标宋简体" w:cs="方正小标宋简体"/>
          <w:bCs/>
          <w:sz w:val="44"/>
          <w:szCs w:val="44"/>
          <w:lang w:val="en-US" w:eastAsia="zh-CN"/>
        </w:rPr>
      </w:pPr>
      <w:r>
        <w:rPr>
          <w:rFonts w:hint="eastAsia" w:ascii="方正小标宋简体" w:eastAsia="方正小标宋简体" w:cs="方正小标宋简体"/>
          <w:bCs/>
          <w:sz w:val="44"/>
          <w:szCs w:val="44"/>
          <w:lang w:val="en-US" w:eastAsia="zh-CN"/>
        </w:rPr>
        <w:t>通</w:t>
      </w:r>
      <w:r>
        <w:rPr>
          <w:rFonts w:ascii="方正小标宋简体" w:eastAsia="方正小标宋简体" w:cs="方正小标宋简体"/>
          <w:bCs/>
          <w:sz w:val="44"/>
          <w:szCs w:val="44"/>
          <w:lang w:val="en-US" w:eastAsia="zh-CN"/>
        </w:rPr>
        <w:t xml:space="preserve">  </w:t>
      </w:r>
      <w:r>
        <w:rPr>
          <w:rFonts w:hint="eastAsia" w:ascii="方正小标宋简体" w:eastAsia="方正小标宋简体" w:cs="方正小标宋简体"/>
          <w:bCs/>
          <w:sz w:val="44"/>
          <w:szCs w:val="44"/>
          <w:lang w:val="en-US" w:eastAsia="zh-CN"/>
        </w:rPr>
        <w:t>知</w:t>
      </w:r>
    </w:p>
    <w:p w14:paraId="6C6B1A12">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eastAsia" w:ascii="方正小标宋简体" w:eastAsia="方正小标宋简体" w:cs="方正小标宋简体"/>
          <w:bCs/>
          <w:sz w:val="44"/>
          <w:szCs w:val="44"/>
          <w:lang w:val="en-US" w:eastAsia="zh-CN"/>
        </w:rPr>
      </w:pPr>
    </w:p>
    <w:p w14:paraId="2C6F5CA4">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eastAsia" w:ascii="仿宋_GB2312" w:eastAsia="仿宋_GB2312" w:cs="仿宋_GB2312"/>
          <w:bCs/>
          <w:sz w:val="32"/>
          <w:szCs w:val="32"/>
          <w:u w:val="none"/>
          <w:lang w:val="en-US" w:eastAsia="zh-CN"/>
        </w:rPr>
      </w:pPr>
      <w:r>
        <w:rPr>
          <w:rFonts w:hint="eastAsia" w:ascii="仿宋_GB2312" w:eastAsia="仿宋_GB2312" w:cs="仿宋_GB2312"/>
          <w:bCs/>
          <w:sz w:val="32"/>
          <w:szCs w:val="32"/>
          <w:u w:val="none"/>
          <w:lang w:val="en-US" w:eastAsia="zh-CN"/>
        </w:rPr>
        <w:t>各</w:t>
      </w:r>
      <w:r>
        <w:rPr>
          <w:rFonts w:ascii="仿宋_GB2312" w:eastAsia="仿宋_GB2312" w:cs="仿宋_GB2312"/>
          <w:bCs/>
          <w:sz w:val="32"/>
          <w:szCs w:val="32"/>
          <w:u w:val="none"/>
          <w:lang w:val="en-US" w:eastAsia="zh-CN"/>
        </w:rPr>
        <w:t>有关股室</w:t>
      </w:r>
      <w:r>
        <w:rPr>
          <w:rFonts w:hint="eastAsia" w:ascii="仿宋_GB2312" w:eastAsia="仿宋_GB2312" w:cs="仿宋_GB2312"/>
          <w:bCs/>
          <w:sz w:val="32"/>
          <w:szCs w:val="32"/>
          <w:u w:val="none"/>
          <w:lang w:val="en-US" w:eastAsia="zh-CN"/>
        </w:rPr>
        <w:t>：</w:t>
      </w:r>
    </w:p>
    <w:p w14:paraId="0C4BEF1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uppressAutoHyphens w:val="0"/>
        <w:kinsoku/>
        <w:wordWrap/>
        <w:overflowPunct/>
        <w:topLinePunct w:val="0"/>
        <w:autoSpaceDE/>
        <w:autoSpaceDN/>
        <w:adjustRightInd w:val="0"/>
        <w:snapToGrid w:val="0"/>
        <w:spacing w:line="560" w:lineRule="exact"/>
        <w:ind w:firstLine="640" w:firstLineChars="200"/>
        <w:contextualSpacing w:val="0"/>
        <w:rPr>
          <w:rFonts w:hint="eastAsia" w:ascii="仿宋_GB2312" w:eastAsia="仿宋_GB2312" w:cs="仿宋_GB2312"/>
          <w:bCs/>
          <w:sz w:val="32"/>
          <w:szCs w:val="32"/>
        </w:rPr>
      </w:pPr>
      <w:r>
        <w:rPr>
          <w:rFonts w:hint="eastAsia" w:ascii="仿宋_GB2312" w:eastAsia="仿宋_GB2312" w:cs="仿宋_GB2312"/>
          <w:bCs/>
          <w:sz w:val="32"/>
          <w:szCs w:val="32"/>
        </w:rPr>
        <w:t>现将《</w:t>
      </w:r>
      <w:r>
        <w:rPr>
          <w:rFonts w:hint="eastAsia" w:ascii="仿宋_GB2312" w:eastAsia="仿宋_GB2312" w:cs="仿宋_GB2312"/>
          <w:bCs/>
          <w:sz w:val="32"/>
          <w:szCs w:val="32"/>
          <w:lang w:val="en-US" w:eastAsia="zh-CN"/>
        </w:rPr>
        <w:t>2026年涞源县统战系统“双随机、一公开”监管工作实施方案</w:t>
      </w:r>
      <w:r>
        <w:rPr>
          <w:rFonts w:hint="eastAsia" w:ascii="仿宋_GB2312" w:eastAsia="仿宋_GB2312" w:cs="仿宋_GB2312"/>
          <w:bCs/>
          <w:sz w:val="32"/>
          <w:szCs w:val="32"/>
        </w:rPr>
        <w:t>》印发给你们，请结合</w:t>
      </w:r>
      <w:r>
        <w:rPr>
          <w:rFonts w:hint="eastAsia" w:ascii="仿宋_GB2312" w:eastAsia="仿宋_GB2312" w:cs="仿宋_GB2312"/>
          <w:bCs/>
          <w:sz w:val="32"/>
          <w:szCs w:val="32"/>
          <w:lang w:eastAsia="zh-CN"/>
        </w:rPr>
        <w:t>各</w:t>
      </w:r>
      <w:r>
        <w:rPr>
          <w:rFonts w:hint="eastAsia" w:ascii="仿宋_GB2312" w:eastAsia="仿宋_GB2312" w:cs="仿宋_GB2312"/>
          <w:bCs/>
          <w:sz w:val="32"/>
          <w:szCs w:val="32"/>
        </w:rPr>
        <w:t>工作实际，认真组织实施。</w:t>
      </w:r>
    </w:p>
    <w:p w14:paraId="74309680">
      <w:pPr>
        <w:keepNext w:val="0"/>
        <w:keepLines w:val="0"/>
        <w:pageBreakBefore w:val="0"/>
        <w:widowControl w:val="0"/>
        <w:kinsoku/>
        <w:overflowPunct/>
        <w:topLinePunct w:val="0"/>
        <w:autoSpaceDE/>
        <w:autoSpaceDN/>
        <w:bidi w:val="0"/>
        <w:adjustRightInd w:val="0"/>
        <w:snapToGrid w:val="0"/>
        <w:spacing w:line="560" w:lineRule="exact"/>
        <w:ind w:firstLine="640" w:firstLineChars="200"/>
        <w:textAlignment w:val="auto"/>
        <w:rPr>
          <w:rFonts w:ascii="仿宋_GB2312" w:eastAsia="仿宋_GB2312" w:cs="仿宋_GB2312"/>
          <w:bCs/>
          <w:sz w:val="32"/>
          <w:szCs w:val="32"/>
        </w:rPr>
      </w:pPr>
    </w:p>
    <w:p w14:paraId="581F2F8A">
      <w:pPr>
        <w:keepNext w:val="0"/>
        <w:keepLines w:val="0"/>
        <w:pageBreakBefore w:val="0"/>
        <w:widowControl w:val="0"/>
        <w:kinsoku/>
        <w:overflowPunct/>
        <w:topLinePunct w:val="0"/>
        <w:autoSpaceDE/>
        <w:autoSpaceDN/>
        <w:bidi w:val="0"/>
        <w:adjustRightInd w:val="0"/>
        <w:snapToGrid w:val="0"/>
        <w:spacing w:line="560" w:lineRule="exact"/>
        <w:ind w:firstLine="640" w:firstLineChars="200"/>
        <w:textAlignment w:val="auto"/>
        <w:rPr>
          <w:rFonts w:hint="eastAsia" w:ascii="仿宋_GB2312" w:eastAsia="仿宋_GB2312" w:cs="仿宋_GB2312"/>
          <w:bCs/>
          <w:sz w:val="32"/>
          <w:szCs w:val="32"/>
        </w:rPr>
      </w:pPr>
    </w:p>
    <w:p w14:paraId="4754FB3D">
      <w:pPr>
        <w:keepNext w:val="0"/>
        <w:keepLines w:val="0"/>
        <w:pageBreakBefore w:val="0"/>
        <w:widowControl w:val="0"/>
        <w:kinsoku/>
        <w:wordWrap w:val="0"/>
        <w:overflowPunct/>
        <w:topLinePunct w:val="0"/>
        <w:autoSpaceDE/>
        <w:autoSpaceDN/>
        <w:bidi w:val="0"/>
        <w:adjustRightInd w:val="0"/>
        <w:snapToGrid w:val="0"/>
        <w:spacing w:line="560" w:lineRule="exact"/>
        <w:ind w:firstLine="4800" w:firstLineChars="1500"/>
        <w:textAlignment w:val="auto"/>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 xml:space="preserve"> </w:t>
      </w:r>
      <w:r>
        <w:rPr>
          <w:rFonts w:ascii="仿宋_GB2312" w:eastAsia="仿宋_GB2312" w:cs="仿宋_GB2312"/>
          <w:sz w:val="32"/>
          <w:szCs w:val="32"/>
          <w:lang w:val="en-US" w:eastAsia="zh-CN"/>
        </w:rPr>
        <w:t xml:space="preserve"> </w:t>
      </w:r>
      <w:r>
        <w:rPr>
          <w:rFonts w:ascii="仿宋_GB2312" w:eastAsia="仿宋_GB2312" w:cs="仿宋_GB2312"/>
          <w:sz w:val="32"/>
          <w:szCs w:val="32"/>
          <w:lang w:eastAsia="zh-CN"/>
        </w:rPr>
        <w:t>中共涞源县委统战部</w:t>
      </w:r>
      <w:r>
        <w:rPr>
          <w:rFonts w:hint="eastAsia" w:ascii="仿宋_GB2312" w:eastAsia="仿宋_GB2312" w:cs="仿宋_GB2312"/>
          <w:sz w:val="32"/>
          <w:szCs w:val="32"/>
          <w:lang w:val="en-US" w:eastAsia="zh-CN"/>
        </w:rPr>
        <w:t xml:space="preserve"> </w:t>
      </w:r>
    </w:p>
    <w:p w14:paraId="36F669E9">
      <w:pPr>
        <w:keepNext w:val="0"/>
        <w:keepLines w:val="0"/>
        <w:pageBreakBefore w:val="0"/>
        <w:widowControl w:val="0"/>
        <w:kinsoku/>
        <w:wordWrap w:val="0"/>
        <w:overflowPunct/>
        <w:topLinePunct w:val="0"/>
        <w:autoSpaceDE/>
        <w:autoSpaceDN/>
        <w:bidi w:val="0"/>
        <w:adjustRightInd w:val="0"/>
        <w:snapToGrid w:val="0"/>
        <w:spacing w:line="560" w:lineRule="exact"/>
        <w:textAlignment w:val="auto"/>
        <w:rPr>
          <w:rFonts w:ascii="仿宋" w:eastAsia="仿宋" w:cs="Times New Roman"/>
          <w:sz w:val="32"/>
          <w:szCs w:val="32"/>
          <w:lang w:val="en-US" w:eastAsia="zh-CN"/>
        </w:rPr>
      </w:pPr>
      <w:r>
        <w:rPr>
          <w:rFonts w:ascii="仿宋_GB2312" w:eastAsia="仿宋_GB2312" w:cs="仿宋_GB2312"/>
          <w:sz w:val="32"/>
          <w:szCs w:val="32"/>
        </w:rPr>
        <w:t xml:space="preserve">                                  </w:t>
      </w:r>
      <w:r>
        <w:rPr>
          <w:rFonts w:hint="eastAsia" w:ascii="仿宋_GB2312" w:eastAsia="仿宋_GB2312" w:cs="仿宋_GB2312"/>
          <w:sz w:val="32"/>
          <w:szCs w:val="32"/>
        </w:rPr>
        <w:t>202</w:t>
      </w:r>
      <w:r>
        <w:rPr>
          <w:rFonts w:ascii="仿宋_GB2312" w:eastAsia="仿宋_GB2312" w:cs="仿宋_GB2312"/>
          <w:sz w:val="32"/>
          <w:szCs w:val="32"/>
        </w:rPr>
        <w:t>6</w:t>
      </w:r>
      <w:r>
        <w:rPr>
          <w:rFonts w:hint="eastAsia" w:ascii="仿宋_GB2312" w:eastAsia="仿宋_GB2312" w:cs="仿宋_GB2312"/>
          <w:sz w:val="32"/>
          <w:szCs w:val="32"/>
        </w:rPr>
        <w:t>年</w:t>
      </w:r>
      <w:r>
        <w:rPr>
          <w:rFonts w:ascii="仿宋_GB2312" w:eastAsia="仿宋_GB2312" w:cs="仿宋_GB2312"/>
          <w:sz w:val="32"/>
          <w:szCs w:val="32"/>
          <w:lang w:val="en-US" w:eastAsia="zh-CN"/>
        </w:rPr>
        <w:t>2</w:t>
      </w:r>
      <w:r>
        <w:rPr>
          <w:rFonts w:hint="eastAsia" w:ascii="仿宋_GB2312" w:eastAsia="仿宋_GB2312" w:cs="仿宋_GB2312"/>
          <w:sz w:val="32"/>
          <w:szCs w:val="32"/>
        </w:rPr>
        <w:t>月</w:t>
      </w:r>
      <w:r>
        <w:rPr>
          <w:rFonts w:ascii="仿宋_GB2312" w:eastAsia="仿宋_GB2312" w:cs="仿宋_GB2312"/>
          <w:sz w:val="32"/>
          <w:szCs w:val="32"/>
          <w:lang w:val="en-US" w:eastAsia="zh-CN"/>
        </w:rPr>
        <w:t>13</w:t>
      </w:r>
      <w:r>
        <w:rPr>
          <w:rFonts w:hint="eastAsia" w:ascii="仿宋_GB2312" w:eastAsia="仿宋_GB2312" w:cs="仿宋_GB2312"/>
          <w:sz w:val="32"/>
          <w:szCs w:val="32"/>
        </w:rPr>
        <w:t>日</w:t>
      </w:r>
      <w:r>
        <w:rPr>
          <w:rFonts w:hint="eastAsia" w:ascii="仿宋" w:eastAsia="仿宋" w:cs="Times New Roman"/>
          <w:sz w:val="32"/>
          <w:szCs w:val="32"/>
          <w:lang w:val="en-US" w:eastAsia="zh-CN"/>
        </w:rPr>
        <w:t xml:space="preserve">    </w:t>
      </w:r>
    </w:p>
    <w:p w14:paraId="4132B8FD">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eastAsia" w:ascii="仿宋" w:eastAsia="仿宋" w:cs="仿宋"/>
          <w:bCs/>
          <w:sz w:val="32"/>
          <w:szCs w:val="32"/>
          <w:u w:val="none"/>
          <w:lang w:val="en-US" w:eastAsia="zh-CN"/>
        </w:rPr>
      </w:pPr>
    </w:p>
    <w:p w14:paraId="3501ABA2">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eastAsia" w:ascii="仿宋" w:eastAsia="仿宋" w:cs="仿宋"/>
          <w:bCs/>
          <w:sz w:val="32"/>
          <w:szCs w:val="32"/>
          <w:u w:val="none"/>
          <w:lang w:val="en-US" w:eastAsia="zh-CN"/>
        </w:rPr>
      </w:pPr>
    </w:p>
    <w:p w14:paraId="79FAF36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小标宋简体" w:eastAsia="方正小标宋简体" w:cs="方正小标宋简体"/>
          <w:color w:val="000000"/>
          <w:sz w:val="44"/>
          <w:szCs w:val="44"/>
        </w:rPr>
        <w:sectPr>
          <w:footerReference r:id="rId5" w:type="first"/>
          <w:footerReference r:id="rId3" w:type="default"/>
          <w:footerReference r:id="rId4" w:type="even"/>
          <w:pgSz w:w="11906" w:h="16838"/>
          <w:pgMar w:top="2098" w:right="1474" w:bottom="1984" w:left="1587" w:header="851" w:footer="992" w:gutter="0"/>
          <w:pgNumType w:fmt="numberInDash" w:start="1"/>
          <w:cols w:space="720" w:num="1"/>
          <w:rtlGutter w:val="1"/>
          <w:docGrid w:type="lines" w:linePitch="312" w:charSpace="0"/>
        </w:sectPr>
      </w:pPr>
    </w:p>
    <w:p w14:paraId="31B559CF">
      <w:pPr>
        <w:keepNext w:val="0"/>
        <w:keepLines w:val="0"/>
        <w:pageBreakBefore w:val="0"/>
        <w:widowControl w:val="0"/>
        <w:kinsoku/>
        <w:wordWrap/>
        <w:overflowPunct/>
        <w:topLinePunct w:val="0"/>
        <w:autoSpaceDE/>
        <w:autoSpaceDN/>
        <w:bidi w:val="0"/>
        <w:adjustRightInd/>
        <w:snapToGrid/>
        <w:spacing w:line="600" w:lineRule="exact"/>
        <w:ind w:left="0"/>
        <w:jc w:val="center"/>
        <w:rPr>
          <w:rFonts w:hint="eastAsia" w:ascii="仿宋_GB2312" w:eastAsia="仿宋_GB2312" w:cs="仿宋_GB2312"/>
          <w:color w:val="000000"/>
          <w:sz w:val="32"/>
          <w:szCs w:val="32"/>
        </w:rPr>
      </w:pPr>
      <w:r>
        <w:rPr>
          <w:rFonts w:hint="eastAsia" w:ascii="方正小标宋简体" w:eastAsia="方正小标宋简体" w:cs="方正小标宋简体"/>
          <w:bCs/>
          <w:color w:val="000000"/>
          <w:sz w:val="44"/>
          <w:szCs w:val="44"/>
          <w:lang w:val="en-US" w:eastAsia="zh-CN"/>
        </w:rPr>
        <w:t>2026年</w:t>
      </w:r>
      <w:r>
        <w:rPr>
          <w:rFonts w:ascii="方正小标宋简体" w:eastAsia="方正小标宋简体" w:cs="方正小标宋简体"/>
          <w:bCs/>
          <w:color w:val="000000"/>
          <w:sz w:val="44"/>
          <w:szCs w:val="44"/>
          <w:lang w:val="en-US" w:eastAsia="zh-CN"/>
        </w:rPr>
        <w:t>涞源县统战系统</w:t>
      </w:r>
      <w:r>
        <w:rPr>
          <w:rFonts w:hint="eastAsia" w:ascii="方正小标宋简体" w:eastAsia="方正小标宋简体" w:cs="方正小标宋简体"/>
          <w:bCs/>
          <w:color w:val="000000"/>
          <w:sz w:val="44"/>
          <w:szCs w:val="44"/>
          <w:lang w:val="en-US" w:eastAsia="zh-CN"/>
        </w:rPr>
        <w:t>“双随机、一公开”监管工作实施方案</w:t>
      </w:r>
    </w:p>
    <w:p w14:paraId="26AC1128">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仿宋_GB2312" w:eastAsia="仿宋_GB2312" w:cs="仿宋_GB2312"/>
          <w:color w:val="000000"/>
          <w:sz w:val="32"/>
          <w:szCs w:val="32"/>
        </w:rPr>
      </w:pPr>
    </w:p>
    <w:p w14:paraId="76B81B5E">
      <w:pPr>
        <w:pStyle w:val="13"/>
        <w:widowControl w:val="0"/>
        <w:spacing w:before="0" w:after="0" w:line="600" w:lineRule="exact"/>
        <w:ind w:left="0" w:firstLine="640" w:firstLineChars="200"/>
        <w:jc w:val="both"/>
        <w:rPr>
          <w:rFonts w:hint="eastAsia" w:ascii="仿宋_GB2312" w:eastAsia="仿宋_GB2312"/>
          <w:sz w:val="32"/>
          <w:szCs w:val="32"/>
        </w:rPr>
      </w:pPr>
      <w:r>
        <w:rPr>
          <w:rFonts w:hint="eastAsia" w:ascii="仿宋_GB2312" w:eastAsia="仿宋_GB2312"/>
          <w:sz w:val="32"/>
          <w:szCs w:val="32"/>
        </w:rPr>
        <w:t>为深入贯彻落实国家、省、市</w:t>
      </w:r>
      <w:r>
        <w:rPr>
          <w:rFonts w:ascii="仿宋_GB2312" w:eastAsia="仿宋_GB2312"/>
          <w:sz w:val="32"/>
          <w:szCs w:val="32"/>
        </w:rPr>
        <w:t>、县</w:t>
      </w:r>
      <w:r>
        <w:rPr>
          <w:rFonts w:hint="eastAsia" w:ascii="仿宋_GB2312" w:eastAsia="仿宋_GB2312"/>
          <w:sz w:val="32"/>
          <w:szCs w:val="32"/>
        </w:rPr>
        <w:t>关于优化营商环境及规范涉企行政检查的部署要求，持续深化“双随机、一公开”监管，</w:t>
      </w:r>
      <w:r>
        <w:rPr>
          <w:rFonts w:ascii="仿宋_GB2312" w:eastAsia="仿宋_GB2312"/>
          <w:sz w:val="32"/>
          <w:szCs w:val="32"/>
        </w:rPr>
        <w:t>全面</w:t>
      </w:r>
      <w:r>
        <w:rPr>
          <w:rFonts w:hint="eastAsia" w:ascii="仿宋_GB2312" w:eastAsia="仿宋_GB2312"/>
          <w:sz w:val="32"/>
          <w:szCs w:val="32"/>
        </w:rPr>
        <w:t>提升民族事务治理法治化水平，根据《国务院办公厅关于严格规范涉企行政检查的意见》（国办发〔2024〕54号）、《河北省清真食品管理条例》及省、市统战部门有关工作要求，结合我县统战工作实际，制定本方案。</w:t>
      </w:r>
    </w:p>
    <w:p w14:paraId="20F90C88">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eastAsia="黑体" w:cs="黑体"/>
          <w:color w:val="000000"/>
          <w:sz w:val="32"/>
          <w:szCs w:val="32"/>
        </w:rPr>
      </w:pPr>
      <w:r>
        <w:rPr>
          <w:rFonts w:hint="eastAsia" w:ascii="黑体" w:eastAsia="黑体" w:cs="黑体"/>
          <w:color w:val="000000"/>
          <w:sz w:val="32"/>
          <w:szCs w:val="32"/>
        </w:rPr>
        <w:t>一、工作目标</w:t>
      </w:r>
    </w:p>
    <w:p w14:paraId="01EAFFC6">
      <w:pPr>
        <w:keepNext w:val="0"/>
        <w:keepLines w:val="0"/>
        <w:pageBreakBefore w:val="0"/>
        <w:widowControl w:val="0"/>
        <w:kinsoku/>
        <w:wordWrap/>
        <w:overflowPunct/>
        <w:topLinePunct w:val="0"/>
        <w:autoSpaceDE/>
        <w:autoSpaceDN/>
        <w:adjustRightInd/>
        <w:snapToGrid/>
        <w:spacing w:line="600" w:lineRule="exact"/>
        <w:ind w:firstLine="643" w:firstLineChars="200"/>
        <w:rPr>
          <w:rFonts w:hint="eastAsia" w:ascii="楷体_GB2312" w:eastAsia="楷体_GB2312" w:cs="仿宋_GB2312"/>
          <w:b/>
          <w:bCs/>
          <w:color w:val="000000"/>
          <w:sz w:val="32"/>
          <w:szCs w:val="32"/>
        </w:rPr>
      </w:pPr>
      <w:r>
        <w:rPr>
          <w:rFonts w:hint="eastAsia" w:ascii="楷体_GB2312" w:eastAsia="楷体_GB2312" w:cs="仿宋_GB2312"/>
          <w:b/>
          <w:bCs/>
          <w:color w:val="000000"/>
          <w:sz w:val="32"/>
          <w:szCs w:val="32"/>
        </w:rPr>
        <w:t>（一）深化联合抽查，实现常态覆盖</w:t>
      </w:r>
      <w:r>
        <w:rPr>
          <w:rFonts w:ascii="楷体_GB2312" w:eastAsia="楷体_GB2312" w:cs="仿宋_GB2312"/>
          <w:b/>
          <w:bCs/>
          <w:color w:val="000000"/>
          <w:sz w:val="32"/>
          <w:szCs w:val="32"/>
        </w:rPr>
        <w:t>。</w:t>
      </w:r>
      <w:r>
        <w:rPr>
          <w:rFonts w:hint="eastAsia" w:ascii="仿宋_GB2312" w:eastAsia="仿宋_GB2312" w:cs="仿宋_GB2312"/>
          <w:color w:val="000000"/>
          <w:sz w:val="32"/>
          <w:szCs w:val="32"/>
        </w:rPr>
        <w:t>深化统战系统内部联合随机抽查，减少对清真食品生产经营主体正常经营活动的干扰。不断扩大联合随机抽查的覆盖面，整合统战系统内各相关股室业务条线双随机抽查工作，做到“应联尽联”，进一步拓展“一业一查”联合模式。联合抽查次数占随机抽查总次数的比例不低于70%，联合抽查户数占随机抽查总户数的比例不低于50%</w:t>
      </w:r>
      <w:r>
        <w:rPr>
          <w:rFonts w:ascii="仿宋_GB2312" w:eastAsia="仿宋_GB2312" w:cs="仿宋_GB2312"/>
          <w:color w:val="000000"/>
          <w:sz w:val="32"/>
          <w:szCs w:val="32"/>
        </w:rPr>
        <w:t>，</w:t>
      </w:r>
      <w:r>
        <w:rPr>
          <w:rFonts w:hint="eastAsia" w:ascii="仿宋_GB2312" w:eastAsia="仿宋_GB2312" w:cs="仿宋_GB2312"/>
          <w:color w:val="000000"/>
          <w:sz w:val="32"/>
          <w:szCs w:val="32"/>
        </w:rPr>
        <w:t>确保“双随机、一公开”监管在民族事务领域全覆盖、常态化、精细化、智能化。</w:t>
      </w:r>
    </w:p>
    <w:p w14:paraId="693EE99E">
      <w:pPr>
        <w:keepNext w:val="0"/>
        <w:keepLines w:val="0"/>
        <w:pageBreakBefore w:val="0"/>
        <w:widowControl w:val="0"/>
        <w:kinsoku/>
        <w:wordWrap/>
        <w:overflowPunct/>
        <w:topLinePunct w:val="0"/>
        <w:autoSpaceDE/>
        <w:autoSpaceDN/>
        <w:adjustRightInd/>
        <w:snapToGrid/>
        <w:spacing w:after="0" w:line="600" w:lineRule="exact"/>
        <w:ind w:firstLine="643" w:firstLineChars="200"/>
        <w:rPr>
          <w:rFonts w:hint="eastAsia" w:ascii="仿宋_GB2312" w:eastAsia="仿宋_GB2312" w:cs="仿宋_GB2312"/>
          <w:color w:val="000000"/>
          <w:sz w:val="32"/>
          <w:szCs w:val="32"/>
        </w:rPr>
      </w:pPr>
      <w:r>
        <w:rPr>
          <w:rFonts w:hint="eastAsia" w:ascii="楷体_GB2312" w:eastAsia="楷体_GB2312" w:cs="仿宋_GB2312"/>
          <w:b/>
          <w:bCs/>
          <w:color w:val="000000"/>
          <w:sz w:val="32"/>
          <w:szCs w:val="32"/>
        </w:rPr>
        <w:t>（二）推进信用分级，实施精准监管。</w:t>
      </w:r>
      <w:r>
        <w:rPr>
          <w:rFonts w:hint="eastAsia" w:ascii="仿宋_GB2312" w:eastAsia="仿宋_GB2312" w:cs="仿宋_GB2312"/>
          <w:color w:val="000000"/>
          <w:sz w:val="32"/>
          <w:szCs w:val="32"/>
        </w:rPr>
        <w:t>加快推进“双随机、一公开”监管与清真食品经营主体信用风险分级分类相结合，针对不同风险等级合理确定抽查比例和频次，深入推进差异化抽查。全年运用信用风险分级分类开展随机抽查次数占总抽查次数的比例力争达到100%。</w:t>
      </w:r>
    </w:p>
    <w:p w14:paraId="7E63925B">
      <w:pPr>
        <w:keepNext w:val="0"/>
        <w:keepLines w:val="0"/>
        <w:pageBreakBefore w:val="0"/>
        <w:widowControl w:val="0"/>
        <w:kinsoku/>
        <w:wordWrap/>
        <w:overflowPunct/>
        <w:topLinePunct w:val="0"/>
        <w:autoSpaceDE/>
        <w:autoSpaceDN/>
        <w:bidi w:val="0"/>
        <w:adjustRightInd/>
        <w:snapToGrid/>
        <w:spacing w:line="600" w:lineRule="exact"/>
        <w:ind w:firstLine="643" w:firstLineChars="200"/>
        <w:rPr>
          <w:rFonts w:hint="eastAsia" w:ascii="仿宋_GB2312" w:eastAsia="仿宋_GB2312" w:cs="仿宋_GB2312"/>
          <w:color w:val="000000"/>
          <w:sz w:val="32"/>
          <w:szCs w:val="32"/>
        </w:rPr>
      </w:pPr>
      <w:r>
        <w:rPr>
          <w:rFonts w:hint="eastAsia" w:ascii="楷体_GB2312" w:eastAsia="楷体_GB2312" w:cs="仿宋_GB2312"/>
          <w:b/>
          <w:bCs/>
          <w:color w:val="000000"/>
          <w:sz w:val="32"/>
          <w:szCs w:val="32"/>
        </w:rPr>
        <w:t>（三）强化闭环处置，提升执法效能。</w:t>
      </w:r>
      <w:r>
        <w:rPr>
          <w:rFonts w:hint="eastAsia" w:ascii="仿宋_GB2312" w:eastAsia="仿宋_GB2312" w:cs="仿宋_GB2312"/>
          <w:color w:val="000000"/>
          <w:sz w:val="32"/>
          <w:szCs w:val="32"/>
        </w:rPr>
        <w:t>提高抽查检查结果发现问题率。对检查发现的问题依法依规调查处理，督促整改到位，结合投诉举报、舆情监测、风险预警等情形，提高问题处置效率，形成监管闭环。抽查检查结果按时公示率100%，问题后续处置率100%，切实提升随机抽查效能。</w:t>
      </w:r>
    </w:p>
    <w:p w14:paraId="124FB5C9">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eastAsia="黑体" w:cs="黑体"/>
          <w:color w:val="000000"/>
          <w:sz w:val="32"/>
          <w:szCs w:val="32"/>
        </w:rPr>
      </w:pPr>
      <w:r>
        <w:rPr>
          <w:rFonts w:hint="eastAsia" w:ascii="黑体" w:eastAsia="黑体" w:cs="黑体"/>
          <w:color w:val="000000"/>
          <w:sz w:val="32"/>
          <w:szCs w:val="32"/>
        </w:rPr>
        <w:t>二、主要工作任务</w:t>
      </w:r>
    </w:p>
    <w:p w14:paraId="43A5625B">
      <w:pPr>
        <w:keepNext w:val="0"/>
        <w:keepLines w:val="0"/>
        <w:pageBreakBefore w:val="0"/>
        <w:widowControl w:val="0"/>
        <w:kinsoku/>
        <w:wordWrap/>
        <w:overflowPunct/>
        <w:topLinePunct w:val="0"/>
        <w:autoSpaceDE/>
        <w:autoSpaceDN/>
        <w:adjustRightInd/>
        <w:snapToGrid/>
        <w:spacing w:line="600" w:lineRule="exact"/>
        <w:ind w:firstLine="643" w:firstLineChars="200"/>
        <w:rPr>
          <w:rFonts w:ascii="仿宋_GB2312" w:eastAsia="仿宋_GB2312" w:cs="仿宋_GB2312"/>
          <w:color w:val="000000"/>
          <w:sz w:val="32"/>
          <w:szCs w:val="32"/>
        </w:rPr>
      </w:pPr>
      <w:r>
        <w:rPr>
          <w:rFonts w:hint="eastAsia" w:ascii="楷体_GB2312" w:eastAsia="楷体_GB2312" w:cs="楷体"/>
          <w:b/>
          <w:bCs/>
          <w:color w:val="000000"/>
          <w:sz w:val="32"/>
          <w:szCs w:val="32"/>
        </w:rPr>
        <w:t>（一）健全基础体系</w:t>
      </w:r>
      <w:r>
        <w:rPr>
          <w:rFonts w:ascii="楷体_GB2312" w:eastAsia="楷体_GB2312" w:cs="楷体"/>
          <w:b/>
          <w:bCs/>
          <w:color w:val="000000"/>
          <w:sz w:val="32"/>
          <w:szCs w:val="32"/>
        </w:rPr>
        <w:t>，</w:t>
      </w:r>
      <w:r>
        <w:rPr>
          <w:rFonts w:hint="eastAsia" w:ascii="楷体_GB2312" w:eastAsia="楷体_GB2312" w:cs="楷体"/>
          <w:b/>
          <w:bCs/>
          <w:color w:val="000000"/>
          <w:sz w:val="32"/>
          <w:szCs w:val="32"/>
        </w:rPr>
        <w:t>筑牢监管根基。</w:t>
      </w:r>
      <w:r>
        <w:rPr>
          <w:rFonts w:hint="eastAsia" w:ascii="仿宋_GB2312" w:eastAsia="仿宋_GB2312" w:cs="仿宋_GB2312"/>
          <w:color w:val="000000"/>
          <w:sz w:val="32"/>
          <w:szCs w:val="32"/>
        </w:rPr>
        <w:t>依托河北省双随机执法监管平台，持续推进“一单两库一指引”标准化建设。各相关股室要按照《河北省清真食品管理条例》等法规明确的监管事项，认真梳理涉及清真食品生产经营、民族政策贯彻落实等抽查事项，做到监管事项无遗漏。按照“谁建立、谁管理”的原则，动态调整随机抽查事项清单、检查对象名录库（重点涵盖清真食品生产加工企业、餐饮服务单位等）、执法检查人员名录库（具有民族事务执法资格的人员）和随机抽查工作指引。综合考虑执法队伍实际、人员专长等因素，提升分类标注的科学性，提高人员匹配精准性和检查高效性。</w:t>
      </w:r>
    </w:p>
    <w:p w14:paraId="61E123C8">
      <w:pPr>
        <w:keepNext w:val="0"/>
        <w:keepLines w:val="0"/>
        <w:pageBreakBefore w:val="0"/>
        <w:widowControl w:val="0"/>
        <w:kinsoku/>
        <w:wordWrap/>
        <w:overflowPunct/>
        <w:topLinePunct w:val="0"/>
        <w:autoSpaceDE/>
        <w:autoSpaceDN/>
        <w:adjustRightInd/>
        <w:snapToGrid/>
        <w:spacing w:line="600" w:lineRule="exact"/>
        <w:ind w:firstLine="643" w:firstLineChars="200"/>
        <w:rPr>
          <w:rFonts w:hint="eastAsia" w:ascii="仿宋_GB2312" w:eastAsia="仿宋_GB2312" w:cs="楷体"/>
          <w:color w:val="000000"/>
          <w:sz w:val="32"/>
          <w:szCs w:val="32"/>
        </w:rPr>
      </w:pPr>
      <w:r>
        <w:rPr>
          <w:rFonts w:hint="eastAsia" w:ascii="楷体_GB2312" w:eastAsia="楷体_GB2312" w:cs="楷体"/>
          <w:b/>
          <w:bCs/>
          <w:color w:val="000000"/>
          <w:sz w:val="32"/>
          <w:szCs w:val="32"/>
        </w:rPr>
        <w:t>（二）规范流程管理，确保执法合规。</w:t>
      </w:r>
      <w:r>
        <w:rPr>
          <w:rFonts w:hint="eastAsia" w:ascii="仿宋_GB2312" w:eastAsia="仿宋_GB2312" w:cs="楷体"/>
          <w:color w:val="000000"/>
          <w:sz w:val="32"/>
          <w:szCs w:val="32"/>
        </w:rPr>
        <w:t>统战部相关业务股室严格依据监管职责及本行政区域监管重点、风险点，确保全年抽查清真食品经营主体占比不低于3%。入企检查时严格落实“扫码入企”要求，使涉企检查更加规范、透明。参照适用行政检查文书基本格式文本，及时制作“双随机、一公开”档案并归档。按照“谁检查、谁录入、谁公开”的原则，按时完成抽查检查，检查结果及时录入平台并100%公示。对检查结果的认定做到依法、严谨、准确，确保闭环管理。</w:t>
      </w:r>
    </w:p>
    <w:p w14:paraId="4CCC175F">
      <w:pPr>
        <w:keepNext w:val="0"/>
        <w:keepLines w:val="0"/>
        <w:pageBreakBefore w:val="0"/>
        <w:widowControl w:val="0"/>
        <w:kinsoku/>
        <w:wordWrap/>
        <w:overflowPunct/>
        <w:topLinePunct w:val="0"/>
        <w:autoSpaceDE/>
        <w:autoSpaceDN/>
        <w:adjustRightInd/>
        <w:snapToGrid/>
        <w:spacing w:line="600" w:lineRule="exact"/>
        <w:ind w:firstLine="643" w:firstLineChars="200"/>
        <w:rPr>
          <w:rFonts w:hint="eastAsia" w:ascii="仿宋_GB2312" w:eastAsia="仿宋_GB2312" w:cs="楷体"/>
          <w:b/>
          <w:bCs/>
          <w:color w:val="000000"/>
          <w:sz w:val="32"/>
          <w:szCs w:val="32"/>
        </w:rPr>
      </w:pPr>
      <w:r>
        <w:rPr>
          <w:rFonts w:hint="eastAsia" w:ascii="楷体_GB2312" w:eastAsia="楷体_GB2312" w:cs="楷体"/>
          <w:b/>
          <w:bCs/>
          <w:color w:val="000000"/>
          <w:sz w:val="32"/>
          <w:szCs w:val="32"/>
        </w:rPr>
        <w:t>（三）深化联合监管</w:t>
      </w:r>
      <w:r>
        <w:rPr>
          <w:rFonts w:ascii="楷体_GB2312" w:eastAsia="楷体_GB2312" w:cs="楷体"/>
          <w:b/>
          <w:bCs/>
          <w:color w:val="000000"/>
          <w:sz w:val="32"/>
          <w:szCs w:val="32"/>
        </w:rPr>
        <w:t>，</w:t>
      </w:r>
      <w:r>
        <w:rPr>
          <w:rFonts w:hint="eastAsia" w:ascii="楷体_GB2312" w:eastAsia="楷体_GB2312" w:cs="楷体"/>
          <w:b/>
          <w:bCs/>
          <w:color w:val="000000"/>
          <w:sz w:val="32"/>
          <w:szCs w:val="32"/>
        </w:rPr>
        <w:t>减轻企业负担</w:t>
      </w:r>
      <w:r>
        <w:rPr>
          <w:rFonts w:ascii="楷体_GB2312" w:eastAsia="楷体_GB2312" w:cs="楷体"/>
          <w:b/>
          <w:bCs/>
          <w:color w:val="000000"/>
          <w:sz w:val="32"/>
          <w:szCs w:val="32"/>
        </w:rPr>
        <w:t>。</w:t>
      </w:r>
      <w:r>
        <w:rPr>
          <w:rFonts w:hint="eastAsia" w:ascii="仿宋_GB2312" w:eastAsia="仿宋_GB2312" w:cs="楷体"/>
          <w:color w:val="000000"/>
          <w:sz w:val="32"/>
          <w:szCs w:val="32"/>
        </w:rPr>
        <w:t>积极开展系统内部联合抽查和跨部门联合监管。针对涉及清真食品生产经营的多个环节（生产、流通、餐饮等），坚持“应合尽合、应联尽联”。主动与市场监管、卫生健康、</w:t>
      </w:r>
      <w:r>
        <w:rPr>
          <w:rFonts w:ascii="仿宋_GB2312" w:eastAsia="仿宋_GB2312" w:cs="楷体"/>
          <w:color w:val="000000"/>
          <w:sz w:val="32"/>
          <w:szCs w:val="32"/>
        </w:rPr>
        <w:t>综合执法</w:t>
      </w:r>
      <w:r>
        <w:rPr>
          <w:rFonts w:hint="eastAsia" w:ascii="仿宋_GB2312" w:eastAsia="仿宋_GB2312" w:cs="楷体"/>
          <w:color w:val="000000"/>
          <w:sz w:val="32"/>
          <w:szCs w:val="32"/>
        </w:rPr>
        <w:t>等部门协作，对同一检查对象涉及多部门检查事项的，开展跨部门联合抽查，实现“进一次门，查多项事”，切实减少对合法经营主体的干扰。</w:t>
      </w:r>
    </w:p>
    <w:p w14:paraId="2972291B">
      <w:pPr>
        <w:keepNext w:val="0"/>
        <w:keepLines w:val="0"/>
        <w:pageBreakBefore w:val="0"/>
        <w:widowControl w:val="0"/>
        <w:kinsoku/>
        <w:wordWrap/>
        <w:overflowPunct/>
        <w:topLinePunct w:val="0"/>
        <w:autoSpaceDE/>
        <w:autoSpaceDN/>
        <w:adjustRightInd/>
        <w:snapToGrid/>
        <w:spacing w:line="600" w:lineRule="exact"/>
        <w:ind w:firstLine="643" w:firstLineChars="200"/>
        <w:rPr>
          <w:rFonts w:hint="eastAsia" w:ascii="仿宋_GB2312" w:eastAsia="仿宋_GB2312" w:cs="楷体"/>
          <w:b/>
          <w:bCs/>
          <w:color w:val="000000"/>
          <w:sz w:val="32"/>
          <w:szCs w:val="32"/>
        </w:rPr>
      </w:pPr>
      <w:r>
        <w:rPr>
          <w:rFonts w:hint="eastAsia" w:ascii="楷体_GB2312" w:eastAsia="楷体_GB2312" w:cs="楷体"/>
          <w:b/>
          <w:bCs/>
          <w:color w:val="000000"/>
          <w:sz w:val="32"/>
          <w:szCs w:val="32"/>
        </w:rPr>
        <w:t>（四）创新监管方式</w:t>
      </w:r>
      <w:r>
        <w:rPr>
          <w:rFonts w:ascii="楷体_GB2312" w:eastAsia="楷体_GB2312" w:cs="楷体"/>
          <w:b/>
          <w:bCs/>
          <w:color w:val="000000"/>
          <w:sz w:val="32"/>
          <w:szCs w:val="32"/>
        </w:rPr>
        <w:t>，</w:t>
      </w:r>
      <w:r>
        <w:rPr>
          <w:rFonts w:hint="eastAsia" w:ascii="楷体_GB2312" w:eastAsia="楷体_GB2312" w:cs="楷体"/>
          <w:b/>
          <w:bCs/>
          <w:color w:val="000000"/>
          <w:sz w:val="32"/>
          <w:szCs w:val="32"/>
        </w:rPr>
        <w:t>推行非现检查</w:t>
      </w:r>
      <w:r>
        <w:rPr>
          <w:rFonts w:ascii="楷体_GB2312" w:eastAsia="楷体_GB2312" w:cs="楷体"/>
          <w:b/>
          <w:bCs/>
          <w:color w:val="000000"/>
          <w:sz w:val="32"/>
          <w:szCs w:val="32"/>
        </w:rPr>
        <w:t>。</w:t>
      </w:r>
      <w:r>
        <w:rPr>
          <w:rFonts w:hint="eastAsia" w:ascii="仿宋_GB2312" w:eastAsia="仿宋_GB2312" w:cs="楷体"/>
          <w:color w:val="000000"/>
          <w:sz w:val="32"/>
          <w:szCs w:val="32"/>
        </w:rPr>
        <w:t>对能够通过书面核查、信息共享、网络监测等方式完成监管的，压缩现场检查频次。例如</w:t>
      </w:r>
      <w:r>
        <w:rPr>
          <w:rFonts w:ascii="仿宋_GB2312" w:eastAsia="仿宋_GB2312" w:cs="楷体"/>
          <w:color w:val="000000"/>
          <w:sz w:val="32"/>
          <w:szCs w:val="32"/>
        </w:rPr>
        <w:t>：</w:t>
      </w:r>
      <w:r>
        <w:rPr>
          <w:rFonts w:hint="eastAsia" w:ascii="仿宋_GB2312" w:eastAsia="仿宋_GB2312" w:cs="楷体"/>
          <w:color w:val="000000"/>
          <w:sz w:val="32"/>
          <w:szCs w:val="32"/>
        </w:rPr>
        <w:t>对民族政策宣传、内部管理制度等可通过书面材料或线上方式核查，减轻基层和主体负担。</w:t>
      </w:r>
    </w:p>
    <w:p w14:paraId="59AADC1F">
      <w:pPr>
        <w:keepNext w:val="0"/>
        <w:keepLines w:val="0"/>
        <w:pageBreakBefore w:val="0"/>
        <w:widowControl w:val="0"/>
        <w:kinsoku/>
        <w:wordWrap/>
        <w:overflowPunct/>
        <w:topLinePunct w:val="0"/>
        <w:autoSpaceDE/>
        <w:autoSpaceDN/>
        <w:adjustRightInd/>
        <w:snapToGrid/>
        <w:spacing w:line="600" w:lineRule="exact"/>
        <w:ind w:firstLine="643" w:firstLineChars="200"/>
        <w:rPr>
          <w:rFonts w:hint="eastAsia" w:ascii="仿宋_GB2312" w:eastAsia="仿宋_GB2312" w:cs="楷体"/>
          <w:b/>
          <w:bCs/>
          <w:color w:val="000000"/>
          <w:sz w:val="32"/>
          <w:szCs w:val="32"/>
        </w:rPr>
      </w:pPr>
      <w:r>
        <w:rPr>
          <w:rFonts w:hint="eastAsia" w:ascii="楷体_GB2312" w:eastAsia="楷体_GB2312" w:cs="楷体"/>
          <w:b/>
          <w:bCs/>
          <w:color w:val="000000"/>
          <w:sz w:val="32"/>
          <w:szCs w:val="32"/>
        </w:rPr>
        <w:t>（五）突出靶向监管</w:t>
      </w:r>
      <w:r>
        <w:rPr>
          <w:rFonts w:ascii="楷体_GB2312" w:eastAsia="楷体_GB2312" w:cs="楷体"/>
          <w:b/>
          <w:bCs/>
          <w:color w:val="000000"/>
          <w:sz w:val="32"/>
          <w:szCs w:val="32"/>
        </w:rPr>
        <w:t>，</w:t>
      </w:r>
      <w:r>
        <w:rPr>
          <w:rFonts w:hint="eastAsia" w:ascii="楷体_GB2312" w:eastAsia="楷体_GB2312" w:cs="楷体"/>
          <w:b/>
          <w:bCs/>
          <w:color w:val="000000"/>
          <w:sz w:val="32"/>
          <w:szCs w:val="32"/>
        </w:rPr>
        <w:t>防范领域风险</w:t>
      </w:r>
      <w:r>
        <w:rPr>
          <w:rFonts w:ascii="楷体_GB2312" w:eastAsia="楷体_GB2312" w:cs="楷体"/>
          <w:b/>
          <w:bCs/>
          <w:color w:val="000000"/>
          <w:sz w:val="32"/>
          <w:szCs w:val="32"/>
        </w:rPr>
        <w:t>。</w:t>
      </w:r>
      <w:r>
        <w:rPr>
          <w:rFonts w:hint="eastAsia" w:ascii="仿宋_GB2312" w:eastAsia="仿宋_GB2312" w:cs="楷体"/>
          <w:color w:val="000000"/>
          <w:sz w:val="32"/>
          <w:szCs w:val="32"/>
        </w:rPr>
        <w:t>结合投诉举报、舆情监测、风险预警等发现的问题线索（如冒用清真标识、违反清真食品生产经营规范等），组织开展靶向抽查。重点检查以下内容</w:t>
      </w:r>
      <w:r>
        <w:rPr>
          <w:rFonts w:ascii="仿宋_GB2312" w:eastAsia="仿宋_GB2312" w:cs="楷体"/>
          <w:color w:val="000000"/>
          <w:sz w:val="32"/>
          <w:szCs w:val="32"/>
        </w:rPr>
        <w:t>，</w:t>
      </w:r>
      <w:r>
        <w:rPr>
          <w:rFonts w:hint="eastAsia" w:ascii="仿宋_GB2312" w:eastAsia="仿宋_GB2312" w:cs="楷体"/>
          <w:color w:val="000000"/>
          <w:sz w:val="32"/>
          <w:szCs w:val="32"/>
        </w:rPr>
        <w:t>对违反《河北省清真食品管理条例》的监督检查：包括清真食品专用标志使用是否规范，原料采购、储存、生产、销售环节是否符合清真要求，是否存在将非清真食品冒充清真食品等行为</w:t>
      </w:r>
      <w:r>
        <w:rPr>
          <w:rFonts w:ascii="仿宋_GB2312" w:eastAsia="仿宋_GB2312" w:cs="楷体"/>
          <w:color w:val="000000"/>
          <w:sz w:val="32"/>
          <w:szCs w:val="32"/>
        </w:rPr>
        <w:t>；</w:t>
      </w:r>
      <w:r>
        <w:rPr>
          <w:rFonts w:hint="eastAsia" w:ascii="仿宋_GB2312" w:eastAsia="仿宋_GB2312" w:cs="楷体"/>
          <w:color w:val="000000"/>
          <w:sz w:val="32"/>
          <w:szCs w:val="32"/>
        </w:rPr>
        <w:t>对民族政策和有关法律法规贯彻落实情况的监督检查：重点检查民族政策宣传、民族团结进步创建、尊重</w:t>
      </w:r>
      <w:r>
        <w:rPr>
          <w:rFonts w:ascii="仿宋_GB2312" w:eastAsia="仿宋_GB2312" w:cs="楷体"/>
          <w:color w:val="000000"/>
          <w:sz w:val="32"/>
          <w:szCs w:val="32"/>
        </w:rPr>
        <w:t>各族群众</w:t>
      </w:r>
      <w:r>
        <w:rPr>
          <w:rFonts w:hint="eastAsia" w:ascii="仿宋_GB2312" w:eastAsia="仿宋_GB2312" w:cs="楷体"/>
          <w:color w:val="000000"/>
          <w:sz w:val="32"/>
          <w:szCs w:val="32"/>
        </w:rPr>
        <w:t>风俗习惯等情况，及时纠正违反民族政策的行为，防范化解民族领域风险隐患。</w:t>
      </w:r>
    </w:p>
    <w:p w14:paraId="667B489F">
      <w:pPr>
        <w:keepNext w:val="0"/>
        <w:keepLines w:val="0"/>
        <w:pageBreakBefore w:val="0"/>
        <w:widowControl w:val="0"/>
        <w:kinsoku/>
        <w:wordWrap/>
        <w:overflowPunct/>
        <w:topLinePunct w:val="0"/>
        <w:autoSpaceDE/>
        <w:autoSpaceDN/>
        <w:bidi w:val="0"/>
        <w:adjustRightInd/>
        <w:snapToGrid/>
        <w:spacing w:line="600" w:lineRule="exact"/>
        <w:ind w:left="0" w:firstLine="640" w:firstLineChars="200"/>
        <w:textAlignment w:val="auto"/>
        <w:rPr>
          <w:rFonts w:hint="eastAsia" w:ascii="黑体" w:eastAsia="黑体" w:cs="黑体"/>
          <w:color w:val="000000"/>
          <w:sz w:val="32"/>
          <w:szCs w:val="32"/>
        </w:rPr>
      </w:pPr>
      <w:r>
        <w:rPr>
          <w:rFonts w:hint="eastAsia" w:ascii="黑体" w:eastAsia="黑体" w:cs="黑体"/>
          <w:color w:val="000000"/>
          <w:sz w:val="32"/>
          <w:szCs w:val="32"/>
        </w:rPr>
        <w:t>三、工作要求</w:t>
      </w:r>
    </w:p>
    <w:p w14:paraId="13ECAC95">
      <w:pPr>
        <w:keepNext w:val="0"/>
        <w:keepLines w:val="0"/>
        <w:pageBreakBefore w:val="0"/>
        <w:widowControl w:val="0"/>
        <w:kinsoku/>
        <w:wordWrap/>
        <w:overflowPunct/>
        <w:topLinePunct w:val="0"/>
        <w:autoSpaceDE/>
        <w:autoSpaceDN/>
        <w:adjustRightInd/>
        <w:snapToGrid/>
        <w:spacing w:line="600" w:lineRule="exact"/>
        <w:ind w:firstLine="643" w:firstLineChars="200"/>
        <w:rPr>
          <w:rFonts w:hint="eastAsia" w:ascii="仿宋_GB2312" w:eastAsia="仿宋_GB2312" w:cs="楷体"/>
          <w:b/>
          <w:bCs/>
          <w:color w:val="000000"/>
          <w:sz w:val="32"/>
          <w:szCs w:val="32"/>
        </w:rPr>
      </w:pPr>
      <w:r>
        <w:rPr>
          <w:rFonts w:hint="eastAsia" w:ascii="楷体_GB2312" w:eastAsia="楷体_GB2312" w:cs="楷体"/>
          <w:b/>
          <w:bCs/>
          <w:color w:val="000000"/>
          <w:sz w:val="32"/>
          <w:szCs w:val="32"/>
        </w:rPr>
        <w:t>（一）提高政治站位</w:t>
      </w:r>
      <w:r>
        <w:rPr>
          <w:rFonts w:ascii="楷体_GB2312" w:eastAsia="楷体_GB2312" w:cs="楷体"/>
          <w:b/>
          <w:bCs/>
          <w:color w:val="000000"/>
          <w:sz w:val="32"/>
          <w:szCs w:val="32"/>
        </w:rPr>
        <w:t>，</w:t>
      </w:r>
      <w:r>
        <w:rPr>
          <w:rFonts w:hint="eastAsia" w:ascii="楷体_GB2312" w:eastAsia="楷体_GB2312" w:cs="楷体"/>
          <w:b/>
          <w:bCs/>
          <w:color w:val="000000"/>
          <w:sz w:val="32"/>
          <w:szCs w:val="32"/>
        </w:rPr>
        <w:t>凝聚工作合力</w:t>
      </w:r>
      <w:r>
        <w:rPr>
          <w:rFonts w:ascii="楷体_GB2312" w:eastAsia="楷体_GB2312" w:cs="楷体"/>
          <w:b/>
          <w:bCs/>
          <w:color w:val="000000"/>
          <w:sz w:val="32"/>
          <w:szCs w:val="32"/>
        </w:rPr>
        <w:t>。</w:t>
      </w:r>
      <w:r>
        <w:rPr>
          <w:rFonts w:hint="eastAsia" w:ascii="仿宋_GB2312" w:eastAsia="仿宋_GB2312" w:cs="楷体"/>
          <w:color w:val="000000"/>
          <w:sz w:val="32"/>
          <w:szCs w:val="32"/>
        </w:rPr>
        <w:t>要切实提高对“双随机、一公开”监管工作重要性的认识，增强使命感。严格按照确定的抽查事项、检查流程开展检查，杜绝走过场、随意录入等现象。统战部相关业务股室负责统筹协调，完善工作制度和运行机制，细化工作目标。全系统要树立“一盘棋”思想，主动配合、密切协作，共同推动民族事务领域“双随机、一公开”监管工作落到实处。</w:t>
      </w:r>
    </w:p>
    <w:p w14:paraId="20D0DC24">
      <w:pPr>
        <w:keepNext w:val="0"/>
        <w:keepLines w:val="0"/>
        <w:pageBreakBefore w:val="0"/>
        <w:widowControl w:val="0"/>
        <w:kinsoku/>
        <w:wordWrap/>
        <w:overflowPunct/>
        <w:topLinePunct w:val="0"/>
        <w:autoSpaceDE/>
        <w:autoSpaceDN/>
        <w:adjustRightInd/>
        <w:snapToGrid/>
        <w:spacing w:line="600" w:lineRule="exact"/>
        <w:ind w:firstLine="643" w:firstLineChars="200"/>
        <w:rPr>
          <w:rFonts w:hint="eastAsia" w:ascii="仿宋_GB2312" w:eastAsia="仿宋_GB2312" w:cs="楷体"/>
          <w:b/>
          <w:bCs/>
          <w:color w:val="000000"/>
          <w:sz w:val="32"/>
          <w:szCs w:val="32"/>
        </w:rPr>
      </w:pPr>
      <w:r>
        <w:rPr>
          <w:rFonts w:hint="eastAsia" w:ascii="楷体_GB2312" w:eastAsia="楷体_GB2312" w:cs="楷体"/>
          <w:b/>
          <w:bCs/>
          <w:color w:val="000000"/>
          <w:sz w:val="32"/>
          <w:szCs w:val="32"/>
        </w:rPr>
        <w:t>（二）坚持执法为民</w:t>
      </w:r>
      <w:r>
        <w:rPr>
          <w:rFonts w:ascii="楷体_GB2312" w:eastAsia="楷体_GB2312" w:cs="楷体"/>
          <w:b/>
          <w:bCs/>
          <w:color w:val="000000"/>
          <w:sz w:val="32"/>
          <w:szCs w:val="32"/>
        </w:rPr>
        <w:t>，</w:t>
      </w:r>
      <w:r>
        <w:rPr>
          <w:rFonts w:hint="eastAsia" w:ascii="楷体_GB2312" w:eastAsia="楷体_GB2312" w:cs="楷体"/>
          <w:b/>
          <w:bCs/>
          <w:color w:val="000000"/>
          <w:sz w:val="32"/>
          <w:szCs w:val="32"/>
        </w:rPr>
        <w:t>推行服务执法</w:t>
      </w:r>
      <w:r>
        <w:rPr>
          <w:rFonts w:ascii="楷体_GB2312" w:eastAsia="楷体_GB2312" w:cs="楷体"/>
          <w:b/>
          <w:bCs/>
          <w:color w:val="000000"/>
          <w:sz w:val="32"/>
          <w:szCs w:val="32"/>
        </w:rPr>
        <w:t>。</w:t>
      </w:r>
      <w:r>
        <w:rPr>
          <w:rFonts w:hint="eastAsia" w:ascii="仿宋_GB2312" w:eastAsia="仿宋_GB2312" w:cs="楷体"/>
          <w:color w:val="000000"/>
          <w:sz w:val="32"/>
          <w:szCs w:val="32"/>
        </w:rPr>
        <w:t>严格落实国务院及省、市</w:t>
      </w:r>
      <w:r>
        <w:rPr>
          <w:rFonts w:ascii="仿宋_GB2312" w:eastAsia="仿宋_GB2312" w:cs="楷体"/>
          <w:color w:val="000000"/>
          <w:sz w:val="32"/>
          <w:szCs w:val="32"/>
        </w:rPr>
        <w:t>、县</w:t>
      </w:r>
      <w:r>
        <w:rPr>
          <w:rFonts w:hint="eastAsia" w:ascii="仿宋_GB2312" w:eastAsia="仿宋_GB2312" w:cs="楷体"/>
          <w:color w:val="000000"/>
          <w:sz w:val="32"/>
          <w:szCs w:val="32"/>
        </w:rPr>
        <w:t>关于规范涉企行政检查的部署要求，入企检查时做到</w:t>
      </w:r>
      <w:r>
        <w:rPr>
          <w:rFonts w:ascii="仿宋_GB2312" w:eastAsia="仿宋_GB2312" w:cs="楷体"/>
          <w:color w:val="000000"/>
          <w:sz w:val="32"/>
          <w:szCs w:val="32"/>
        </w:rPr>
        <w:t>“</w:t>
      </w:r>
      <w:r>
        <w:rPr>
          <w:rFonts w:hint="eastAsia" w:ascii="仿宋_GB2312" w:eastAsia="仿宋_GB2312" w:cs="楷体"/>
          <w:color w:val="000000"/>
          <w:sz w:val="32"/>
          <w:szCs w:val="32"/>
        </w:rPr>
        <w:t>五个严禁</w:t>
      </w:r>
      <w:r>
        <w:rPr>
          <w:rFonts w:ascii="仿宋_GB2312" w:eastAsia="仿宋_GB2312" w:cs="楷体"/>
          <w:color w:val="000000"/>
          <w:sz w:val="32"/>
          <w:szCs w:val="32"/>
        </w:rPr>
        <w:t>”“</w:t>
      </w:r>
      <w:r>
        <w:rPr>
          <w:rFonts w:hint="eastAsia" w:ascii="仿宋_GB2312" w:eastAsia="仿宋_GB2312" w:cs="楷体"/>
          <w:color w:val="000000"/>
          <w:sz w:val="32"/>
          <w:szCs w:val="32"/>
        </w:rPr>
        <w:t>八个不得</w:t>
      </w:r>
      <w:r>
        <w:rPr>
          <w:rFonts w:ascii="仿宋_GB2312" w:eastAsia="仿宋_GB2312" w:cs="楷体"/>
          <w:color w:val="000000"/>
          <w:sz w:val="32"/>
          <w:szCs w:val="32"/>
        </w:rPr>
        <w:t>”</w:t>
      </w:r>
      <w:r>
        <w:rPr>
          <w:rFonts w:hint="eastAsia" w:ascii="仿宋_GB2312" w:eastAsia="仿宋_GB2312" w:cs="楷体"/>
          <w:color w:val="000000"/>
          <w:sz w:val="32"/>
          <w:szCs w:val="32"/>
        </w:rPr>
        <w:t>，自觉维护统战部门良好形象。牢固树立服务于监管之中的理念，大力推行服务型执法。在抽查检查过程中，主动向清真食品生产经营主体宣传《河北省清真食品管理条例》等法律法规，开展合规经营指导，及时回应经营主体有关问题和诉求。同时结合民族政策宣讲，促进民族团结和社会和谐。</w:t>
      </w:r>
    </w:p>
    <w:p w14:paraId="10EA09F4">
      <w:pPr>
        <w:keepNext w:val="0"/>
        <w:keepLines w:val="0"/>
        <w:pageBreakBefore w:val="0"/>
        <w:widowControl w:val="0"/>
        <w:kinsoku/>
        <w:wordWrap/>
        <w:overflowPunct/>
        <w:topLinePunct w:val="0"/>
        <w:autoSpaceDE/>
        <w:autoSpaceDN/>
        <w:adjustRightInd/>
        <w:snapToGrid/>
        <w:spacing w:line="600" w:lineRule="exact"/>
        <w:ind w:firstLine="643" w:firstLineChars="200"/>
        <w:rPr>
          <w:rFonts w:ascii="仿宋_GB2312" w:eastAsia="仿宋_GB2312" w:cs="楷体"/>
          <w:color w:val="000000"/>
          <w:sz w:val="32"/>
          <w:szCs w:val="32"/>
        </w:rPr>
      </w:pPr>
      <w:r>
        <w:rPr>
          <w:rFonts w:hint="eastAsia" w:ascii="楷体_GB2312" w:eastAsia="楷体_GB2312" w:cs="楷体"/>
          <w:b/>
          <w:bCs/>
          <w:color w:val="000000"/>
          <w:sz w:val="32"/>
          <w:szCs w:val="32"/>
        </w:rPr>
        <w:t>（三）加强督导检查</w:t>
      </w:r>
      <w:r>
        <w:rPr>
          <w:rFonts w:ascii="楷体_GB2312" w:eastAsia="楷体_GB2312" w:cs="楷体"/>
          <w:b/>
          <w:bCs/>
          <w:color w:val="000000"/>
          <w:sz w:val="32"/>
          <w:szCs w:val="32"/>
        </w:rPr>
        <w:t>,</w:t>
      </w:r>
      <w:r>
        <w:rPr>
          <w:rFonts w:hint="eastAsia" w:ascii="楷体_GB2312" w:eastAsia="楷体_GB2312" w:cs="楷体"/>
          <w:b/>
          <w:bCs/>
          <w:color w:val="000000"/>
          <w:sz w:val="32"/>
          <w:szCs w:val="32"/>
        </w:rPr>
        <w:t>健全问效机制</w:t>
      </w:r>
      <w:r>
        <w:rPr>
          <w:rFonts w:ascii="楷体_GB2312" w:eastAsia="楷体_GB2312" w:cs="楷体"/>
          <w:b/>
          <w:bCs/>
          <w:color w:val="000000"/>
          <w:sz w:val="32"/>
          <w:szCs w:val="32"/>
        </w:rPr>
        <w:t>.</w:t>
      </w:r>
      <w:r>
        <w:rPr>
          <w:rFonts w:hint="eastAsia" w:ascii="仿宋_GB2312" w:eastAsia="仿宋_GB2312" w:cs="楷体"/>
          <w:color w:val="000000"/>
          <w:sz w:val="32"/>
          <w:szCs w:val="32"/>
        </w:rPr>
        <w:t>统战部相关业务股室要采取适当方式，加强对本系统</w:t>
      </w:r>
      <w:r>
        <w:rPr>
          <w:rFonts w:ascii="仿宋_GB2312" w:eastAsia="仿宋_GB2312" w:cs="楷体"/>
          <w:color w:val="000000"/>
          <w:sz w:val="32"/>
          <w:szCs w:val="32"/>
        </w:rPr>
        <w:t>“</w:t>
      </w:r>
      <w:r>
        <w:rPr>
          <w:rFonts w:hint="eastAsia" w:ascii="仿宋_GB2312" w:eastAsia="仿宋_GB2312" w:cs="楷体"/>
          <w:color w:val="000000"/>
          <w:sz w:val="32"/>
          <w:szCs w:val="32"/>
        </w:rPr>
        <w:t>双随机、一公开</w:t>
      </w:r>
      <w:r>
        <w:rPr>
          <w:rFonts w:ascii="仿宋_GB2312" w:eastAsia="仿宋_GB2312" w:cs="楷体"/>
          <w:color w:val="000000"/>
          <w:sz w:val="32"/>
          <w:szCs w:val="32"/>
        </w:rPr>
        <w:t>”</w:t>
      </w:r>
      <w:r>
        <w:rPr>
          <w:rFonts w:hint="eastAsia" w:ascii="仿宋_GB2312" w:eastAsia="仿宋_GB2312" w:cs="楷体"/>
          <w:color w:val="000000"/>
          <w:sz w:val="32"/>
          <w:szCs w:val="32"/>
        </w:rPr>
        <w:t>监管工作的督导检查，及时督促抽查检查进度，积极推行随机抽查回访机制，确保全年各项抽查任务取得实效。对发现的问题要建立台账、跟踪整改、对账销号，为全县优化营商环境、维护民族团结和清真食品市场秩序发挥应有作用。</w:t>
      </w:r>
    </w:p>
    <w:p w14:paraId="7161E6E5">
      <w:pPr>
        <w:keepNext w:val="0"/>
        <w:keepLines w:val="0"/>
        <w:pageBreakBefore w:val="0"/>
        <w:widowControl w:val="0"/>
        <w:kinsoku/>
        <w:wordWrap/>
        <w:overflowPunct/>
        <w:topLinePunct w:val="0"/>
        <w:autoSpaceDE/>
        <w:autoSpaceDN/>
        <w:adjustRightInd/>
        <w:snapToGrid/>
        <w:spacing w:line="600" w:lineRule="exact"/>
        <w:ind w:firstLine="640" w:firstLineChars="200"/>
        <w:rPr>
          <w:rFonts w:ascii="仿宋_GB2312" w:eastAsia="仿宋_GB2312" w:cs="楷体"/>
          <w:color w:val="000000"/>
          <w:sz w:val="32"/>
          <w:szCs w:val="32"/>
        </w:rPr>
      </w:pPr>
    </w:p>
    <w:p w14:paraId="1A9809B5">
      <w:pPr>
        <w:keepNext w:val="0"/>
        <w:keepLines w:val="0"/>
        <w:pageBreakBefore w:val="0"/>
        <w:widowControl w:val="0"/>
        <w:kinsoku/>
        <w:wordWrap/>
        <w:overflowPunct/>
        <w:topLinePunct w:val="0"/>
        <w:autoSpaceDE/>
        <w:autoSpaceDN/>
        <w:adjustRightInd/>
        <w:snapToGrid/>
        <w:spacing w:line="600" w:lineRule="exact"/>
        <w:ind w:firstLine="640" w:firstLineChars="200"/>
        <w:rPr>
          <w:rFonts w:ascii="仿宋_GB2312" w:eastAsia="仿宋_GB2312" w:cs="楷体"/>
          <w:color w:val="000000"/>
          <w:sz w:val="32"/>
          <w:szCs w:val="32"/>
        </w:rPr>
      </w:pPr>
      <w:r>
        <w:rPr>
          <w:rFonts w:ascii="仿宋_GB2312" w:eastAsia="仿宋_GB2312" w:cs="楷体"/>
          <w:color w:val="000000"/>
          <w:sz w:val="32"/>
          <w:szCs w:val="32"/>
        </w:rPr>
        <w:t>联 系 人：谢小娟 李立强</w:t>
      </w:r>
    </w:p>
    <w:p w14:paraId="459E9F34">
      <w:pPr>
        <w:keepNext w:val="0"/>
        <w:keepLines w:val="0"/>
        <w:pageBreakBefore w:val="0"/>
        <w:widowControl w:val="0"/>
        <w:kinsoku/>
        <w:wordWrap/>
        <w:overflowPunct/>
        <w:topLinePunct w:val="0"/>
        <w:autoSpaceDE/>
        <w:autoSpaceDN/>
        <w:adjustRightInd/>
        <w:snapToGrid/>
        <w:spacing w:line="600" w:lineRule="exact"/>
        <w:ind w:firstLine="640" w:firstLineChars="200"/>
        <w:rPr>
          <w:rFonts w:ascii="仿宋_GB2312" w:eastAsia="仿宋_GB2312" w:cs="楷体"/>
          <w:color w:val="000000"/>
          <w:sz w:val="32"/>
          <w:szCs w:val="32"/>
        </w:rPr>
      </w:pPr>
      <w:r>
        <w:rPr>
          <w:rFonts w:ascii="仿宋_GB2312" w:eastAsia="仿宋_GB2312" w:cs="楷体"/>
          <w:color w:val="000000"/>
          <w:sz w:val="32"/>
          <w:szCs w:val="32"/>
        </w:rPr>
        <w:t>联系电话：0312-7313648</w:t>
      </w:r>
    </w:p>
    <w:p w14:paraId="415E4825">
      <w:pPr>
        <w:keepNext w:val="0"/>
        <w:keepLines w:val="0"/>
        <w:pageBreakBefore w:val="0"/>
        <w:widowControl w:val="0"/>
        <w:tabs>
          <w:tab w:val="center" w:pos="4422"/>
        </w:tabs>
        <w:kinsoku/>
        <w:wordWrap/>
        <w:overflowPunct/>
        <w:topLinePunct w:val="0"/>
        <w:autoSpaceDE/>
        <w:autoSpaceDN/>
        <w:adjustRightInd/>
        <w:snapToGrid/>
        <w:spacing w:line="600" w:lineRule="exact"/>
        <w:ind w:firstLine="640" w:firstLineChars="200"/>
        <w:rPr>
          <w:rFonts w:hint="default" w:ascii="仿宋_GB2312" w:eastAsia="仿宋_GB2312" w:cs="楷体"/>
          <w:color w:val="000000"/>
          <w:sz w:val="32"/>
          <w:szCs w:val="32"/>
          <w:lang w:val="en-US" w:eastAsia="zh-CN"/>
        </w:rPr>
      </w:pPr>
      <w:r>
        <w:rPr>
          <w:rFonts w:ascii="仿宋_GB2312" w:eastAsia="仿宋_GB2312" w:cs="楷体"/>
          <w:color w:val="000000"/>
          <w:sz w:val="32"/>
          <w:szCs w:val="32"/>
        </w:rPr>
        <w:t>电子邮箱</w:t>
      </w:r>
      <w:r>
        <w:rPr>
          <w:rFonts w:hint="eastAsia" w:ascii="仿宋_GB2312" w:eastAsia="仿宋_GB2312" w:cs="楷体"/>
          <w:color w:val="000000"/>
          <w:sz w:val="32"/>
          <w:szCs w:val="32"/>
          <w:lang w:val="en-US" w:eastAsia="zh-CN"/>
        </w:rPr>
        <w:t>:lytzb99@163.com</w:t>
      </w:r>
      <w:bookmarkStart w:id="0" w:name="_GoBack"/>
      <w:bookmarkEnd w:id="0"/>
    </w:p>
    <w:p w14:paraId="268572CF">
      <w:pPr>
        <w:spacing w:line="560" w:lineRule="exact"/>
      </w:pPr>
    </w:p>
    <w:p w14:paraId="39B021D4">
      <w:pPr>
        <w:spacing w:line="560" w:lineRule="exact"/>
      </w:pPr>
    </w:p>
    <w:p w14:paraId="16CBF739">
      <w:pPr>
        <w:spacing w:line="560" w:lineRule="exact"/>
      </w:pPr>
    </w:p>
    <w:p w14:paraId="30AAF087">
      <w:pPr>
        <w:spacing w:line="560" w:lineRule="exact"/>
      </w:pPr>
    </w:p>
    <w:p w14:paraId="526383E2">
      <w:pPr>
        <w:spacing w:line="560" w:lineRule="exact"/>
      </w:pPr>
    </w:p>
    <w:p w14:paraId="3B0CFEE3">
      <w:pPr>
        <w:spacing w:line="560" w:lineRule="exact"/>
      </w:pPr>
    </w:p>
    <w:p w14:paraId="1B4380BA">
      <w:pPr>
        <w:spacing w:line="560" w:lineRule="exact"/>
      </w:pPr>
    </w:p>
    <w:p w14:paraId="25F22D72">
      <w:pPr>
        <w:spacing w:line="560" w:lineRule="exact"/>
      </w:pPr>
    </w:p>
    <w:tbl>
      <w:tblPr>
        <w:tblStyle w:val="9"/>
        <w:tblpPr w:leftFromText="180" w:rightFromText="180" w:vertAnchor="text" w:horzAnchor="page" w:tblpX="1819" w:tblpY="1602"/>
        <w:tblOverlap w:val="never"/>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310"/>
      </w:tblGrid>
      <w:tr w14:paraId="5519D3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8310" w:type="dxa"/>
            <w:tcBorders>
              <w:top w:val="single" w:color="auto" w:sz="4" w:space="0"/>
              <w:left w:val="nil"/>
              <w:bottom w:val="single" w:color="auto" w:sz="4" w:space="0"/>
              <w:right w:val="nil"/>
            </w:tcBorders>
            <w:vAlign w:val="center"/>
          </w:tcPr>
          <w:p w14:paraId="1DF12550">
            <w:pPr>
              <w:keepNext w:val="0"/>
              <w:keepLines w:val="0"/>
              <w:pageBreakBefore w:val="0"/>
              <w:widowControl w:val="0"/>
              <w:kinsoku/>
              <w:overflowPunct/>
              <w:topLinePunct w:val="0"/>
              <w:autoSpaceDE/>
              <w:autoSpaceDN/>
              <w:bidi w:val="0"/>
              <w:adjustRightInd w:val="0"/>
              <w:snapToGrid w:val="0"/>
              <w:spacing w:line="560" w:lineRule="exact"/>
              <w:rPr>
                <w:rFonts w:ascii="仿宋_GB2312" w:eastAsia="仿宋_GB2312" w:cs="仿宋_GB2312"/>
                <w:color w:val="0000FF"/>
                <w:spacing w:val="20"/>
                <w:sz w:val="28"/>
                <w:szCs w:val="28"/>
              </w:rPr>
            </w:pPr>
            <w:r>
              <w:rPr>
                <w:rFonts w:ascii="仿宋_GB2312" w:eastAsia="仿宋_GB2312" w:cs="仿宋_GB2312"/>
                <w:sz w:val="28"/>
                <w:szCs w:val="28"/>
                <w:lang w:eastAsia="zh-CN"/>
              </w:rPr>
              <w:t>中共涞源县委统战部</w:t>
            </w:r>
            <w:r>
              <w:rPr>
                <w:rFonts w:hint="eastAsia" w:ascii="仿宋_GB2312" w:eastAsia="仿宋_GB2312" w:cs="仿宋_GB2312"/>
                <w:sz w:val="28"/>
                <w:szCs w:val="28"/>
                <w:lang w:val="en-US" w:eastAsia="zh-CN"/>
              </w:rPr>
              <w:t xml:space="preserve">  </w:t>
            </w:r>
            <w:r>
              <w:rPr>
                <w:rFonts w:ascii="仿宋_GB2312" w:eastAsia="仿宋_GB2312" w:cs="仿宋_GB2312"/>
                <w:sz w:val="28"/>
                <w:szCs w:val="28"/>
                <w:lang w:val="en-US" w:eastAsia="zh-CN"/>
              </w:rPr>
              <w:t xml:space="preserve">   </w:t>
            </w:r>
            <w:r>
              <w:rPr>
                <w:rFonts w:hint="eastAsia" w:ascii="仿宋_GB2312" w:eastAsia="仿宋_GB2312" w:cs="仿宋_GB2312"/>
                <w:sz w:val="28"/>
                <w:szCs w:val="28"/>
                <w:lang w:val="en-US" w:eastAsia="zh-CN"/>
              </w:rPr>
              <w:t xml:space="preserve">      </w:t>
            </w:r>
            <w:r>
              <w:rPr>
                <w:rFonts w:hint="eastAsia" w:ascii="仿宋_GB2312" w:eastAsia="仿宋_GB2312" w:cs="仿宋_GB2312"/>
                <w:sz w:val="28"/>
                <w:szCs w:val="28"/>
              </w:rPr>
              <w:t xml:space="preserve">    </w:t>
            </w:r>
            <w:r>
              <w:rPr>
                <w:rFonts w:ascii="仿宋_GB2312" w:eastAsia="仿宋_GB2312" w:cs="仿宋_GB2312"/>
                <w:sz w:val="28"/>
                <w:szCs w:val="28"/>
              </w:rPr>
              <w:t xml:space="preserve">    </w:t>
            </w:r>
            <w:r>
              <w:rPr>
                <w:rFonts w:hint="eastAsia" w:ascii="仿宋_GB2312" w:eastAsia="仿宋_GB2312" w:cs="仿宋_GB2312"/>
                <w:sz w:val="28"/>
                <w:szCs w:val="28"/>
                <w:lang w:val="en-US" w:eastAsia="zh-CN"/>
              </w:rPr>
              <w:t xml:space="preserve"> </w:t>
            </w:r>
            <w:r>
              <w:rPr>
                <w:rFonts w:hint="eastAsia" w:ascii="仿宋_GB2312" w:eastAsia="仿宋_GB2312" w:cs="仿宋_GB2312"/>
                <w:sz w:val="28"/>
                <w:szCs w:val="28"/>
              </w:rPr>
              <w:t>202</w:t>
            </w:r>
            <w:r>
              <w:rPr>
                <w:rFonts w:ascii="仿宋_GB2312" w:eastAsia="仿宋_GB2312" w:cs="仿宋_GB2312"/>
                <w:sz w:val="28"/>
                <w:szCs w:val="28"/>
              </w:rPr>
              <w:t>6</w:t>
            </w:r>
            <w:r>
              <w:rPr>
                <w:rFonts w:hint="eastAsia" w:ascii="仿宋_GB2312" w:eastAsia="仿宋_GB2312" w:cs="仿宋_GB2312"/>
                <w:sz w:val="28"/>
                <w:szCs w:val="28"/>
              </w:rPr>
              <w:t>年</w:t>
            </w:r>
            <w:r>
              <w:rPr>
                <w:rFonts w:ascii="仿宋_GB2312" w:eastAsia="仿宋_GB2312" w:cs="仿宋_GB2312"/>
                <w:sz w:val="28"/>
                <w:szCs w:val="28"/>
              </w:rPr>
              <w:t>2</w:t>
            </w:r>
            <w:r>
              <w:rPr>
                <w:rFonts w:hint="eastAsia" w:ascii="仿宋_GB2312" w:eastAsia="仿宋_GB2312" w:cs="仿宋_GB2312"/>
                <w:sz w:val="28"/>
                <w:szCs w:val="28"/>
              </w:rPr>
              <w:t>月</w:t>
            </w:r>
            <w:r>
              <w:rPr>
                <w:rFonts w:ascii="仿宋_GB2312" w:eastAsia="仿宋_GB2312" w:cs="仿宋_GB2312"/>
                <w:sz w:val="28"/>
                <w:szCs w:val="28"/>
                <w:lang w:val="en-US" w:eastAsia="zh-CN"/>
              </w:rPr>
              <w:t>13</w:t>
            </w:r>
            <w:r>
              <w:rPr>
                <w:rFonts w:hint="eastAsia" w:ascii="仿宋_GB2312" w:eastAsia="仿宋_GB2312" w:cs="仿宋_GB2312"/>
                <w:sz w:val="28"/>
                <w:szCs w:val="28"/>
              </w:rPr>
              <w:t xml:space="preserve">日印发    </w:t>
            </w:r>
          </w:p>
        </w:tc>
      </w:tr>
    </w:tbl>
    <w:p w14:paraId="291C27F4">
      <w:pPr>
        <w:spacing w:line="560" w:lineRule="exact"/>
      </w:pPr>
    </w:p>
    <w:sectPr>
      <w:pgSz w:w="11907" w:h="16840"/>
      <w:pgMar w:top="2041" w:right="1531" w:bottom="2041" w:left="1531"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方正小标宋简体">
    <w:altName w:val="黑体"/>
    <w:panose1 w:val="02000000000000000000"/>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439EEF50">
    <w:panose1 w:val="02010609060101010101"/>
    <w:charset w:val="86"/>
    <w:family w:val="auto"/>
    <w:pitch w:val="default"/>
    <w:sig w:usb0="00000001" w:usb1="00000000" w:usb2="00000000" w:usb3="00000000" w:csb0="00040001" w:csb1="00000000"/>
  </w:font>
  <w:font w:name="KSOFF9CC612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9B0FA1">
    <w:pPr>
      <w:pStyle w:val="7"/>
      <w:framePr w:wrap="around" w:vAnchor="text" w:hAnchor="margin" w:xAlign="center" w:y="1"/>
      <w:pBdr>
        <w:top w:val="none" w:color="auto" w:sz="0" w:space="0"/>
        <w:left w:val="none" w:color="auto" w:sz="0" w:space="0"/>
        <w:bottom w:val="none" w:color="auto" w:sz="0" w:space="0"/>
        <w:right w:val="none" w:color="auto" w:sz="0" w:space="0"/>
      </w:pBdr>
      <w:rPr>
        <w:rFonts w:hint="eastAsia" w:ascii="宋体"/>
        <w:sz w:val="28"/>
        <w:szCs w:val="28"/>
      </w:rPr>
    </w:pPr>
    <w:r>
      <w:rPr>
        <w:rStyle w:val="11"/>
        <w:rFonts w:hint="eastAsia" w:ascii="宋体"/>
        <w:sz w:val="28"/>
        <w:szCs w:val="28"/>
      </w:rPr>
      <w:fldChar w:fldCharType="begin"/>
    </w:r>
    <w:r>
      <w:rPr>
        <w:rStyle w:val="11"/>
        <w:rFonts w:hint="eastAsia" w:ascii="宋体"/>
        <w:sz w:val="28"/>
        <w:szCs w:val="28"/>
      </w:rPr>
      <w:instrText xml:space="preserve">Page</w:instrText>
    </w:r>
    <w:r>
      <w:rPr>
        <w:rStyle w:val="11"/>
        <w:rFonts w:hint="eastAsia" w:ascii="宋体"/>
        <w:sz w:val="28"/>
        <w:szCs w:val="28"/>
      </w:rPr>
      <w:fldChar w:fldCharType="separate"/>
    </w:r>
    <w:r>
      <w:rPr>
        <w:rStyle w:val="11"/>
        <w:rFonts w:hint="eastAsia" w:ascii="宋体"/>
        <w:sz w:val="28"/>
        <w:szCs w:val="28"/>
      </w:rPr>
      <w:t>- 1 -</w:t>
    </w:r>
    <w:r>
      <w:rPr>
        <w:rStyle w:val="11"/>
        <w:rFonts w:hint="eastAsia" w:ascii="宋体"/>
        <w:sz w:val="28"/>
        <w:szCs w:val="28"/>
      </w:rPr>
      <w:fldChar w:fldCharType="end"/>
    </w:r>
  </w:p>
  <w:p w14:paraId="47974F78">
    <w:pPr>
      <w:pStyle w:val="7"/>
      <w:tabs>
        <w:tab w:val="clear" w:pos="4153"/>
      </w:tabs>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AD712">
    <w:pPr>
      <w:pStyle w:val="7"/>
      <w:framePr w:wrap="around" w:vAnchor="text" w:hAnchor="margin" w:xAlign="center" w:y="1"/>
      <w:pBdr>
        <w:top w:val="none" w:color="auto" w:sz="0" w:space="0"/>
        <w:left w:val="none" w:color="auto" w:sz="0" w:space="0"/>
        <w:bottom w:val="none" w:color="auto" w:sz="0" w:space="0"/>
        <w:right w:val="none" w:color="auto" w:sz="0" w:space="0"/>
      </w:pBdr>
    </w:pPr>
    <w:r>
      <w:rPr>
        <w:rStyle w:val="11"/>
      </w:rPr>
      <w:fldChar w:fldCharType="begin"/>
    </w:r>
    <w:r>
      <w:rPr>
        <w:rStyle w:val="11"/>
      </w:rPr>
      <w:instrText xml:space="preserve">Page</w:instrText>
    </w:r>
    <w:r>
      <w:rPr>
        <w:rStyle w:val="11"/>
      </w:rPr>
      <w:fldChar w:fldCharType="separate"/>
    </w:r>
    <w:r>
      <w:rPr>
        <w:rStyle w:val="11"/>
      </w:rPr>
      <w:t>- 1 -</w:t>
    </w:r>
    <w:r>
      <w:rPr>
        <w:rStyle w:val="11"/>
      </w:rPr>
      <w:fldChar w:fldCharType="end"/>
    </w:r>
  </w:p>
  <w:p w14:paraId="17D4820D">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C5CB9A">
    <w:pPr>
      <w:pStyle w:val="7"/>
      <w:framePr w:wrap="around" w:vAnchor="text" w:hAnchor="margin" w:xAlign="center" w:y="1"/>
      <w:pBdr>
        <w:top w:val="none" w:color="auto" w:sz="0" w:space="0"/>
        <w:left w:val="none" w:color="auto" w:sz="0" w:space="0"/>
        <w:bottom w:val="none" w:color="auto" w:sz="0" w:space="0"/>
        <w:right w:val="none" w:color="auto" w:sz="0" w:space="0"/>
      </w:pBdr>
    </w:pPr>
    <w:r>
      <w:rPr>
        <w:rStyle w:val="11"/>
      </w:rPr>
      <w:fldChar w:fldCharType="begin"/>
    </w:r>
    <w:r>
      <w:rPr>
        <w:rStyle w:val="11"/>
      </w:rPr>
      <w:instrText xml:space="preserve">Page</w:instrText>
    </w:r>
    <w:r>
      <w:rPr>
        <w:rStyle w:val="11"/>
      </w:rPr>
      <w:fldChar w:fldCharType="separate"/>
    </w:r>
    <w:r>
      <w:rPr>
        <w:rStyle w:val="11"/>
      </w:rPr>
      <w:t>- 1 -</w:t>
    </w:r>
    <w:r>
      <w:rPr>
        <w:rStyle w:val="11"/>
      </w:rPr>
      <w:fldChar w:fldCharType="end"/>
    </w:r>
  </w:p>
  <w:p w14:paraId="3590C346">
    <w:pPr>
      <w:pStyle w:val="7"/>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noPunctuationKerning w:val="1"/>
  <w:noLineBreaksAfter w:lang="zh-CN" w:val="$([{£¥·‘“〈《「『【〔〖〝﹙﹛﹝＄（．［｛￡￥"/>
  <w:noLineBreaksBefore w:lang="zh-CN" w:val="!%),.:;&gt;?]}¢¨°·ˇˉ―‖’”…‰′″›℃∶、。〃〉》」』】〕〗〞︶︺︾﹀﹄﹚﹜﹞！＂％＇），．：；？］｀｜｝～￠"/>
  <w:compat>
    <w:spaceForUL/>
    <w:balanceSingleByteDoubleByteWidth/>
    <w:ulTrailSpace/>
    <w:doNotExpandShiftReturn/>
    <w:adjustLineHeightInTable/>
    <w:useFELayout/>
    <w:compatSetting w:name="compatibilityMode" w:uri="http://schemas.microsoft.com/office/word" w:val="15"/>
  </w:compat>
  <w:rsids>
    <w:rsidRoot w:val="00000000"/>
    <w:rsid w:val="2B7307A6"/>
    <w:rsid w:val="6F1A6F4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qFormat="1"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Arial"/>
      <w:kern w:val="2"/>
      <w:sz w:val="21"/>
      <w:szCs w:val="24"/>
      <w:lang w:val="en-US" w:eastAsia="zh-CN" w:bidi="ar-SA"/>
    </w:rPr>
  </w:style>
  <w:style w:type="paragraph" w:styleId="2">
    <w:name w:val="heading 1"/>
    <w:basedOn w:val="1"/>
    <w:next w:val="1"/>
    <w:qFormat/>
    <w:uiPriority w:val="0"/>
    <w:pPr>
      <w:keepNext/>
      <w:keepLines/>
      <w:widowControl w:val="0"/>
      <w:spacing w:before="340" w:after="330" w:line="578" w:lineRule="auto"/>
      <w:outlineLvl w:val="0"/>
    </w:pPr>
    <w:rPr>
      <w:b/>
      <w:bCs/>
      <w:kern w:val="44"/>
      <w:sz w:val="44"/>
      <w:szCs w:val="44"/>
    </w:rPr>
  </w:style>
  <w:style w:type="paragraph" w:styleId="3">
    <w:name w:val="heading 2"/>
    <w:basedOn w:val="1"/>
    <w:next w:val="1"/>
    <w:qFormat/>
    <w:uiPriority w:val="0"/>
    <w:pPr>
      <w:keepNext/>
      <w:keepLines/>
      <w:widowControl w:val="0"/>
      <w:spacing w:before="260" w:after="260" w:line="415" w:lineRule="auto"/>
      <w:outlineLvl w:val="1"/>
    </w:pPr>
    <w:rPr>
      <w:rFonts w:ascii="Times New Roman" w:hAnsi="Times New Roman" w:eastAsia="黑体"/>
      <w:b/>
      <w:bCs/>
      <w:sz w:val="32"/>
      <w:szCs w:val="32"/>
    </w:rPr>
  </w:style>
  <w:style w:type="paragraph" w:styleId="4">
    <w:name w:val="heading 3"/>
    <w:basedOn w:val="1"/>
    <w:next w:val="1"/>
    <w:qFormat/>
    <w:uiPriority w:val="0"/>
    <w:pPr>
      <w:keepNext/>
      <w:keepLines/>
      <w:widowControl w:val="0"/>
      <w:spacing w:before="260" w:after="260" w:line="415" w:lineRule="auto"/>
      <w:outlineLvl w:val="2"/>
    </w:pPr>
    <w:rPr>
      <w:b/>
      <w:bCs/>
      <w:sz w:val="32"/>
      <w:szCs w:val="32"/>
    </w:rPr>
  </w:style>
  <w:style w:type="character" w:default="1" w:styleId="10">
    <w:name w:val="Default Paragraph Font"/>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5">
    <w:name w:val="toc 7"/>
    <w:basedOn w:val="1"/>
    <w:next w:val="1"/>
    <w:autoRedefine/>
    <w:qFormat/>
    <w:uiPriority w:val="0"/>
    <w:pPr>
      <w:ind w:left="2520"/>
    </w:pPr>
  </w:style>
  <w:style w:type="paragraph" w:styleId="6">
    <w:name w:val="index 5"/>
    <w:basedOn w:val="1"/>
    <w:next w:val="1"/>
    <w:autoRedefine/>
    <w:uiPriority w:val="0"/>
    <w:pPr>
      <w:ind w:left="1680"/>
    </w:pPr>
  </w:style>
  <w:style w:type="paragraph" w:styleId="7">
    <w:name w:val="footer"/>
    <w:basedOn w:val="1"/>
    <w:uiPriority w:val="0"/>
    <w:pPr>
      <w:widowControl w:val="0"/>
      <w:tabs>
        <w:tab w:val="center" w:pos="4153"/>
        <w:tab w:val="right" w:pos="8306"/>
      </w:tabs>
      <w:snapToGrid w:val="0"/>
      <w:jc w:val="left"/>
    </w:pPr>
    <w:rPr>
      <w:rFonts w:ascii="Calibri" w:hAnsi="Calibri" w:eastAsia="宋体" w:cs="Arial"/>
      <w:kern w:val="2"/>
      <w:sz w:val="18"/>
      <w:szCs w:val="24"/>
      <w:lang w:val="en-US" w:eastAsia="zh-CN" w:bidi="ar-SA"/>
    </w:rPr>
  </w:style>
  <w:style w:type="paragraph" w:styleId="8">
    <w:name w:val="header"/>
    <w:basedOn w:val="1"/>
    <w:uiPriority w:val="0"/>
    <w:pPr>
      <w:pBdr>
        <w:bottom w:val="single" w:color="auto" w:sz="6" w:space="1"/>
      </w:pBdr>
      <w:tabs>
        <w:tab w:val="center" w:pos="4153"/>
        <w:tab w:val="right" w:pos="8307"/>
      </w:tabs>
      <w:snapToGrid w:val="0"/>
      <w:jc w:val="center"/>
    </w:pPr>
    <w:rPr>
      <w:sz w:val="18"/>
      <w:szCs w:val="18"/>
    </w:rPr>
  </w:style>
  <w:style w:type="character" w:styleId="11">
    <w:name w:val="page number"/>
    <w:basedOn w:val="10"/>
    <w:uiPriority w:val="0"/>
  </w:style>
  <w:style w:type="character" w:styleId="12">
    <w:name w:val="Hyperlink"/>
    <w:basedOn w:val="10"/>
    <w:uiPriority w:val="0"/>
    <w:rPr>
      <w:color w:val="0000FF"/>
      <w:u w:val="single"/>
    </w:rPr>
  </w:style>
  <w:style w:type="paragraph" w:customStyle="1" w:styleId="13">
    <w:name w:val="Style"/>
    <w:uiPriority w:val="0"/>
    <w:pPr>
      <w:spacing w:before="120" w:after="120" w:line="288" w:lineRule="auto"/>
      <w:ind w:left="0"/>
      <w:jc w:val="left"/>
    </w:pPr>
    <w:rPr>
      <w:rFonts w:ascii="Arial" w:hAnsi="Arial" w:eastAsia="等线" w:cs="Arial"/>
      <w:sz w:val="22"/>
      <w:szCs w:val="22"/>
      <w:lang w:val="en-US" w:eastAsia="zh-CN" w:bidi="ar-SA"/>
    </w:rPr>
  </w:style>
  <w:style w:type="paragraph" w:customStyle="1" w:styleId="14">
    <w:name w:val="Heading 3"/>
    <w:uiPriority w:val="0"/>
    <w:pPr>
      <w:spacing w:before="300" w:after="120" w:line="288" w:lineRule="auto"/>
      <w:ind w:left="0"/>
      <w:jc w:val="left"/>
      <w:outlineLvl w:val="2"/>
    </w:pPr>
    <w:rPr>
      <w:rFonts w:ascii="Arial" w:hAnsi="Arial" w:eastAsia="等线" w:cs="Arial"/>
      <w:b/>
      <w:bCs/>
      <w:sz w:val="30"/>
      <w:szCs w:val="30"/>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Normal.eit</Template>
  <Company>Yozosoft</Company>
  <Pages>6</Pages>
  <Words>2298</Words>
  <Characters>2365</Characters>
  <Lines>123</Lines>
  <Paragraphs>28</Paragraphs>
  <TotalTime>210</TotalTime>
  <ScaleCrop>false</ScaleCrop>
  <LinksUpToDate>false</LinksUpToDate>
  <CharactersWithSpaces>2438</CharactersWithSpaces>
  <Application>WPS Office_12.1.0.25865_F1E327BC-269C-435d-A152-05C5408002CA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2021-05-08T07:28:00Z</dcterms:created>
  <dc:creator>User274</dc:creator>
  <cp:lastModifiedBy>Administrator</cp:lastModifiedBy>
  <dcterms:modified xsi:type="dcterms:W3CDTF">2026-07-24T08:31:33Z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CDCE5A8FC5C64765B0FE80A0847C7E71_13</vt:lpwstr>
  </property>
  <property fmtid="{D5CDD505-2E9C-101B-9397-08002B2CF9AE}" pid="4" name="KSOTemplateDocerSaveRecord">
    <vt:lpwstr>eyJoZGlkIjoiNTFhYTEyYjJhYzYzNzE5YjQwOWFmNWVlNzI5Y2U1NDMifQ==</vt:lpwstr>
  </property>
</Properties>
</file>