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0ABC2B">
      <w:pPr>
        <w:pStyle w:val="20"/>
        <w:spacing w:before="0" w:beforeAutospacing="0" w:after="0" w:afterAutospacing="0" w:line="561" w:lineRule="atLeast"/>
        <w:jc w:val="center"/>
        <w:rPr>
          <w:rStyle w:val="10"/>
          <w:rFonts w:cs="Calibri" w:asciiTheme="majorEastAsia" w:hAnsiTheme="majorEastAsia" w:eastAsiaTheme="majorEastAsia"/>
          <w:b/>
          <w:i w:val="0"/>
          <w:iCs w:val="0"/>
          <w:sz w:val="36"/>
          <w:szCs w:val="36"/>
        </w:rPr>
      </w:pPr>
    </w:p>
    <w:p w14:paraId="04C81DC9">
      <w:pPr>
        <w:pStyle w:val="20"/>
        <w:spacing w:before="0" w:beforeAutospacing="0" w:after="0" w:afterAutospacing="0" w:line="561" w:lineRule="atLeast"/>
        <w:jc w:val="center"/>
        <w:rPr>
          <w:rStyle w:val="10"/>
          <w:rFonts w:cs="Calibri" w:asciiTheme="majorEastAsia" w:hAnsiTheme="majorEastAsia" w:eastAsiaTheme="majorEastAsia"/>
          <w:b/>
          <w:i w:val="0"/>
          <w:iCs w:val="0"/>
          <w:sz w:val="36"/>
          <w:szCs w:val="36"/>
        </w:rPr>
      </w:pPr>
      <w:r>
        <w:rPr>
          <w:rStyle w:val="10"/>
          <w:rFonts w:hint="eastAsia" w:cs="Calibri" w:asciiTheme="majorEastAsia" w:hAnsiTheme="majorEastAsia" w:eastAsiaTheme="majorEastAsia"/>
          <w:b/>
          <w:i w:val="0"/>
          <w:iCs w:val="0"/>
          <w:sz w:val="36"/>
          <w:szCs w:val="36"/>
        </w:rPr>
        <w:t>涞源县农业农村局</w:t>
      </w:r>
    </w:p>
    <w:p w14:paraId="185DC33E">
      <w:pPr>
        <w:pStyle w:val="20"/>
        <w:spacing w:before="0" w:beforeAutospacing="0" w:after="0" w:afterAutospacing="0" w:line="561" w:lineRule="atLeast"/>
        <w:jc w:val="center"/>
        <w:rPr>
          <w:rFonts w:asciiTheme="majorEastAsia" w:hAnsiTheme="majorEastAsia" w:eastAsiaTheme="majorEastAsia"/>
          <w:b/>
          <w:sz w:val="36"/>
          <w:szCs w:val="36"/>
        </w:rPr>
      </w:pPr>
      <w:r>
        <w:rPr>
          <w:rStyle w:val="10"/>
          <w:rFonts w:hint="eastAsia" w:cs="Calibri" w:asciiTheme="majorEastAsia" w:hAnsiTheme="majorEastAsia" w:eastAsiaTheme="majorEastAsia"/>
          <w:b/>
          <w:i w:val="0"/>
          <w:iCs w:val="0"/>
          <w:sz w:val="36"/>
          <w:szCs w:val="36"/>
        </w:rPr>
        <w:t>2025</w:t>
      </w:r>
      <w:r>
        <w:rPr>
          <w:rStyle w:val="10"/>
          <w:rFonts w:hint="eastAsia" w:asciiTheme="majorEastAsia" w:hAnsiTheme="majorEastAsia" w:eastAsiaTheme="majorEastAsia"/>
          <w:b/>
          <w:i w:val="0"/>
          <w:iCs w:val="0"/>
          <w:sz w:val="36"/>
          <w:szCs w:val="36"/>
        </w:rPr>
        <w:t>年度农业行政执法工作计划</w:t>
      </w:r>
    </w:p>
    <w:p w14:paraId="66F7DA79">
      <w:pPr>
        <w:pStyle w:val="20"/>
        <w:spacing w:before="0" w:beforeAutospacing="0" w:after="0" w:afterAutospacing="0" w:line="561" w:lineRule="atLeast"/>
        <w:ind w:firstLine="640" w:firstLineChars="200"/>
        <w:rPr>
          <w:rFonts w:ascii="仿宋" w:hAnsi="仿宋" w:eastAsia="仿宋"/>
          <w:sz w:val="32"/>
          <w:szCs w:val="32"/>
        </w:rPr>
      </w:pPr>
      <w:r>
        <w:rPr>
          <w:rStyle w:val="10"/>
          <w:rFonts w:hint="eastAsia" w:ascii="仿宋" w:hAnsi="仿宋" w:eastAsia="仿宋"/>
          <w:i w:val="0"/>
          <w:iCs w:val="0"/>
          <w:sz w:val="32"/>
          <w:szCs w:val="32"/>
        </w:rPr>
        <w:t>为进一步规范农业行政执法行为，落实行政执法责任，结合涞源县农业行政执法实际情况，制定</w:t>
      </w:r>
      <w:r>
        <w:rPr>
          <w:rStyle w:val="10"/>
          <w:rFonts w:hint="eastAsia" w:ascii="仿宋" w:hAnsi="仿宋" w:eastAsia="仿宋" w:cs="Calibri"/>
          <w:i w:val="0"/>
          <w:iCs w:val="0"/>
          <w:sz w:val="32"/>
          <w:szCs w:val="32"/>
        </w:rPr>
        <w:t>2025</w:t>
      </w:r>
      <w:r>
        <w:rPr>
          <w:rStyle w:val="10"/>
          <w:rFonts w:hint="eastAsia" w:ascii="仿宋" w:hAnsi="仿宋" w:eastAsia="仿宋"/>
          <w:i w:val="0"/>
          <w:iCs w:val="0"/>
          <w:sz w:val="32"/>
          <w:szCs w:val="32"/>
        </w:rPr>
        <w:t>年度行政执法工作计划。</w:t>
      </w:r>
    </w:p>
    <w:p w14:paraId="66E8A2BD">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一、监管对象和范围</w:t>
      </w:r>
    </w:p>
    <w:p w14:paraId="564B2B1A">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color w:val="000000"/>
          <w:sz w:val="32"/>
          <w:szCs w:val="32"/>
        </w:rPr>
        <w:t>种子、种苗、农药、肥料、植物检疫、植物新品种保护、农业野生植物保护、农产品质量安全、农业转基因生物安全、动物防疫检疫、兽医兽药（渔药）、种畜禽、畜禽屠宰、饲料和饲料添加剂、动物卫生监督；渔政、水生野生动物保护；农机安全监理；农村宅基地监管等领域的生产经营主体和个人。</w:t>
      </w:r>
    </w:p>
    <w:p w14:paraId="765894FC">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二、监管内容</w:t>
      </w:r>
    </w:p>
    <w:p w14:paraId="1A59AC63">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（一）农业投入品监管。对农作物种子、农药、肥料、兽药、饲料和饲料添加剂等农业投入品开展日常监管，完成监督抽检任务，严厉打击侵权假冒、售假贩假等农资违法犯罪行为。（完成时限：全年）</w:t>
      </w:r>
    </w:p>
    <w:p w14:paraId="794DEF45">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二）农产品（畜产品、水产品）质量安全监管。以农业企业、专业合作社、家庭农场等规模主体为重点对象，以蔬菜、水果、生猪、牛羊、淡水鱼等为重点产品，围绕种植养殖环节违禁使用、兽药残留、非法添加等突出问题，严查禁限用药物违法使用、农兽药残留超标、不执行农产品生产记录、食用农产品合格证制度等违法违规行为，保障广大群众舌尖上的安全。（完成时限：全年）</w:t>
      </w:r>
    </w:p>
    <w:p w14:paraId="5A3AB072">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（三）动物</w:t>
      </w:r>
      <w:r>
        <w:rPr>
          <w:rStyle w:val="10"/>
          <w:rFonts w:hint="eastAsia" w:ascii="仿宋" w:hAnsi="仿宋" w:eastAsia="仿宋"/>
          <w:i w:val="0"/>
          <w:iCs w:val="0"/>
          <w:sz w:val="32"/>
          <w:szCs w:val="32"/>
          <w:lang w:val="en-US" w:eastAsia="zh-CN"/>
        </w:rPr>
        <w:t>卫生监督</w:t>
      </w:r>
      <w:r>
        <w:rPr>
          <w:rStyle w:val="10"/>
          <w:rFonts w:hint="eastAsia" w:ascii="仿宋" w:hAnsi="仿宋" w:eastAsia="仿宋"/>
          <w:i w:val="0"/>
          <w:iCs w:val="0"/>
          <w:sz w:val="32"/>
          <w:szCs w:val="32"/>
        </w:rPr>
        <w:t>监管。加强对动物防疫活动的管理，加大对动物饲养、屠宰、运输的执法检查力度，重点查处应当检疫而未检疫、无检疫证明和无检疫标志等违法行为。（完成时限：全年）</w:t>
      </w:r>
    </w:p>
    <w:p w14:paraId="1B25600A">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四）动物诊疗机构监管。以辖区内的动物诊所和宠物经营店为主，检查动物诊疗机构未取得《动物诊疗许可证》、超许可范围从事动物诊疗活动、注册执业兽医不符合要求等违法行为，规范动物诊疗活动和兽医从业行为。（完成时限：全年）</w:t>
      </w:r>
    </w:p>
    <w:p w14:paraId="1FB969C6">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（五）农业机械日常监管。以农机作业服务组织、</w:t>
      </w:r>
      <w:r>
        <w:rPr>
          <w:rStyle w:val="10"/>
          <w:rFonts w:hint="eastAsia" w:ascii="仿宋" w:hAnsi="仿宋" w:eastAsia="仿宋"/>
          <w:i w:val="0"/>
          <w:iCs w:val="0"/>
          <w:color w:val="000000"/>
          <w:sz w:val="32"/>
          <w:szCs w:val="32"/>
        </w:rPr>
        <w:t>种植大户、家庭农场、</w:t>
      </w:r>
      <w:r>
        <w:rPr>
          <w:rStyle w:val="10"/>
          <w:rFonts w:hint="eastAsia" w:ascii="仿宋" w:hAnsi="仿宋" w:eastAsia="仿宋"/>
          <w:i w:val="0"/>
          <w:iCs w:val="0"/>
          <w:sz w:val="32"/>
          <w:szCs w:val="32"/>
        </w:rPr>
        <w:t>农机维修网点为主要切入点，加大对未按照规定办理登记手续、无证驾驶或驾驶与本人驾驶证件不相符的拖拉机、联合收割机，或者操作未按照规定登记、检验或者检验不合格、安全设施不全、机件失效的拖拉机、联合收割机等违规行为，严厉打击使用拖拉机、联合收割机违反规定载人等违规行为。（完成时限：全年）</w:t>
      </w:r>
    </w:p>
    <w:p w14:paraId="66A5C9D2">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六）生猪定点屠宰监管。开展生猪屠宰专项执法，打击私屠滥宰等违法犯罪行为，重点打击收购、屠宰、销售、使用病害猪、病死猪、未经检验检疫或检验检疫不合格的生猪及生猪产品的违法行为。（完成时限：全年）</w:t>
      </w:r>
    </w:p>
    <w:p w14:paraId="29842E47">
      <w:pPr>
        <w:pStyle w:val="20"/>
        <w:spacing w:before="0" w:beforeAutospacing="0" w:after="0" w:afterAutospacing="0" w:line="561" w:lineRule="atLeast"/>
        <w:ind w:firstLine="641"/>
        <w:rPr>
          <w:rStyle w:val="10"/>
          <w:rFonts w:hint="eastAsia" w:ascii="仿宋" w:hAnsi="仿宋" w:eastAsia="仿宋"/>
          <w:i w:val="0"/>
          <w:iCs w:val="0"/>
          <w:sz w:val="32"/>
          <w:szCs w:val="32"/>
        </w:rPr>
      </w:pPr>
      <w:r>
        <w:rPr>
          <w:rStyle w:val="10"/>
          <w:rFonts w:hint="eastAsia" w:ascii="仿宋" w:hAnsi="仿宋" w:eastAsia="仿宋"/>
          <w:i w:val="0"/>
          <w:iCs w:val="0"/>
          <w:sz w:val="32"/>
          <w:szCs w:val="32"/>
        </w:rPr>
        <w:t>（七）水生野生动物保护监管。根据《中华人民共和国野生动物保护法》等法律法规规定，加强对捕捞者、养殖者的水生野生动物及其产品的经营行为的监管，严格规范水生野生动物的经营行为。（完成时限：</w:t>
      </w:r>
      <w:r>
        <w:rPr>
          <w:rStyle w:val="10"/>
          <w:rFonts w:hint="eastAsia" w:ascii="仿宋" w:hAnsi="仿宋" w:eastAsia="仿宋" w:cs="Calibri"/>
          <w:i w:val="0"/>
          <w:iCs w:val="0"/>
          <w:sz w:val="32"/>
          <w:szCs w:val="32"/>
        </w:rPr>
        <w:t>6</w:t>
      </w:r>
      <w:r>
        <w:rPr>
          <w:rStyle w:val="10"/>
          <w:rFonts w:hint="eastAsia" w:ascii="仿宋" w:hAnsi="仿宋" w:eastAsia="仿宋"/>
          <w:i w:val="0"/>
          <w:iCs w:val="0"/>
          <w:sz w:val="32"/>
          <w:szCs w:val="32"/>
        </w:rPr>
        <w:t>月</w:t>
      </w:r>
      <w:r>
        <w:rPr>
          <w:rStyle w:val="10"/>
          <w:rFonts w:hint="eastAsia" w:ascii="仿宋" w:hAnsi="仿宋" w:eastAsia="仿宋" w:cs="Calibri"/>
          <w:i w:val="0"/>
          <w:iCs w:val="0"/>
          <w:sz w:val="32"/>
          <w:szCs w:val="32"/>
        </w:rPr>
        <w:t>-10</w:t>
      </w:r>
      <w:r>
        <w:rPr>
          <w:rStyle w:val="10"/>
          <w:rFonts w:hint="eastAsia" w:ascii="仿宋" w:hAnsi="仿宋" w:eastAsia="仿宋"/>
          <w:i w:val="0"/>
          <w:iCs w:val="0"/>
          <w:sz w:val="32"/>
          <w:szCs w:val="32"/>
        </w:rPr>
        <w:t>月）</w:t>
      </w:r>
    </w:p>
    <w:p w14:paraId="026BEF79">
      <w:pPr>
        <w:pStyle w:val="20"/>
        <w:spacing w:before="0" w:beforeAutospacing="0" w:after="0" w:afterAutospacing="0" w:line="561" w:lineRule="atLeast"/>
        <w:ind w:firstLine="641"/>
        <w:rPr>
          <w:rStyle w:val="10"/>
          <w:rFonts w:hint="default" w:ascii="仿宋" w:hAnsi="仿宋" w:eastAsia="仿宋"/>
          <w:i w:val="0"/>
          <w:iCs w:val="0"/>
          <w:sz w:val="32"/>
          <w:szCs w:val="32"/>
          <w:lang w:val="en-US" w:eastAsia="zh-CN"/>
        </w:rPr>
      </w:pPr>
      <w:r>
        <w:rPr>
          <w:rStyle w:val="10"/>
          <w:rFonts w:hint="eastAsia" w:ascii="仿宋" w:hAnsi="仿宋" w:eastAsia="仿宋"/>
          <w:i w:val="0"/>
          <w:iCs w:val="0"/>
          <w:sz w:val="32"/>
          <w:szCs w:val="32"/>
          <w:lang w:eastAsia="zh-CN"/>
        </w:rPr>
        <w:t>（</w:t>
      </w:r>
      <w:r>
        <w:rPr>
          <w:rStyle w:val="10"/>
          <w:rFonts w:hint="eastAsia" w:ascii="仿宋" w:hAnsi="仿宋" w:eastAsia="仿宋"/>
          <w:i w:val="0"/>
          <w:iCs w:val="0"/>
          <w:sz w:val="32"/>
          <w:szCs w:val="32"/>
          <w:lang w:val="en-US" w:eastAsia="zh-CN"/>
        </w:rPr>
        <w:t>八）非法转让农村宅基地监管。根据《中华人民共和国土地管理法》规定，加强农村宅基地非法转让行为的监管力度，及时发现和制止农村宅基地违法违规行为，确保农村宅基地的合理使用。</w:t>
      </w:r>
    </w:p>
    <w:p w14:paraId="55B97C0B">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三、监管重点</w:t>
      </w:r>
      <w:bookmarkStart w:id="0" w:name="_GoBack"/>
      <w:bookmarkEnd w:id="0"/>
    </w:p>
    <w:p w14:paraId="5A238ADD">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一）开展系列执法行动。围绕种子、农药、肥料等重要农资产品，开展护农集中执法行动，在春季、夏季、秋季、冬季四个季节，分别以种植业投入品违法经营使用，畜牧业投入品违法经营使用以及动物防疫、水产养殖投入品以及农产品质量、农机安全等领域违法行为为重点，联动开展专项执法检查，实现“保春耕”“保生产”“保供应”“保安全”目标。</w:t>
      </w:r>
    </w:p>
    <w:p w14:paraId="5ECCEA68">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二）开展以种业知识产权保护为重点，对种子、种畜禽生产经营单位开展检查。春秋季用种高峰期开展销售环节现场检查，重点检查种子标签、购销台账、经营备案、植物检疫证书、“三无”种子等违法行为；重点检查生产经营许可、品种来源、产地检疫等制繁种情况，切实保障用种安全。</w:t>
      </w:r>
    </w:p>
    <w:p w14:paraId="1A0DCB6A">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三）开展渔政系列执法行动。严格落实禁渔期制度，加大禁渔区、禁渔期内涉渔违法行为的打击力度，保护渔业资源安全。严查重处各类违反渔业安全生产规定行为。开展水产品质量安全专项执法行动，加强水产养殖用投入品管理，依法打击生产、经营和使用假、劣水产养殖用药等违法行为，保障养殖水产品质量安全。</w:t>
      </w:r>
    </w:p>
    <w:p w14:paraId="10E1B512">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四）开展畜禽违法屠宰和调运专项执法行动。结合《生猪屠宰管理条例》，以整治未经定点从事屠宰活动、屠宰企业主体责任不落实、违法违规调运、违法经营畜产品为重点，严厉打击私屠滥宰、注水及非法添加违禁物质、未按规定检疫或未出具动物检疫合格证明等违法行为，切实规范家畜屠宰和调运秩序。</w:t>
      </w:r>
    </w:p>
    <w:p w14:paraId="7F7025A2">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四、工作要求</w:t>
      </w:r>
    </w:p>
    <w:p w14:paraId="7692E4BB">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一）加强组织领导。充分认识行政执法监督检查工作的重要性，切实加强组织领导，明确目标任务，落实工作责任，确保取得实效。把行政执法监督检查纳入重要议事日程，加强统一指挥，加大执法投入，强化执法保障。落实分工协作，明确监管与执法的责任界限，确保各项行动落实落地、取得实效。</w:t>
      </w:r>
    </w:p>
    <w:p w14:paraId="4A21D265">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二）严格规范执法。明确执法事项的工作程序、履职要求、办理时限、行为规范等，严格遵守法定程序和权限，严格按照检查事项执行检查。落实行政执法公示制度、执法全过程记录制度、重大执法决定法制审核“三项制度”，实现执法透明规范、合法公正。强化内部管理，强化制度约束，提高执法工作效率和执行力。规范言行、文明执法，不妨碍被检查单位正常的生产经营活动，维护法治化良好营商环境。</w:t>
      </w:r>
    </w:p>
    <w:p w14:paraId="16EAA487">
      <w:pPr>
        <w:pStyle w:val="20"/>
        <w:spacing w:before="0" w:beforeAutospacing="0" w:after="0" w:afterAutospacing="0" w:line="561" w:lineRule="atLeast"/>
        <w:ind w:firstLine="641"/>
        <w:rPr>
          <w:rFonts w:ascii="仿宋" w:hAnsi="仿宋" w:eastAsia="仿宋"/>
          <w:sz w:val="32"/>
          <w:szCs w:val="32"/>
        </w:rPr>
      </w:pPr>
      <w:r>
        <w:rPr>
          <w:rStyle w:val="10"/>
          <w:rFonts w:hint="eastAsia" w:ascii="仿宋" w:hAnsi="仿宋" w:eastAsia="仿宋"/>
          <w:i w:val="0"/>
          <w:iCs w:val="0"/>
          <w:sz w:val="32"/>
          <w:szCs w:val="32"/>
        </w:rPr>
        <w:t>（三）强化执法宣传。结合放心农资下乡进村宣传周活动、</w:t>
      </w:r>
      <w:r>
        <w:rPr>
          <w:rStyle w:val="10"/>
          <w:rFonts w:hint="eastAsia" w:ascii="仿宋" w:hAnsi="仿宋" w:eastAsia="仿宋" w:cs="Calibri"/>
          <w:i w:val="0"/>
          <w:iCs w:val="0"/>
          <w:sz w:val="32"/>
          <w:szCs w:val="32"/>
        </w:rPr>
        <w:t>3·15</w:t>
      </w:r>
      <w:r>
        <w:rPr>
          <w:rStyle w:val="10"/>
          <w:rFonts w:hint="eastAsia" w:ascii="微软雅黑" w:hAnsi="微软雅黑" w:eastAsia="仿宋" w:cs="Calibri"/>
          <w:i w:val="0"/>
          <w:iCs w:val="0"/>
          <w:sz w:val="32"/>
          <w:szCs w:val="32"/>
        </w:rPr>
        <w:t> </w:t>
      </w:r>
      <w:r>
        <w:rPr>
          <w:rStyle w:val="10"/>
          <w:rFonts w:hint="eastAsia" w:ascii="仿宋" w:hAnsi="仿宋" w:eastAsia="仿宋"/>
          <w:i w:val="0"/>
          <w:iCs w:val="0"/>
          <w:sz w:val="32"/>
          <w:szCs w:val="32"/>
        </w:rPr>
        <w:t>消费者宣传日、</w:t>
      </w:r>
      <w:r>
        <w:rPr>
          <w:rStyle w:val="10"/>
          <w:rFonts w:hint="eastAsia" w:ascii="仿宋" w:hAnsi="仿宋" w:eastAsia="仿宋" w:cs="Calibri"/>
          <w:i w:val="0"/>
          <w:iCs w:val="0"/>
          <w:sz w:val="32"/>
          <w:szCs w:val="32"/>
        </w:rPr>
        <w:t>12·4</w:t>
      </w:r>
      <w:r>
        <w:rPr>
          <w:rStyle w:val="10"/>
          <w:rFonts w:hint="eastAsia" w:ascii="微软雅黑" w:hAnsi="微软雅黑" w:eastAsia="仿宋" w:cs="Calibri"/>
          <w:i w:val="0"/>
          <w:iCs w:val="0"/>
          <w:sz w:val="32"/>
          <w:szCs w:val="32"/>
        </w:rPr>
        <w:t> </w:t>
      </w:r>
      <w:r>
        <w:rPr>
          <w:rStyle w:val="10"/>
          <w:rFonts w:hint="eastAsia" w:ascii="仿宋" w:hAnsi="仿宋" w:eastAsia="仿宋"/>
          <w:i w:val="0"/>
          <w:iCs w:val="0"/>
          <w:sz w:val="32"/>
          <w:szCs w:val="32"/>
        </w:rPr>
        <w:t>国家宪法宣传日等活动向民众普法释法。开展以案释法，宣传执法典型案例，普及农业法律法规，提高依法维权能力。</w:t>
      </w:r>
    </w:p>
    <w:p w14:paraId="0239518E">
      <w:pPr>
        <w:ind w:firstLine="640" w:firstLineChars="200"/>
        <w:rPr>
          <w:rFonts w:ascii="仿宋" w:hAnsi="仿宋" w:eastAsia="仿宋"/>
          <w:sz w:val="32"/>
          <w:szCs w:val="32"/>
        </w:rPr>
      </w:pPr>
      <w:r>
        <w:rPr>
          <w:rFonts w:hint="eastAsia" w:ascii="仿宋" w:hAnsi="仿宋" w:eastAsia="仿宋"/>
          <w:sz w:val="32"/>
          <w:szCs w:val="32"/>
        </w:rPr>
        <w:t>五、工作计划任务</w:t>
      </w:r>
    </w:p>
    <w:p w14:paraId="729493CF">
      <w:r>
        <w:rPr>
          <w:rFonts w:hint="eastAsia" w:ascii="仿宋" w:hAnsi="仿宋" w:eastAsia="仿宋"/>
          <w:sz w:val="32"/>
          <w:szCs w:val="32"/>
        </w:rPr>
        <w:t xml:space="preserve"> </w:t>
      </w:r>
      <w:r>
        <w:rPr>
          <w:rFonts w:hint="eastAsia" w:ascii="仿宋" w:hAnsi="仿宋" w:eastAsia="仿宋"/>
          <w:sz w:val="32"/>
          <w:szCs w:val="32"/>
          <w:lang w:val="en-US" w:eastAsia="zh-CN"/>
        </w:rPr>
        <w:t xml:space="preserve">  </w:t>
      </w:r>
      <w:r>
        <w:rPr>
          <w:rFonts w:hint="eastAsia" w:ascii="仿宋" w:hAnsi="仿宋" w:eastAsia="仿宋"/>
          <w:sz w:val="32"/>
          <w:szCs w:val="32"/>
        </w:rPr>
        <w:t>1</w:t>
      </w:r>
      <w:r>
        <w:rPr>
          <w:rFonts w:hint="eastAsia" w:ascii="仿宋" w:hAnsi="仿宋" w:eastAsia="仿宋"/>
          <w:sz w:val="32"/>
          <w:szCs w:val="32"/>
          <w:lang w:eastAsia="zh-CN"/>
        </w:rPr>
        <w:t>、</w:t>
      </w:r>
      <w:r>
        <w:rPr>
          <w:rFonts w:hint="eastAsia" w:ascii="仿宋" w:hAnsi="仿宋" w:eastAsia="仿宋"/>
          <w:sz w:val="32"/>
          <w:szCs w:val="32"/>
        </w:rPr>
        <w:t>对采集国家保护野生植物（农业类） 的监管不特定对象 现场检查日常巡查；2、对企业现场检查、核查；3、对动物防疫条件合格证的核发监管动物饲养场等场所现场监督检查 ； 4、对动物及动物产品检疫合格证的核发监督检查、核查  5、对肥料的监管肥料生产、 经营使用单位和个人现场监督检查 ；6、对国家重点保护农业野生植物的监管国家重点保护农业野生植物的主体现场监督检查 ；7、对禁渔期内违法行为监督检查；8、对进口、 出口水产苗种的主体现场监督检查；9、对兽药的经营主体现场监督检查、核查；10、对加工、生产农产品企业的质量安全现场监督检查；11</w:t>
      </w:r>
      <w:r>
        <w:rPr>
          <w:rFonts w:hint="eastAsia" w:ascii="仿宋" w:hAnsi="仿宋" w:eastAsia="仿宋"/>
          <w:sz w:val="32"/>
          <w:szCs w:val="32"/>
          <w:lang w:eastAsia="zh-CN"/>
        </w:rPr>
        <w:t>、</w:t>
      </w:r>
      <w:r>
        <w:rPr>
          <w:rFonts w:hint="eastAsia" w:ascii="仿宋" w:hAnsi="仿宋" w:eastAsia="仿宋"/>
          <w:sz w:val="32"/>
          <w:szCs w:val="32"/>
        </w:rPr>
        <w:t>对农药登记审批的监管农药经营者现场监督检查 ；12、对农药经营许可的监管，农药经营者现场监督检；13、对农药生产许可的监管农药经营者现场监督检查 ；14 对农业机械安全的监管现场监督检查日常巡查 ；15、对农业转基因生物标识和试验初审的监管生产经营农作物种子、 植物的主体现场监督检查、核查 ；16、对农业转基因生物的监管转基因产品经营者现场监督检查、日常巡查 ；17、对农作物种子、食用菌菌种、转基因农作物种子的监管种子生产经营企业现场监督检查、日常巡查；18、对生猪定点屠宰厂（场）设立的监管生猪定点屠宰厂（场） 现场监督检查；19、对兽药产品质量现场监督检查；20、对兽药经营活动的企业现场监督检查；21、对水产苗种产地检疫监督检查 ；22、对水产苗种生产的监管水产苗种生产主体现场监督检查；23、对农用收割机的监管现场监督检查、日常巡查；24、对养殖场、 屠宰场的“瘦肉精”监管养殖场、屠宰场现场监督检查 ；25、对种畜禽（蜂种、 蚕种） 的监管种畜禽生产经营单位和个人现场监督检查；26、对种质资源的监管种子生产经营者现场监督检查日常巡查 ； 27、对转基因、种畜禽、水产苗种生产经营许可证的监管</w:t>
      </w:r>
      <w:r>
        <w:rPr>
          <w:rFonts w:hint="eastAsia" w:ascii="仿宋" w:hAnsi="仿宋" w:eastAsia="仿宋"/>
          <w:sz w:val="32"/>
          <w:szCs w:val="32"/>
          <w:lang w:val="en-US" w:eastAsia="zh-CN"/>
        </w:rPr>
        <w:t>；28、对农村宅基地非法转让的监管</w:t>
      </w:r>
      <w:r>
        <w:rPr>
          <w:rFonts w:hint="eastAsia" w:ascii="仿宋" w:hAnsi="仿宋" w:eastAsia="仿宋"/>
          <w:sz w:val="32"/>
          <w:szCs w:val="32"/>
        </w:rPr>
        <w:t>。</w:t>
      </w:r>
      <w:r>
        <w:t xml:space="preserve"> </w:t>
      </w:r>
    </w:p>
    <w:p w14:paraId="2D20730E"/>
    <w:p w14:paraId="2AE5CEDE">
      <w:pPr>
        <w:ind w:firstLine="5600" w:firstLineChars="1750"/>
        <w:rPr>
          <w:rFonts w:ascii="仿宋" w:hAnsi="仿宋" w:eastAsia="仿宋"/>
          <w:sz w:val="32"/>
          <w:szCs w:val="32"/>
        </w:rPr>
      </w:pPr>
      <w:r>
        <w:rPr>
          <w:rFonts w:hint="eastAsia" w:ascii="仿宋" w:hAnsi="仿宋" w:eastAsia="仿宋"/>
          <w:sz w:val="32"/>
          <w:szCs w:val="32"/>
        </w:rPr>
        <w:t>涞源县农业农村局</w:t>
      </w:r>
    </w:p>
    <w:p w14:paraId="3DCE0833">
      <w:pPr>
        <w:ind w:firstLine="5600" w:firstLineChars="1750"/>
        <w:rPr>
          <w:rFonts w:ascii="仿宋" w:hAnsi="仿宋" w:eastAsia="仿宋"/>
          <w:sz w:val="32"/>
          <w:szCs w:val="32"/>
        </w:rPr>
      </w:pPr>
      <w:r>
        <w:rPr>
          <w:rFonts w:hint="eastAsia" w:ascii="仿宋" w:hAnsi="仿宋" w:eastAsia="仿宋"/>
          <w:sz w:val="32"/>
          <w:szCs w:val="32"/>
        </w:rPr>
        <w:t>2025年1月16日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A525E"/>
    <w:rsid w:val="00075D28"/>
    <w:rsid w:val="00095D18"/>
    <w:rsid w:val="000A525E"/>
    <w:rsid w:val="00142E02"/>
    <w:rsid w:val="001A7629"/>
    <w:rsid w:val="001C448F"/>
    <w:rsid w:val="001D5025"/>
    <w:rsid w:val="001F2969"/>
    <w:rsid w:val="00396603"/>
    <w:rsid w:val="004F619C"/>
    <w:rsid w:val="00693E24"/>
    <w:rsid w:val="00712310"/>
    <w:rsid w:val="00723DCA"/>
    <w:rsid w:val="00753425"/>
    <w:rsid w:val="007A27FF"/>
    <w:rsid w:val="007A71FA"/>
    <w:rsid w:val="007D18A9"/>
    <w:rsid w:val="007D55FE"/>
    <w:rsid w:val="008304AA"/>
    <w:rsid w:val="00951F9D"/>
    <w:rsid w:val="00973637"/>
    <w:rsid w:val="00BF231D"/>
    <w:rsid w:val="00C00CDB"/>
    <w:rsid w:val="00CA165C"/>
    <w:rsid w:val="00D72633"/>
    <w:rsid w:val="00E37B81"/>
    <w:rsid w:val="00E7613A"/>
    <w:rsid w:val="00EC0F4D"/>
    <w:rsid w:val="00F20D35"/>
    <w:rsid w:val="0D0F3388"/>
    <w:rsid w:val="0E985087"/>
    <w:rsid w:val="43FF541C"/>
    <w:rsid w:val="47FA2924"/>
    <w:rsid w:val="4BA4586D"/>
    <w:rsid w:val="6E4760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 w:semiHidden="0" w:name="heading 1"/>
    <w:lsdException w:uiPriority="9" w:name="heading 2"/>
    <w:lsdException w:uiPriority="9"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paragraph" w:styleId="2">
    <w:name w:val="heading 4"/>
    <w:basedOn w:val="1"/>
    <w:next w:val="1"/>
    <w:link w:val="11"/>
    <w:unhideWhenUsed/>
    <w:qFormat/>
    <w:uiPriority w:val="9"/>
    <w:pPr>
      <w:keepNext/>
      <w:keepLines/>
      <w:widowControl/>
      <w:spacing w:before="280" w:after="290" w:line="376" w:lineRule="auto"/>
      <w:ind w:firstLine="800" w:firstLineChars="250"/>
      <w:outlineLvl w:val="3"/>
    </w:pPr>
    <w:rPr>
      <w:rFonts w:asciiTheme="majorHAnsi" w:hAnsiTheme="majorHAnsi" w:eastAsiaTheme="majorEastAsia" w:cstheme="majorBidi"/>
      <w:b/>
      <w:bCs/>
      <w:sz w:val="28"/>
      <w:szCs w:val="28"/>
    </w:rPr>
  </w:style>
  <w:style w:type="paragraph" w:styleId="3">
    <w:name w:val="heading 5"/>
    <w:basedOn w:val="1"/>
    <w:next w:val="1"/>
    <w:link w:val="12"/>
    <w:unhideWhenUsed/>
    <w:qFormat/>
    <w:uiPriority w:val="9"/>
    <w:pPr>
      <w:keepNext/>
      <w:keepLines/>
      <w:widowControl/>
      <w:spacing w:before="280" w:after="290" w:line="376" w:lineRule="auto"/>
      <w:ind w:firstLine="800" w:firstLineChars="250"/>
      <w:outlineLvl w:val="4"/>
    </w:pPr>
    <w:rPr>
      <w:rFonts w:ascii="仿宋" w:hAnsi="仿宋" w:eastAsia="仿宋"/>
      <w:b/>
      <w:bCs/>
      <w:sz w:val="28"/>
      <w:szCs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22"/>
    <w:semiHidden/>
    <w:unhideWhenUsed/>
    <w:qFormat/>
    <w:uiPriority w:val="99"/>
    <w:pPr>
      <w:tabs>
        <w:tab w:val="center" w:pos="4153"/>
        <w:tab w:val="right" w:pos="8306"/>
      </w:tabs>
      <w:snapToGrid w:val="0"/>
      <w:jc w:val="left"/>
    </w:pPr>
    <w:rPr>
      <w:sz w:val="18"/>
      <w:szCs w:val="18"/>
    </w:rPr>
  </w:style>
  <w:style w:type="paragraph" w:styleId="5">
    <w:name w:val="header"/>
    <w:basedOn w:val="1"/>
    <w:link w:val="21"/>
    <w:semiHidden/>
    <w:unhideWhenUsed/>
    <w:uiPriority w:val="99"/>
    <w:pPr>
      <w:pBdr>
        <w:bottom w:val="single" w:color="auto" w:sz="6" w:space="1"/>
      </w:pBdr>
      <w:tabs>
        <w:tab w:val="center" w:pos="4153"/>
        <w:tab w:val="right" w:pos="8306"/>
      </w:tabs>
      <w:snapToGrid w:val="0"/>
      <w:jc w:val="center"/>
    </w:pPr>
    <w:rPr>
      <w:sz w:val="18"/>
      <w:szCs w:val="18"/>
    </w:rPr>
  </w:style>
  <w:style w:type="paragraph" w:styleId="6">
    <w:name w:val="Subtitle"/>
    <w:basedOn w:val="1"/>
    <w:next w:val="1"/>
    <w:link w:val="14"/>
    <w:qFormat/>
    <w:uiPriority w:val="11"/>
    <w:pPr>
      <w:widowControl/>
      <w:spacing w:before="240" w:after="60" w:line="312" w:lineRule="auto"/>
      <w:ind w:firstLine="800" w:firstLineChars="250"/>
      <w:jc w:val="center"/>
      <w:outlineLvl w:val="1"/>
    </w:pPr>
    <w:rPr>
      <w:rFonts w:asciiTheme="majorHAnsi" w:hAnsiTheme="majorHAnsi" w:cstheme="majorBidi"/>
      <w:b/>
      <w:bCs/>
      <w:kern w:val="28"/>
      <w:sz w:val="32"/>
      <w:szCs w:val="32"/>
    </w:rPr>
  </w:style>
  <w:style w:type="paragraph" w:styleId="7">
    <w:name w:val="Title"/>
    <w:basedOn w:val="1"/>
    <w:next w:val="1"/>
    <w:link w:val="13"/>
    <w:qFormat/>
    <w:uiPriority w:val="10"/>
    <w:pPr>
      <w:widowControl/>
      <w:spacing w:before="240" w:after="60"/>
      <w:ind w:firstLine="800" w:firstLineChars="250"/>
      <w:jc w:val="center"/>
      <w:outlineLvl w:val="0"/>
    </w:pPr>
    <w:rPr>
      <w:rFonts w:asciiTheme="majorHAnsi" w:hAnsiTheme="majorHAnsi" w:cstheme="majorBidi"/>
      <w:b/>
      <w:bCs/>
      <w:sz w:val="32"/>
      <w:szCs w:val="32"/>
    </w:rPr>
  </w:style>
  <w:style w:type="character" w:styleId="10">
    <w:name w:val="Emphasis"/>
    <w:basedOn w:val="9"/>
    <w:qFormat/>
    <w:uiPriority w:val="20"/>
    <w:rPr>
      <w:i/>
      <w:iCs/>
    </w:rPr>
  </w:style>
  <w:style w:type="character" w:customStyle="1" w:styleId="11">
    <w:name w:val="标题 4 Char"/>
    <w:basedOn w:val="9"/>
    <w:link w:val="2"/>
    <w:qFormat/>
    <w:uiPriority w:val="9"/>
    <w:rPr>
      <w:rFonts w:asciiTheme="majorHAnsi" w:hAnsiTheme="majorHAnsi" w:eastAsiaTheme="majorEastAsia" w:cstheme="majorBidi"/>
      <w:b/>
      <w:bCs/>
      <w:sz w:val="28"/>
      <w:szCs w:val="28"/>
    </w:rPr>
  </w:style>
  <w:style w:type="character" w:customStyle="1" w:styleId="12">
    <w:name w:val="标题 5 Char"/>
    <w:basedOn w:val="9"/>
    <w:link w:val="3"/>
    <w:uiPriority w:val="9"/>
    <w:rPr>
      <w:rFonts w:ascii="仿宋" w:hAnsi="仿宋" w:eastAsia="仿宋"/>
      <w:b/>
      <w:bCs/>
      <w:sz w:val="28"/>
      <w:szCs w:val="28"/>
    </w:rPr>
  </w:style>
  <w:style w:type="character" w:customStyle="1" w:styleId="13">
    <w:name w:val="标题 Char"/>
    <w:basedOn w:val="9"/>
    <w:link w:val="7"/>
    <w:qFormat/>
    <w:uiPriority w:val="10"/>
    <w:rPr>
      <w:rFonts w:asciiTheme="majorHAnsi" w:hAnsiTheme="majorHAnsi" w:cstheme="majorBidi"/>
      <w:b/>
      <w:bCs/>
      <w:sz w:val="32"/>
      <w:szCs w:val="32"/>
    </w:rPr>
  </w:style>
  <w:style w:type="character" w:customStyle="1" w:styleId="14">
    <w:name w:val="副标题 Char"/>
    <w:basedOn w:val="9"/>
    <w:link w:val="6"/>
    <w:qFormat/>
    <w:uiPriority w:val="11"/>
    <w:rPr>
      <w:rFonts w:asciiTheme="majorHAnsi" w:hAnsiTheme="majorHAnsi" w:cstheme="majorBidi"/>
      <w:b/>
      <w:bCs/>
      <w:kern w:val="28"/>
      <w:sz w:val="32"/>
      <w:szCs w:val="32"/>
    </w:rPr>
  </w:style>
  <w:style w:type="paragraph" w:styleId="15">
    <w:name w:val="No Spacing"/>
    <w:qFormat/>
    <w:uiPriority w:val="1"/>
    <w:pPr>
      <w:ind w:firstLine="800" w:firstLineChars="250"/>
      <w:jc w:val="both"/>
    </w:pPr>
    <w:rPr>
      <w:rFonts w:ascii="仿宋" w:hAnsi="仿宋" w:eastAsia="仿宋" w:cs="Times New Roman"/>
      <w:bCs/>
      <w:sz w:val="32"/>
      <w:szCs w:val="32"/>
      <w:lang w:val="en-US" w:eastAsia="zh-CN" w:bidi="ar-SA"/>
    </w:rPr>
  </w:style>
  <w:style w:type="paragraph" w:styleId="16">
    <w:name w:val="Quote"/>
    <w:basedOn w:val="1"/>
    <w:next w:val="1"/>
    <w:link w:val="17"/>
    <w:qFormat/>
    <w:uiPriority w:val="29"/>
    <w:pPr>
      <w:widowControl/>
      <w:ind w:firstLine="800" w:firstLineChars="250"/>
    </w:pPr>
    <w:rPr>
      <w:rFonts w:ascii="仿宋" w:hAnsi="仿宋" w:eastAsia="仿宋"/>
      <w:bCs/>
      <w:i/>
      <w:iCs/>
      <w:color w:val="000000" w:themeColor="text1"/>
      <w:sz w:val="32"/>
      <w:szCs w:val="32"/>
    </w:rPr>
  </w:style>
  <w:style w:type="character" w:customStyle="1" w:styleId="17">
    <w:name w:val="引用 Char"/>
    <w:basedOn w:val="9"/>
    <w:link w:val="16"/>
    <w:qFormat/>
    <w:uiPriority w:val="29"/>
    <w:rPr>
      <w:rFonts w:ascii="仿宋" w:hAnsi="仿宋" w:eastAsia="仿宋"/>
      <w:bCs/>
      <w:i/>
      <w:iCs/>
      <w:color w:val="000000" w:themeColor="text1"/>
      <w:sz w:val="32"/>
      <w:szCs w:val="32"/>
    </w:rPr>
  </w:style>
  <w:style w:type="character" w:customStyle="1" w:styleId="18">
    <w:name w:val="Subtle Emphasis"/>
    <w:basedOn w:val="9"/>
    <w:qFormat/>
    <w:uiPriority w:val="19"/>
    <w:rPr>
      <w:i/>
      <w:iCs/>
      <w:color w:val="7F7F7F" w:themeColor="text1" w:themeTint="7F"/>
    </w:rPr>
  </w:style>
  <w:style w:type="character" w:customStyle="1" w:styleId="19">
    <w:name w:val="Intense Emphasis"/>
    <w:basedOn w:val="9"/>
    <w:qFormat/>
    <w:uiPriority w:val="21"/>
    <w:rPr>
      <w:b/>
      <w:bCs/>
      <w:i/>
      <w:iCs/>
      <w:color w:val="4F81BD" w:themeColor="accent1"/>
    </w:rPr>
  </w:style>
  <w:style w:type="paragraph" w:customStyle="1" w:styleId="20">
    <w:name w:val="cjk"/>
    <w:basedOn w:val="1"/>
    <w:qFormat/>
    <w:uiPriority w:val="0"/>
    <w:pPr>
      <w:widowControl/>
      <w:spacing w:before="100" w:beforeAutospacing="1" w:after="100" w:afterAutospacing="1"/>
      <w:jc w:val="left"/>
    </w:pPr>
    <w:rPr>
      <w:rFonts w:ascii="宋体" w:hAnsi="宋体" w:cs="宋体"/>
      <w:sz w:val="24"/>
      <w:szCs w:val="24"/>
    </w:rPr>
  </w:style>
  <w:style w:type="character" w:customStyle="1" w:styleId="21">
    <w:name w:val="页眉 Char"/>
    <w:basedOn w:val="9"/>
    <w:link w:val="5"/>
    <w:semiHidden/>
    <w:qFormat/>
    <w:uiPriority w:val="99"/>
    <w:rPr>
      <w:sz w:val="18"/>
      <w:szCs w:val="18"/>
    </w:rPr>
  </w:style>
  <w:style w:type="character" w:customStyle="1" w:styleId="22">
    <w:name w:val="页脚 Char"/>
    <w:basedOn w:val="9"/>
    <w:link w:val="4"/>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2877</Words>
  <Characters>2910</Characters>
  <Lines>20</Lines>
  <Paragraphs>5</Paragraphs>
  <TotalTime>0</TotalTime>
  <ScaleCrop>false</ScaleCrop>
  <LinksUpToDate>false</LinksUpToDate>
  <CharactersWithSpaces>2941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2025-02-28T03:03:00Z</dcterms:created>
  <dc:creator>Administrator</dc:creator>
  <cp:lastModifiedBy>dh</cp:lastModifiedBy>
  <dcterms:modified xsi:type="dcterms:W3CDTF">2025-04-23T02:51:49Z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eyJoZGlkIjoiMTUyMWFhZThiMjU2MDk3NzcwMjVjZTY0M2Q4NDAxNWQifQ==</vt:lpwstr>
  </property>
  <property fmtid="{D5CDD505-2E9C-101B-9397-08002B2CF9AE}" pid="3" name="KSOProductBuildVer">
    <vt:lpwstr>2052-12.1.0.20784</vt:lpwstr>
  </property>
  <property fmtid="{D5CDD505-2E9C-101B-9397-08002B2CF9AE}" pid="4" name="ICV">
    <vt:lpwstr>E6C32456685C4447A4C73A1F25E08A25_12</vt:lpwstr>
  </property>
</Properties>
</file>