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宋体" w:cs="Times New Roman" w:hAnsi="Times New Roman"/>
          <w:sz w:val="20"/>
          <w:szCs w:val="20"/>
        </w:rPr>
      </w:pPr>
    </w:p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宋体" w:cs="Times New Roman" w:hAnsi="Times New Roman"/>
          <w:sz w:val="20"/>
          <w:szCs w:val="20"/>
        </w:rPr>
      </w:pPr>
    </w:p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宋体" w:cs="Times New Roman" w:hAnsi="Times New Roman"/>
          <w:sz w:val="20"/>
          <w:szCs w:val="20"/>
        </w:rPr>
      </w:pPr>
    </w:p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宋体" w:cs="Times New Roman" w:hAnsi="Times New Roman"/>
          <w:sz w:val="20"/>
          <w:szCs w:val="20"/>
        </w:rPr>
      </w:pPr>
    </w:p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宋体" w:cs="Times New Roman" w:hAnsi="Times New Roman"/>
          <w:sz w:val="20"/>
          <w:szCs w:val="20"/>
        </w:rPr>
      </w:pPr>
    </w:p>
    <w:p>
      <w:pPr>
        <w:pStyle w:val="15"/>
        <w:kinsoku w:val="0"/>
        <w:overflowPunct w:val="0"/>
        <w:autoSpaceDE w:val="0"/>
        <w:autoSpaceDN w:val="0"/>
        <w:ind w:left="0" w:right="130" w:firstLine="0"/>
        <w:jc w:val="both"/>
        <w:rPr>
          <w:rFonts w:ascii="Times New Roman" w:eastAsia="仿宋" w:cs="Times New Roman" w:hAnsi="Times New Roman"/>
        </w:rPr>
      </w:pPr>
    </w:p>
    <w:p>
      <w:pPr>
        <w:pStyle w:val="15"/>
        <w:kinsoku w:val="0"/>
        <w:overflowPunct w:val="0"/>
        <w:autoSpaceDE w:val="0"/>
        <w:autoSpaceDN w:val="0"/>
        <w:ind w:left="0" w:firstLineChars="200" w:firstLine="100"/>
        <w:rPr>
          <w:rFonts w:ascii="Times New Roman" w:cs="Times New Roman" w:hAnsi="Times New Roman"/>
          <w:sz w:val="5"/>
          <w:szCs w:val="5"/>
        </w:rPr>
      </w:pPr>
    </w:p>
    <w:p>
      <w:pPr>
        <w:pStyle w:val="15"/>
        <w:kinsoku w:val="0"/>
        <w:overflowPunct w:val="0"/>
        <w:autoSpaceDE w:val="0"/>
        <w:autoSpaceDN w:val="0"/>
        <w:ind w:left="0" w:firstLine="0"/>
        <w:rPr>
          <w:rFonts w:ascii="Times New Roman" w:cs="Times New Roman" w:hAnsi="Times New Roman"/>
        </w:rPr>
      </w:pPr>
    </w:p>
    <w:p>
      <w:pPr>
        <w:pStyle w:val="1"/>
        <w:kinsoku w:val="0"/>
        <w:overflowPunct w:val="0"/>
        <w:autoSpaceDE w:val="0"/>
        <w:autoSpaceDN w:val="0"/>
        <w:ind w:left="0" w:right="130" w:firstLine="0"/>
        <w:jc w:val="center"/>
        <w:rPr>
          <w:rFonts w:ascii="Times New Roman" w:eastAsia="方正小标宋简体" w:cs="Times New Roman" w:hAnsi="Times New Roman"/>
          <w:spacing w:val="-4"/>
        </w:rPr>
      </w:pPr>
      <w:r>
        <w:rPr>
          <w:rFonts w:ascii="Times New Roman" w:eastAsia="方正小标宋简体" w:cs="Times New Roman" w:hAnsi="Times New Roman"/>
          <w:spacing w:val="-3"/>
        </w:rPr>
        <w:t>关于</w:t>
      </w:r>
      <w:r>
        <w:rPr>
          <w:rFonts w:ascii="Times New Roman" w:eastAsia="方正小标宋简体" w:cs="Times New Roman" w:hAnsi="Times New Roman" w:hint="eastAsia"/>
          <w:spacing w:val="-3"/>
          <w:lang w:val="en-US" w:eastAsia="zh-CN"/>
        </w:rPr>
        <w:t>制定《202</w:t>
      </w:r>
      <w:r>
        <w:rPr>
          <w:rFonts w:ascii="Times New Roman" w:eastAsia="方正小标宋简体" w:cs="Times New Roman" w:hAnsi="Times New Roman"/>
          <w:spacing w:val="-3"/>
          <w:lang w:val="en-US" w:eastAsia="zh-CN"/>
        </w:rPr>
        <w:t>4</w:t>
      </w:r>
      <w:r>
        <w:rPr>
          <w:rFonts w:ascii="Times New Roman" w:eastAsia="方正小标宋简体" w:cs="Times New Roman" w:hAnsi="Times New Roman" w:hint="eastAsia"/>
          <w:spacing w:val="-3"/>
          <w:lang w:val="en-US" w:eastAsia="zh-CN"/>
        </w:rPr>
        <w:t>年度</w:t>
      </w:r>
      <w:r>
        <w:rPr>
          <w:rFonts w:ascii="Times New Roman" w:eastAsia="方正小标宋简体" w:cs="Times New Roman" w:hAnsi="Times New Roman"/>
          <w:spacing w:val="-3"/>
          <w:lang w:val="en-US" w:eastAsia="zh-CN"/>
        </w:rPr>
        <w:t>涞源县司法局</w:t>
      </w:r>
      <w:r>
        <w:rPr>
          <w:rFonts w:ascii="Times New Roman" w:eastAsia="方正小标宋简体" w:cs="Times New Roman" w:hAnsi="Times New Roman" w:hint="eastAsia"/>
          <w:spacing w:val="-3"/>
          <w:lang w:val="en-US" w:eastAsia="zh-CN"/>
        </w:rPr>
        <w:t>“双随机、一公开”监管工作培训方案》</w:t>
      </w:r>
      <w:r>
        <w:rPr>
          <w:rFonts w:ascii="Times New Roman" w:eastAsia="方正小标宋简体" w:cs="Times New Roman" w:hAnsi="Times New Roman"/>
          <w:spacing w:val="-4"/>
        </w:rPr>
        <w:t>的通知</w:t>
      </w:r>
    </w:p>
    <w:p>
      <w:pPr>
        <w:pStyle w:val="15"/>
        <w:kinsoku w:val="0"/>
        <w:overflowPunct w:val="0"/>
        <w:autoSpaceDE w:val="0"/>
        <w:autoSpaceDN w:val="0"/>
        <w:ind w:left="0" w:firstLineChars="200" w:firstLine="660"/>
        <w:rPr>
          <w:rFonts w:ascii="Times New Roman" w:cs="Times New Roman" w:hAnsi="Times New Roman"/>
          <w:sz w:val="33"/>
          <w:szCs w:val="33"/>
        </w:rPr>
      </w:pPr>
    </w:p>
    <w:p>
      <w:pPr>
        <w:pStyle w:val="15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/>
        <w:jc w:val="both"/>
        <w:textAlignment w:val="auto"/>
        <w:rPr>
          <w:rFonts w:ascii="仿宋" w:eastAsia="仿宋" w:cs="仿宋" w:hint="eastAsia"/>
        </w:rPr>
      </w:pPr>
    </w:p>
    <w:p>
      <w:pPr>
        <w:pStyle w:val="15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adjustRightInd w:val="0"/>
        <w:snapToGrid/>
        <w:spacing w:line="560" w:lineRule="exact"/>
        <w:ind w:left="0" w:rightChars="11" w:right="26" w:firstLineChars="200" w:firstLine="640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为深入贯彻落实国务院、省委省政府、市委市政府、县委县政府关于深化 “放管服”改革优化营商环境部署要求，不断深入推进我县“双随机、 一公开”监管工作，我</w:t>
      </w:r>
      <w:r>
        <w:rPr>
          <w:rFonts w:ascii="仿宋" w:eastAsia="仿宋" w:cs="仿宋"/>
          <w:lang w:val="en-US" w:eastAsia="zh-CN"/>
        </w:rPr>
        <w:t>局</w:t>
      </w:r>
      <w:r>
        <w:rPr>
          <w:rFonts w:ascii="仿宋" w:eastAsia="仿宋" w:cs="仿宋" w:hint="eastAsia"/>
          <w:lang w:val="en-US" w:eastAsia="zh-CN"/>
        </w:rPr>
        <w:t>制定了《202</w:t>
      </w:r>
      <w:r>
        <w:rPr>
          <w:rFonts w:ascii="仿宋" w:eastAsia="仿宋" w:cs="仿宋"/>
          <w:lang w:val="en-US" w:eastAsia="zh-CN"/>
        </w:rPr>
        <w:t>4</w:t>
      </w:r>
      <w:r>
        <w:rPr>
          <w:rFonts w:ascii="仿宋" w:eastAsia="仿宋" w:cs="仿宋" w:hint="eastAsia"/>
          <w:lang w:val="en-US" w:eastAsia="zh-CN"/>
        </w:rPr>
        <w:t>年度涞源县</w:t>
      </w:r>
      <w:r>
        <w:rPr>
          <w:rFonts w:ascii="仿宋" w:eastAsia="仿宋" w:cs="仿宋"/>
          <w:lang w:val="en-US" w:eastAsia="zh-CN"/>
        </w:rPr>
        <w:t>司法局</w:t>
      </w:r>
      <w:r>
        <w:rPr>
          <w:rFonts w:ascii="仿宋" w:eastAsia="仿宋" w:cs="仿宋" w:hint="eastAsia"/>
          <w:lang w:val="en-US" w:eastAsia="zh-CN"/>
        </w:rPr>
        <w:t>“双随机、一公开”监管工作培训方案》。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rPr>
          <w:rFonts w:ascii="Times New Roman" w:eastAsia="仿宋_GB2312" w:cs="Times New Roman" w:hAnsi="Times New Roman" w:hint="eastAsia"/>
          <w:lang w:eastAsia="zh-CN"/>
        </w:rPr>
      </w:pPr>
      <w:r>
        <w:rPr>
          <w:rFonts w:ascii="Times New Roman" w:eastAsia="仿宋_GB2312" w:cs="Times New Roman" w:hAnsi="Times New Roman" w:hint="eastAsia"/>
        </w:rPr>
        <w:t xml:space="preserve">            </w:t>
      </w:r>
      <w:r>
        <w:rPr>
          <w:rFonts w:ascii="Times New Roman" w:eastAsia="仿宋_GB2312" w:cs="Times New Roman" w:hAnsi="Times New Roman" w:hint="eastAsia"/>
          <w:lang w:val="en-US" w:eastAsia="zh-CN"/>
        </w:rPr>
        <w:t xml:space="preserve"> 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/>
        </w:rPr>
      </w:pPr>
      <w:r>
        <w:rPr>
          <w:rFonts w:ascii="Times New Roman" w:eastAsia="仿宋_GB2312" w:cs="Times New Roman" w:hAnsi="Times New Roman"/>
        </w:rPr>
        <w:t xml:space="preserve">                                                         2024年1月31日</w:t>
      </w:r>
      <w:r>
        <w:rPr>
          <w:rFonts w:ascii="Times New Roman" w:eastAsia="仿宋_GB2312" w:cs="Times New Roman" w:hAnsi="Times New Roman" w:hint="eastAsia"/>
        </w:rPr>
        <w:t xml:space="preserve">          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Chars="200" w:firstLine="640"/>
        <w:jc w:val="center"/>
        <w:rPr>
          <w:rFonts w:ascii="Times New Roman" w:eastAsia="仿宋_GB2312" w:cs="Times New Roman" w:hAnsi="Times New Roman" w:hint="eastAsia"/>
        </w:rPr>
      </w:pPr>
      <w:r>
        <w:rPr>
          <w:rFonts w:ascii="Times New Roman" w:eastAsia="仿宋_GB2312" w:cs="Times New Roman" w:hAnsi="Times New Roman"/>
        </w:rPr>
        <w:t xml:space="preserve">                                                        涞源县司法局</w:t>
      </w:r>
      <w:r>
        <w:rPr>
          <w:rFonts w:ascii="Times New Roman" w:eastAsia="仿宋_GB2312" w:cs="Times New Roman" w:hAnsi="Times New Roman" w:hint="eastAsia"/>
        </w:rPr>
        <w:t xml:space="preserve">           </w:t>
      </w:r>
      <w:r>
        <w:rPr>
          <w:rFonts w:ascii="Times New Roman" w:eastAsia="仿宋_GB2312" w:cs="Times New Roman" w:hAnsi="Times New Roman" w:hint="eastAsia"/>
          <w:lang w:val="en-US" w:eastAsia="zh-CN"/>
        </w:rPr>
        <w:t xml:space="preserve">         </w:t>
      </w:r>
    </w:p>
    <w:p>
      <w:pPr>
        <w:pStyle w:val="15"/>
        <w:kinsoku w:val="0"/>
        <w:overflowPunct w:val="0"/>
        <w:autoSpaceDE w:val="0"/>
        <w:autoSpaceDN w:val="0"/>
        <w:ind w:left="0" w:firstLineChars="200" w:firstLine="160"/>
        <w:rPr>
          <w:rFonts w:ascii="Times New Roman" w:cs="Times New Roman" w:hAnsi="Times New Roman"/>
          <w:sz w:val="8"/>
          <w:szCs w:val="8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880"/>
        <w:rPr>
          <w:rFonts w:ascii="Times New Roman" w:cs="Times New Roman" w:hAnsi="Times New Roman" w:hint="eastAsia"/>
          <w:sz w:val="44"/>
          <w:szCs w:val="44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880"/>
        <w:rPr>
          <w:rFonts w:ascii="Times New Roman" w:cs="Times New Roman" w:hAnsi="Times New Roman"/>
          <w:b/>
          <w:bCs/>
          <w:sz w:val="44"/>
          <w:szCs w:val="44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880"/>
        <w:rPr>
          <w:rFonts w:ascii="Times New Roman" w:cs="Times New Roman" w:hAnsi="Times New Roman"/>
          <w:b/>
          <w:bCs/>
          <w:sz w:val="44"/>
          <w:szCs w:val="44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880"/>
        <w:rPr>
          <w:rFonts w:ascii="Times New Roman" w:cs="Times New Roman" w:hAnsi="Times New Roman"/>
          <w:b/>
          <w:bCs/>
          <w:sz w:val="44"/>
          <w:szCs w:val="44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880"/>
        <w:rPr>
          <w:rFonts w:ascii="Times New Roman" w:cs="Times New Roman" w:hAnsi="Times New Roman" w:hint="eastAsia"/>
          <w:b/>
          <w:bCs/>
          <w:sz w:val="44"/>
          <w:szCs w:val="44"/>
          <w:lang w:val="en-US" w:eastAsia="zh-CN"/>
        </w:rPr>
      </w:pPr>
      <w:r>
        <w:rPr>
          <w:rFonts w:ascii="Times New Roman" w:cs="Times New Roman" w:hAnsi="Times New Roman" w:hint="eastAsia"/>
          <w:b/>
          <w:bCs/>
          <w:sz w:val="44"/>
          <w:szCs w:val="44"/>
          <w:lang w:val="en-US" w:eastAsia="zh-CN"/>
        </w:rPr>
        <w:t>202</w:t>
      </w:r>
      <w:r>
        <w:rPr>
          <w:rFonts w:ascii="Times New Roman" w:cs="Times New Roman" w:hAnsi="Times New Roman"/>
          <w:b/>
          <w:bCs/>
          <w:sz w:val="44"/>
          <w:szCs w:val="44"/>
          <w:lang w:val="en-US" w:eastAsia="zh-CN"/>
        </w:rPr>
        <w:t>4</w:t>
      </w:r>
      <w:r>
        <w:rPr>
          <w:rFonts w:ascii="Times New Roman" w:cs="Times New Roman" w:hAnsi="Times New Roman" w:hint="eastAsia"/>
          <w:b/>
          <w:bCs/>
          <w:sz w:val="44"/>
          <w:szCs w:val="44"/>
          <w:lang w:val="en-US" w:eastAsia="zh-CN"/>
        </w:rPr>
        <w:t>年度涞源县“双随机、一公开”</w:t>
      </w:r>
    </w:p>
    <w:p>
      <w:pPr>
        <w:pStyle w:val="15"/>
        <w:kinsoku w:val="0"/>
        <w:overflowPunct w:val="0"/>
        <w:autoSpaceDE w:val="0"/>
        <w:autoSpaceDN w:val="0"/>
        <w:ind w:left="116" w:firstLineChars="500" w:firstLine="2200"/>
        <w:jc w:val="both"/>
        <w:rPr>
          <w:rFonts w:ascii="Times New Roman" w:cs="Times New Roman" w:hAnsi="Times New Roman" w:hint="eastAsia"/>
          <w:b/>
          <w:bCs/>
          <w:sz w:val="44"/>
          <w:szCs w:val="44"/>
          <w:lang w:val="en-US" w:eastAsia="zh-CN"/>
        </w:rPr>
      </w:pPr>
      <w:r>
        <w:rPr>
          <w:rFonts w:ascii="Times New Roman" w:cs="Times New Roman" w:hAnsi="Times New Roman" w:hint="eastAsia"/>
          <w:b/>
          <w:bCs/>
          <w:sz w:val="44"/>
          <w:szCs w:val="44"/>
          <w:lang w:val="en-US" w:eastAsia="zh-CN"/>
        </w:rPr>
        <w:t>监管工作培训方案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/>
        <w:jc w:val="both"/>
        <w:rPr>
          <w:rFonts w:ascii="仿宋" w:eastAsia="仿宋" w:cs="仿宋" w:hint="eastAsia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为贯彻落实各部门在市场监管领域全面推行“双随机、一公开”的监管要求，不断深入推进我</w:t>
      </w:r>
      <w:r>
        <w:rPr>
          <w:rFonts w:ascii="仿宋" w:eastAsia="仿宋" w:cs="仿宋"/>
          <w:lang w:val="en-US" w:eastAsia="zh-CN"/>
        </w:rPr>
        <w:t>县</w:t>
      </w:r>
      <w:r>
        <w:rPr>
          <w:rFonts w:ascii="仿宋" w:eastAsia="仿宋" w:cs="仿宋" w:hint="eastAsia"/>
          <w:lang w:val="en-US" w:eastAsia="zh-CN"/>
        </w:rPr>
        <w:t>“双随机、一公开”监管工作，提升</w:t>
      </w:r>
      <w:r>
        <w:rPr>
          <w:rFonts w:ascii="仿宋" w:eastAsia="仿宋" w:cs="仿宋"/>
          <w:lang w:val="en-US" w:eastAsia="zh-CN"/>
        </w:rPr>
        <w:t>我局</w:t>
      </w:r>
      <w:r>
        <w:rPr>
          <w:rFonts w:ascii="仿宋" w:eastAsia="仿宋" w:cs="仿宋" w:hint="eastAsia"/>
          <w:lang w:val="en-US" w:eastAsia="zh-CN"/>
        </w:rPr>
        <w:t>“双随机、一公开”监管工作人员业务能力和监管水平，制定此方案：</w:t>
      </w:r>
    </w:p>
    <w:p>
      <w:pPr>
        <w:pStyle w:val="15"/>
        <w:kinsoku w:val="0"/>
        <w:overflowPunct w:val="0"/>
        <w:autoSpaceDE w:val="0"/>
        <w:autoSpaceDN w:val="0"/>
        <w:ind w:left="116" w:firstLineChars="200" w:firstLine="640"/>
        <w:jc w:val="left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一、培训人员</w:t>
      </w: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40"/>
        <w:rPr>
          <w:rFonts w:ascii="Times New Roman" w:cs="Times New Roman" w:hAnsi="Times New Roman"/>
          <w:sz w:val="2"/>
          <w:szCs w:val="2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“双随机、一公开”监管工作负责具体工作人员。</w:t>
      </w:r>
    </w:p>
    <w:p>
      <w:pPr>
        <w:pStyle w:val="15"/>
        <w:numPr>
          <w:ilvl w:val="0"/>
          <w:numId w:val="1"/>
        </w:numPr>
        <w:kinsoku w:val="0"/>
        <w:overflowPunct w:val="0"/>
        <w:autoSpaceDE w:val="0"/>
        <w:autoSpaceDN w:val="0"/>
        <w:ind w:left="0" w:firstLineChars="200" w:firstLine="640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培训</w:t>
      </w:r>
      <w:r>
        <w:rPr>
          <w:rFonts w:ascii="黑体" w:eastAsia="黑体" w:cs="黑体"/>
          <w:sz w:val="32"/>
          <w:szCs w:val="32"/>
          <w:lang w:val="en-US" w:eastAsia="zh-CN"/>
        </w:rPr>
        <w:t>方式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采取集中培训</w:t>
      </w:r>
      <w:r>
        <w:rPr>
          <w:rFonts w:ascii="仿宋" w:eastAsia="仿宋" w:cs="仿宋"/>
          <w:lang w:val="en-US" w:eastAsia="zh-CN"/>
        </w:rPr>
        <w:t>。</w:t>
      </w:r>
    </w:p>
    <w:p>
      <w:pPr>
        <w:pStyle w:val="15"/>
        <w:numPr>
          <w:ilvl w:val="0"/>
          <w:numId w:val="1"/>
        </w:numPr>
        <w:kinsoku w:val="0"/>
        <w:overflowPunct w:val="0"/>
        <w:autoSpaceDE w:val="0"/>
        <w:autoSpaceDN w:val="0"/>
        <w:ind w:left="108" w:firstLineChars="200" w:firstLine="640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培训时间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计划组织培训两次：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第一次：</w:t>
      </w:r>
      <w:r>
        <w:rPr>
          <w:rFonts w:ascii="仿宋" w:eastAsia="仿宋" w:cs="仿宋"/>
          <w:lang w:val="en-US" w:eastAsia="zh-CN"/>
        </w:rPr>
        <w:t>1</w:t>
      </w:r>
      <w:r>
        <w:rPr>
          <w:rFonts w:ascii="仿宋" w:eastAsia="仿宋" w:cs="仿宋" w:hint="eastAsia"/>
          <w:lang w:val="en-US" w:eastAsia="zh-CN"/>
        </w:rPr>
        <w:t>-6月份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第二次：7-9月份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依据实际工作需要具体培训时间另行通知。</w:t>
      </w:r>
    </w:p>
    <w:p>
      <w:pPr>
        <w:pStyle w:val="15"/>
        <w:numPr>
          <w:ilvl w:val="0"/>
          <w:numId w:val="1"/>
        </w:numPr>
        <w:tabs>
          <w:tab w:val="left" w:pos="480"/>
        </w:tabs>
        <w:kinsoku w:val="0"/>
        <w:overflowPunct w:val="0"/>
        <w:autoSpaceDE w:val="0"/>
        <w:autoSpaceDN w:val="0"/>
        <w:ind w:left="108" w:firstLineChars="200" w:firstLine="640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培训目标和内容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培训目标：使受训人员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用风险分级分类相结合的能力，提升业务能力和执法水平。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培训内容：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；各部门工作学习交流。</w:t>
      </w:r>
    </w:p>
    <w:p>
      <w:pPr>
        <w:pStyle w:val="15"/>
        <w:numPr>
          <w:ilvl w:val="0"/>
          <w:numId w:val="1"/>
        </w:numPr>
        <w:tabs>
          <w:tab w:val="left" w:pos="480"/>
        </w:tabs>
        <w:kinsoku w:val="0"/>
        <w:overflowPunct w:val="0"/>
        <w:autoSpaceDE w:val="0"/>
        <w:autoSpaceDN w:val="0"/>
        <w:ind w:left="108" w:firstLineChars="200" w:firstLine="640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培训要求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（一）高度重视，确保效果。各部门要积极参与配合，严格按照计划要求选派参训人员；参训人员要全身心投入培训，认真研究“双随机、一公开”监管工作政策、背景，熟练掌握河北省双随机监管工作平台的操作使用。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（二）培训的原则和形式。按照谁管人、谁培训的分级管理、分级培训原则组织培训。结合单位实际，因地制宜、因材施教，外培与内训相结合，室内培训和现场培训相结合，选取最佳的方法和形式，组织展开培训。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 w:hint="eastAsia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/>
          <w:lang w:val="en-US" w:eastAsia="zh-CN"/>
        </w:rPr>
      </w:pPr>
      <w:r>
        <w:rPr>
          <w:rFonts w:ascii="仿宋" w:eastAsia="仿宋" w:cs="仿宋" w:hint="eastAsia"/>
          <w:lang w:val="en-US" w:eastAsia="zh-CN"/>
        </w:rPr>
        <w:t>附件：202</w:t>
      </w:r>
      <w:r>
        <w:rPr>
          <w:rFonts w:ascii="仿宋" w:eastAsia="仿宋" w:cs="仿宋"/>
          <w:lang w:val="en-US" w:eastAsia="zh-CN"/>
        </w:rPr>
        <w:t>4</w:t>
      </w:r>
      <w:r>
        <w:rPr>
          <w:rFonts w:ascii="仿宋" w:eastAsia="仿宋" w:cs="仿宋" w:hint="eastAsia"/>
          <w:lang w:val="en-US" w:eastAsia="zh-CN"/>
        </w:rPr>
        <w:t>年度涞源县“双随机、一公开”监管工作培训计划</w:t>
      </w: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right="18" w:firstLineChars="200" w:firstLine="640"/>
        <w:jc w:val="both"/>
        <w:rPr>
          <w:rFonts w:ascii="仿宋" w:eastAsia="仿宋" w:cs="仿宋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spacing w:line="560" w:lineRule="exact"/>
        <w:ind w:left="0" w:right="18" w:firstLine="0"/>
        <w:jc w:val="both"/>
        <w:rPr>
          <w:rFonts w:ascii="仿宋" w:eastAsia="仿宋" w:cs="仿宋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640"/>
        <w:rPr>
          <w:rFonts w:ascii="仿宋" w:eastAsia="仿宋" w:cs="仿宋"/>
          <w:sz w:val="32"/>
          <w:szCs w:val="32"/>
          <w:lang w:val="en-US" w:eastAsia="zh-CN"/>
        </w:rPr>
      </w:pPr>
    </w:p>
    <w:p>
      <w:pPr>
        <w:pStyle w:val="15"/>
        <w:kinsoku w:val="0"/>
        <w:overflowPunct w:val="0"/>
        <w:autoSpaceDE w:val="0"/>
        <w:autoSpaceDN w:val="0"/>
        <w:ind w:left="116" w:firstLineChars="200" w:firstLine="640"/>
        <w:rPr>
          <w:rFonts w:ascii="仿宋" w:eastAsia="仿宋" w:cs="仿宋"/>
          <w:sz w:val="32"/>
          <w:szCs w:val="32"/>
          <w:lang w:val="en-US" w:eastAsia="zh-CN"/>
        </w:rPr>
        <w:sectPr>
          <w:footerReference w:type="default" r:id="rId2"/>
          <w:footerReference w:type="even" r:id="rId3"/>
          <w:type w:val="continuous"/>
          <w:pgSz w:w="11910" w:h="16840"/>
          <w:pgMar w:top="1984" w:right="1417" w:bottom="1701" w:left="1531" w:header="0" w:footer="0" w:gutter="0"/>
          <w:rtlGutter/>
          <w:docGrid w:linePitch="326" w:charSpace="0"/>
        </w:sectPr>
      </w:pPr>
    </w:p>
    <w:p>
      <w:pPr>
        <w:pStyle w:val="15"/>
        <w:kinsoku w:val="0"/>
        <w:overflowPunct w:val="0"/>
        <w:autoSpaceDE w:val="0"/>
        <w:autoSpaceDN w:val="0"/>
        <w:ind w:left="0" w:firstLine="0"/>
        <w:rPr>
          <w:rFonts w:ascii="黑体" w:eastAsia="黑体" w:cs="黑体" w:hint="eastAsia"/>
          <w:sz w:val="32"/>
          <w:szCs w:val="32"/>
          <w:lang w:val="en-US" w:eastAsia="zh-CN"/>
        </w:rPr>
      </w:pPr>
      <w:r>
        <w:rPr>
          <w:rFonts w:ascii="黑体" w:eastAsia="黑体" w:cs="黑体" w:hint="eastAsia"/>
          <w:sz w:val="32"/>
          <w:szCs w:val="32"/>
          <w:lang w:val="en-US" w:eastAsia="zh-CN"/>
        </w:rPr>
        <w:t>附件</w:t>
      </w:r>
    </w:p>
    <w:p>
      <w:pPr>
        <w:pStyle w:val="15"/>
        <w:tabs>
          <w:tab w:val="left" w:pos="12960"/>
          <w:tab w:val="left" w:pos="13200"/>
        </w:tabs>
        <w:kinsoku w:val="0"/>
        <w:overflowPunct w:val="0"/>
        <w:autoSpaceDE w:val="0"/>
        <w:autoSpaceDN w:val="0"/>
        <w:ind w:left="116" w:firstLineChars="200" w:firstLine="880"/>
        <w:jc w:val="center"/>
        <w:rPr>
          <w:rFonts w:ascii="黑体" w:eastAsia="黑体" w:cs="黑体" w:hint="eastAsia"/>
          <w:b/>
          <w:bCs/>
          <w:sz w:val="44"/>
          <w:szCs w:val="44"/>
          <w:lang w:val="en-US" w:eastAsia="zh-CN"/>
        </w:rPr>
      </w:pPr>
      <w:r>
        <w:rPr>
          <w:rFonts w:ascii="黑体" w:eastAsia="黑体" w:cs="黑体" w:hint="eastAsia"/>
          <w:b/>
          <w:bCs/>
          <w:sz w:val="44"/>
          <w:szCs w:val="44"/>
          <w:lang w:val="en-US" w:eastAsia="zh-CN"/>
        </w:rPr>
        <w:t>202</w:t>
      </w:r>
      <w:r>
        <w:rPr>
          <w:rFonts w:ascii="黑体" w:eastAsia="黑体" w:cs="黑体"/>
          <w:b/>
          <w:bCs/>
          <w:sz w:val="44"/>
          <w:szCs w:val="44"/>
          <w:lang w:val="en-US" w:eastAsia="zh-CN"/>
        </w:rPr>
        <w:t>4</w:t>
      </w:r>
      <w:r>
        <w:rPr>
          <w:rFonts w:ascii="黑体" w:eastAsia="黑体" w:cs="黑体" w:hint="eastAsia"/>
          <w:b/>
          <w:bCs/>
          <w:sz w:val="44"/>
          <w:szCs w:val="44"/>
          <w:lang w:val="en-US" w:eastAsia="zh-CN"/>
        </w:rPr>
        <w:t>年度涞源县“双随机、一公开”监管工作培训计划</w:t>
      </w:r>
    </w:p>
    <w:tbl>
      <w:tblPr>
        <w:tblpPr w:leftFromText="180" w:rightFromText="180" w:vertAnchor="text" w:horzAnchor="page" w:tblpX="1626" w:tblpY="296"/>
        <w:tblOverlap w:val="never"/>
        <w:tblW w:w="13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rPr>
          <w:trHeight w:val="865"/>
        </w:trPr>
        <w:tc>
          <w:tcPr>
            <w:tcW w:w="26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rPr>
          <w:trHeight w:val="865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202</w:t>
            </w:r>
            <w:r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年</w:t>
            </w:r>
            <w:r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-6月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ind w:left="0" w:firstLine="0"/>
              <w:jc w:val="both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lang w:val="en-US" w:eastAsia="zh-CN"/>
              </w:rPr>
              <w:t>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  <w:t>我局</w:t>
            </w: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“双随机、一公开”</w:t>
            </w:r>
          </w:p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负责具体工作人员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宋体" w:eastAsia="宋体" w:cs="宋体"/>
                <w:sz w:val="32"/>
                <w:szCs w:val="32"/>
                <w:vertAlign w:val="baseline"/>
                <w:lang w:val="en-US" w:eastAsia="zh-CN"/>
              </w:rPr>
              <w:t>局内部培训</w:t>
            </w:r>
          </w:p>
        </w:tc>
      </w:tr>
      <w:tr>
        <w:trPr>
          <w:trHeight w:val="880"/>
        </w:trPr>
        <w:tc>
          <w:tcPr>
            <w:tcW w:w="2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202</w:t>
            </w:r>
            <w:r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年7-9月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ind w:left="0" w:firstLine="0"/>
              <w:jc w:val="both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both"/>
              <w:rPr>
                <w:rFonts w:ascii="宋体" w:eastAsia="宋体" w:cs="宋体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/>
                <w:sz w:val="32"/>
                <w:szCs w:val="32"/>
                <w:vertAlign w:val="baseline"/>
                <w:lang w:val="en-US" w:eastAsia="zh-CN"/>
              </w:rPr>
              <w:t>我局</w:t>
            </w: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“双随机、一公开”负责具体工作人员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15"/>
              <w:tabs>
                <w:tab w:val="left" w:pos="12960"/>
                <w:tab w:val="left" w:pos="13200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15"/>
        <w:kinsoku w:val="0"/>
        <w:overflowPunct w:val="0"/>
        <w:autoSpaceDE w:val="0"/>
        <w:autoSpaceDN w:val="0"/>
        <w:ind w:left="116" w:firstLineChars="200" w:firstLine="640"/>
        <w:rPr>
          <w:rFonts w:asci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rtlGutter/>
          <w:docGrid w:linePitch="326" w:charSpace="0"/>
        </w:sectPr>
      </w:pPr>
    </w:p>
    <w:p>
      <w:pPr>
        <w:pStyle w:val="15"/>
        <w:kinsoku w:val="0"/>
        <w:overflowPunct w:val="0"/>
        <w:autoSpaceDE w:val="0"/>
        <w:autoSpaceDN w:val="0"/>
        <w:ind w:left="0" w:firstLine="0"/>
        <w:rPr>
          <w:rFonts w:ascii="仿宋" w:eastAsia="仿宋" w:cs="仿宋"/>
          <w:sz w:val="32"/>
          <w:szCs w:val="32"/>
          <w:lang w:val="en-US" w:eastAsia="zh-CN"/>
        </w:rPr>
        <w:sectPr>
          <w:type w:val="continuous"/>
          <w:pgSz w:w="11910" w:h="16840"/>
          <w:pgMar w:top="1984" w:right="1417" w:bottom="1701" w:left="1531" w:header="0" w:footer="0" w:gutter="0"/>
          <w:rtlGutter/>
          <w:docGrid w:linePitch="326" w:charSpace="0"/>
        </w:sectPr>
      </w:pPr>
    </w:p>
    <w:p>
      <w:pPr>
        <w:pStyle w:val="15"/>
        <w:kinsoku w:val="0"/>
        <w:overflowPunct w:val="0"/>
        <w:autoSpaceDE w:val="0"/>
        <w:autoSpaceDN w:val="0"/>
        <w:ind w:left="0" w:firstLine="0"/>
        <w:rPr>
          <w:rFonts w:asci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sectPr>
      <w:type w:val="continuous"/>
      <w:pgSz w:w="16840" w:h="11910" w:orient="landscape"/>
      <w:pgMar w:top="1531" w:right="1984" w:bottom="1417" w:left="1701" w:header="0" w:footer="0" w:gutter="0"/>
      <w:rtlGutter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00000001" w:usb1="08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variable"/>
    <w:sig w:usb0="00000000" w:usb1="00000000" w:usb2="00000000" w:usb3="00000000" w:csb0="00040000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5"/>
      <w:kinsoku w:val="0"/>
      <w:overflowPunct w:val="0"/>
      <w:autoSpaceDE w:val="0"/>
      <w:autoSpaceDN w:val="0"/>
      <w:spacing w:line="14" w:lineRule="auto"/>
      <w:ind w:left="0"/>
      <w:rPr>
        <w:rFonts w:ascii="Times New Roman" w:eastAsia="宋体" w:cs="Times New Roman" w:hAnsi="Times New Roman"/>
        <w:sz w:val="2"/>
        <w:szCs w:val="2"/>
      </w:rPr>
    </w:pPr>
  </w:p>
</w:ftr>
</file>

<file path=word/footer2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5"/>
      <w:kinsoku w:val="0"/>
      <w:overflowPunct w:val="0"/>
      <w:autoSpaceDE w:val="0"/>
      <w:autoSpaceDN w:val="0"/>
      <w:spacing w:line="14" w:lineRule="auto"/>
      <w:ind w:left="0"/>
      <w:rPr>
        <w:rFonts w:ascii="Times New Roman" w:eastAsia="宋体" w:cs="Times New Roman" w:hAnsi="Times New Roman"/>
        <w:sz w:val="2"/>
        <w:szCs w:val="2"/>
      </w:rPr>
    </w:pP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40C189FC"/>
    <w:multiLevelType w:val="singleLevel"/>
    <w:tmpl w:val="40C189FC"/>
    <w:lvl w:ilvl="0">
      <w:start w:val="2"/>
      <w:numFmt w:val="chineseCounting"/>
      <w:lvlRestart w:val="0"/>
      <w:suff w:val="nothing"/>
      <w:lvlText w:val="%1、"/>
      <w:lvlJc w:val="left"/>
      <w:pPr>
        <w:ind w:left="0" w:hanging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720"/>
  <w:evenAndOddHeaders/>
  <w:drawingGridHorizontalSpacing w:val="120"/>
  <w:drawingGridVerticalSpacing w:val="120"/>
  <w:doNotUseMarginsForDrawingGridOrigin/>
  <w:drawingGridHorizontalOrigin w:val="1800"/>
  <w:drawingGridVerticalOrigin w:val="1440"/>
  <w:displayHorizontalDrawingGridEvery w:val="0"/>
  <w:displayVerticalDrawingGridEvery w:val="1"/>
  <w:doNotShadeFormData/>
  <w:noPunctuationKerning/>
  <w:compat>
    <w:spaceForUL/>
    <w:ulTrailSpace/>
    <w:doNotExpandShiftReturn/>
    <w:adjustLineHeightInTable/>
    <w:doNotUseIndentAsNumberingTabStop/>
    <w:useAltKinsokuLineBreakRules/>
    <w:compatSetting w:name="compatibilityMode" w:uri="http://schemas.microsoft.com/office/word" w:val="12"/>
  </w:compat>
  <w:docVars>
    <w:docVar w:name="commondata" w:val="eyJoZGlkIjoiYzQxZjRkMmYwZTU2MTU1NjAxZmY0ZTc5ZmEzNWE3OTY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autoSpaceDE w:val="0"/>
      <w:autoSpaceDN w:val="0"/>
      <w:adjustRightInd w:val="0"/>
    </w:pPr>
    <w:rPr>
      <w:rFonts w:ascii="Times New Roman" w:eastAsia="宋体" w:cs="Times New Roman" w:hAnsi="Times New Roman"/>
      <w:sz w:val="24"/>
      <w:szCs w:val="24"/>
      <w:lang w:val="en-US" w:eastAsia="zh-CN" w:bidi="ar-SA"/>
    </w:rPr>
  </w:style>
  <w:style w:type="paragraph" w:styleId="1">
    <w:name w:val="heading 1"/>
    <w:basedOn w:val="0"/>
    <w:next w:val="0"/>
    <w:pPr>
      <w:ind w:left="115"/>
      <w:outlineLvl w:val="0"/>
    </w:pPr>
    <w:rPr>
      <w:rFonts w:ascii="宋体" w:eastAsia="宋体" w:cs="宋体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Body Text"/>
    <w:basedOn w:val="0"/>
    <w:pPr>
      <w:ind w:left="108"/>
    </w:pPr>
    <w:rPr>
      <w:rFonts w:ascii="宋体" w:eastAsia="宋体" w:cs="宋体"/>
      <w:sz w:val="32"/>
      <w:szCs w:val="32"/>
    </w:rPr>
  </w:style>
  <w:style w:type="paragraph" w:styleId="16">
    <w:name w:val="Balloon Text"/>
    <w:basedOn w:val="0"/>
    <w:rPr>
      <w:sz w:val="18"/>
      <w:szCs w:val="18"/>
    </w:rPr>
  </w:style>
  <w:style w:type="paragraph" w:styleId="17">
    <w:name w:val="footer"/>
    <w:basedOn w:val="0"/>
    <w:pPr>
      <w:tabs>
        <w:tab w:val="center" w:pos="4153"/>
        <w:tab w:val="right" w:pos="8306"/>
      </w:tabs>
      <w:adjustRightInd w:val="0"/>
      <w:snapToGrid w:val="0"/>
    </w:pPr>
    <w:rPr>
      <w:sz w:val="18"/>
      <w:szCs w:val="18"/>
    </w:rPr>
  </w:style>
  <w:style w:type="paragraph" w:styleId="18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napToGrid w:val="0"/>
      <w:jc w:val="center"/>
    </w:pPr>
    <w:rPr>
      <w:sz w:val="18"/>
      <w:szCs w:val="18"/>
    </w:rPr>
  </w:style>
  <w:style w:type="character" w:styleId="19">
    <w:name w:val="Hyperlink"/>
    <w:basedOn w:val="10"/>
    <w:rPr>
      <w:color w:val="0000FF"/>
      <w:u w:val="single"/>
    </w:rPr>
  </w:style>
  <w:style w:type="paragraph" w:styleId="20">
    <w:name w:val="List Paragraph"/>
    <w:basedOn w:val="0"/>
  </w:style>
  <w:style w:type="paragraph" w:customStyle="1" w:styleId="21">
    <w:name w:val="Table Paragraph"/>
    <w:basedOn w:val="0"/>
  </w:style>
  <w:style w:type="paragraph" w:customStyle="1" w:styleId="22">
    <w:name w:val="Body text|1"/>
    <w:basedOn w:val="0"/>
    <w:pPr>
      <w:spacing w:line="439" w:lineRule="auto"/>
      <w:ind w:firstLine="400"/>
    </w:pPr>
    <w:rPr>
      <w:rFonts w:ascii="宋体" w:eastAsia="宋体" w:cs="宋体"/>
      <w:sz w:val="30"/>
      <w:szCs w:val="30"/>
      <w:lang w:val="zh-TW" w:eastAsia="zh-TW" w:bidi="zh-TW"/>
    </w:rPr>
  </w:style>
  <w:style w:type="paragraph" w:customStyle="1" w:styleId="23">
    <w:name w:val="Header or footer|2"/>
    <w:basedOn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numbering" Target="numbering.xml"/><Relationship Id="rId6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9855</TotalTime>
  <Application>Yozo_Office27021597764231179</Application>
  <Pages>6</Pages>
  <Words>1105</Words>
  <Characters>1138</Characters>
  <Lines>125</Lines>
  <Paragraphs>37</Paragraphs>
  <CharactersWithSpaces>1293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冯樱</dc:creator>
  <cp:lastModifiedBy>law</cp:lastModifiedBy>
  <cp:revision>4</cp:revision>
  <cp:lastPrinted>2024-01-31T07:24:49Z</cp:lastPrinted>
  <dcterms:created xsi:type="dcterms:W3CDTF">2021-01-30T02:28:00Z</dcterms:created>
  <dcterms:modified xsi:type="dcterms:W3CDTF">2024-01-31T07:29:49Z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or">
    <vt:lpwstr>WPS Office</vt:lpwstr>
  </property>
  <property fmtid="{D5CDD505-2E9C-101B-9397-08002B2CF9AE}" pid="3" name="KSOProductBuildVer">
    <vt:lpwstr>2052-11.1.0.13703</vt:lpwstr>
  </property>
  <property fmtid="{D5CDD505-2E9C-101B-9397-08002B2CF9AE}" pid="4" name="ICV">
    <vt:lpwstr>E6291AD87AC64E43A3FE3F3139CEBE5F</vt:lpwstr>
  </property>
</Properties>
</file>