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insoku w:val="0"/>
        <w:overflowPunct w:val="0"/>
        <w:ind w:left="0" w:leftChars="0" w:firstLine="0" w:firstLineChars="0"/>
        <w:jc w:val="both"/>
        <w:rPr>
          <w:rFonts w:hint="eastAsia" w:ascii="Times New Roman" w:cs="Times New Roman"/>
          <w:b/>
          <w:bCs/>
          <w:sz w:val="44"/>
          <w:szCs w:val="44"/>
          <w:lang w:val="en-US" w:eastAsia="zh-CN"/>
        </w:rPr>
      </w:pPr>
    </w:p>
    <w:p>
      <w:pPr>
        <w:pStyle w:val="3"/>
        <w:kinsoku w:val="0"/>
        <w:overflowPunct w:val="0"/>
        <w:ind w:left="0" w:leftChars="0" w:firstLine="0" w:firstLineChars="0"/>
        <w:jc w:val="both"/>
        <w:rPr>
          <w:rFonts w:hint="eastAsia" w:ascii="Times New Roman" w:cs="Times New Roman"/>
          <w:b/>
          <w:bCs/>
          <w:sz w:val="44"/>
          <w:szCs w:val="44"/>
          <w:lang w:val="en-US" w:eastAsia="zh-CN"/>
        </w:rPr>
      </w:pPr>
    </w:p>
    <w:p>
      <w:pPr>
        <w:pStyle w:val="3"/>
        <w:kinsoku w:val="0"/>
        <w:overflowPunct w:val="0"/>
        <w:ind w:left="0" w:leftChars="0" w:firstLine="0" w:firstLineChars="0"/>
        <w:jc w:val="both"/>
        <w:rPr>
          <w:rFonts w:hint="eastAsia" w:ascii="Times New Roman" w:cs="Times New Roman"/>
          <w:b/>
          <w:bCs/>
          <w:sz w:val="44"/>
          <w:szCs w:val="44"/>
          <w:lang w:val="en-US" w:eastAsia="zh-CN"/>
        </w:rPr>
      </w:pPr>
    </w:p>
    <w:p>
      <w:pPr>
        <w:pStyle w:val="3"/>
        <w:kinsoku w:val="0"/>
        <w:overflowPunct w:val="0"/>
        <w:ind w:left="0" w:leftChars="0" w:firstLine="442" w:firstLineChars="100"/>
        <w:jc w:val="both"/>
        <w:rPr>
          <w:rFonts w:hint="eastAsia" w:ascii="Times New Roman" w:cs="Times New Roman"/>
          <w:b/>
          <w:bCs/>
          <w:sz w:val="44"/>
          <w:szCs w:val="44"/>
          <w:lang w:val="en-US" w:eastAsia="zh-CN"/>
        </w:rPr>
      </w:pPr>
      <w:r>
        <w:rPr>
          <w:rFonts w:hint="eastAsia" w:ascii="Times New Roman" w:cs="Times New Roman"/>
          <w:b/>
          <w:bCs/>
          <w:sz w:val="44"/>
          <w:szCs w:val="44"/>
          <w:lang w:val="en-US" w:eastAsia="zh-CN"/>
        </w:rPr>
        <w:t>2024年涞源县医保局“双随机、一公开”</w:t>
      </w:r>
    </w:p>
    <w:p>
      <w:pPr>
        <w:pStyle w:val="3"/>
        <w:kinsoku w:val="0"/>
        <w:overflowPunct w:val="0"/>
        <w:ind w:left="116" w:firstLine="2650" w:firstLineChars="600"/>
        <w:jc w:val="both"/>
        <w:rPr>
          <w:rFonts w:hint="eastAsia" w:ascii="Times New Roman" w:cs="Times New Roman"/>
          <w:b/>
          <w:bCs/>
          <w:sz w:val="44"/>
          <w:szCs w:val="44"/>
          <w:lang w:val="en-US" w:eastAsia="zh-CN"/>
        </w:rPr>
      </w:pPr>
      <w:r>
        <w:rPr>
          <w:rFonts w:hint="eastAsia" w:ascii="Times New Roman" w:cs="Times New Roman"/>
          <w:b/>
          <w:bCs/>
          <w:sz w:val="44"/>
          <w:szCs w:val="44"/>
          <w:lang w:val="en-US" w:eastAsia="zh-CN"/>
        </w:rPr>
        <w:t>监管工作培训方案</w:t>
      </w:r>
    </w:p>
    <w:p>
      <w:pPr>
        <w:pStyle w:val="3"/>
        <w:kinsoku w:val="0"/>
        <w:overflowPunct w:val="0"/>
        <w:spacing w:line="560" w:lineRule="exact"/>
        <w:ind w:right="18"/>
        <w:jc w:val="both"/>
        <w:rPr>
          <w:rFonts w:hint="eastAsia" w:ascii="仿宋" w:hAnsi="仿宋" w:eastAsia="仿宋" w:cs="仿宋"/>
          <w:lang w:val="en-US" w:eastAsia="zh-CN"/>
        </w:rPr>
      </w:pP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为贯彻落实各相关股室在医疗保障领域全面推行“双随机、一公开”的监管要求，不断深入推进我局“双随机、一公开”监管工作，提升全局“双随机、一公开”监管工作人员业务能力和监管水平，制定此方案：</w:t>
      </w:r>
    </w:p>
    <w:p>
      <w:pPr>
        <w:pStyle w:val="3"/>
        <w:kinsoku w:val="0"/>
        <w:overflowPunct w:val="0"/>
        <w:ind w:left="116"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一、培训人员</w:t>
      </w:r>
    </w:p>
    <w:p>
      <w:pPr>
        <w:pStyle w:val="3"/>
        <w:kinsoku w:val="0"/>
        <w:overflowPunct w:val="0"/>
        <w:ind w:left="116" w:firstLine="40" w:firstLineChars="200"/>
        <w:rPr>
          <w:rFonts w:ascii="Times New Roman" w:cs="Times New Roman"/>
          <w:sz w:val="2"/>
          <w:szCs w:val="2"/>
        </w:rPr>
      </w:pPr>
    </w:p>
    <w:p>
      <w:pPr>
        <w:pStyle w:val="3"/>
        <w:kinsoku w:val="0"/>
        <w:overflowPunct w:val="0"/>
        <w:ind w:left="116" w:firstLine="40" w:firstLineChars="200"/>
        <w:rPr>
          <w:rFonts w:ascii="Times New Roman" w:cs="Times New Roman"/>
          <w:sz w:val="2"/>
          <w:szCs w:val="2"/>
        </w:rPr>
      </w:pPr>
    </w:p>
    <w:p>
      <w:pPr>
        <w:pStyle w:val="3"/>
        <w:kinsoku w:val="0"/>
        <w:overflowPunct w:val="0"/>
        <w:ind w:left="116" w:firstLine="40" w:firstLineChars="200"/>
        <w:rPr>
          <w:rFonts w:ascii="Times New Roman" w:cs="Times New Roman"/>
          <w:sz w:val="2"/>
          <w:szCs w:val="2"/>
        </w:rPr>
      </w:pP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“双随机、一公开”监管工作领导小组全体成员及相关股室执法人员，</w:t>
      </w:r>
      <w:r>
        <w:rPr>
          <w:rFonts w:hint="eastAsia" w:ascii="仿宋" w:hAnsi="仿宋" w:eastAsia="仿宋" w:cs="仿宋"/>
          <w:sz w:val="32"/>
          <w:szCs w:val="32"/>
          <w:vertAlign w:val="baseline"/>
          <w:lang w:val="en-US" w:eastAsia="zh-CN"/>
        </w:rPr>
        <w:t>负责具体工作人员。</w:t>
      </w:r>
    </w:p>
    <w:p>
      <w:pPr>
        <w:pStyle w:val="3"/>
        <w:numPr>
          <w:ilvl w:val="0"/>
          <w:numId w:val="1"/>
        </w:numPr>
        <w:kinsoku w:val="0"/>
        <w:overflowPunct w:val="0"/>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培训时间</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采取集中培训和分散培训相结合的方式。</w:t>
      </w:r>
    </w:p>
    <w:p>
      <w:pPr>
        <w:pStyle w:val="3"/>
        <w:numPr>
          <w:ilvl w:val="0"/>
          <w:numId w:val="1"/>
        </w:numPr>
        <w:kinsoku w:val="0"/>
        <w:overflowPunct w:val="0"/>
        <w:ind w:left="108" w:leftChars="0"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培训时间</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计划组织培训两次：</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第一次：3-6月份</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第二次：7-9月份</w:t>
      </w:r>
    </w:p>
    <w:p>
      <w:pPr>
        <w:pStyle w:val="3"/>
        <w:kinsoku w:val="0"/>
        <w:overflowPunct w:val="0"/>
        <w:spacing w:line="560" w:lineRule="exact"/>
        <w:ind w:right="18" w:firstLine="640" w:firstLineChars="200"/>
        <w:jc w:val="both"/>
        <w:rPr>
          <w:rFonts w:hint="eastAsia" w:ascii="仿宋" w:hAnsi="仿宋" w:eastAsia="仿宋" w:cs="仿宋"/>
          <w:sz w:val="32"/>
          <w:szCs w:val="32"/>
          <w:lang w:val="en-US" w:eastAsia="zh-CN"/>
        </w:rPr>
      </w:pPr>
      <w:r>
        <w:rPr>
          <w:rFonts w:hint="eastAsia" w:ascii="仿宋" w:hAnsi="仿宋" w:eastAsia="仿宋" w:cs="仿宋"/>
          <w:lang w:val="en-US" w:eastAsia="zh-CN"/>
        </w:rPr>
        <w:t>依据实际工作需要具体培训时间另行通知。</w:t>
      </w:r>
    </w:p>
    <w:p>
      <w:pPr>
        <w:pStyle w:val="3"/>
        <w:numPr>
          <w:ilvl w:val="0"/>
          <w:numId w:val="1"/>
        </w:numPr>
        <w:tabs>
          <w:tab w:val="left" w:pos="480"/>
        </w:tabs>
        <w:kinsoku w:val="0"/>
        <w:overflowPunct w:val="0"/>
        <w:ind w:left="108" w:leftChars="0"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培训目标和内容</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培训目标：使受训人员深入学习各级关于“双随机、一公开”监管工作部署要求，认真贯彻落实全省市场监管工作会议精神，加强“双随机、一公开”监管理论学习，提高河北省双随机监管工作平台操作能力，提高“双随机、一公开”监管与企业信用风险分级分类相结合的能力，提升业务能力和执法水平。</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培训内容：《“双随机、一公开”监管抽查工作规范》、“双随机、一公开”监管工作政策解读；信用监管工作解读；“双随机、一公开”监管与企业信用风险分级分类相结合解读；河北省双随机监管工作平台使用培训会议；各股室工作学习交流。</w:t>
      </w:r>
    </w:p>
    <w:p>
      <w:pPr>
        <w:pStyle w:val="3"/>
        <w:numPr>
          <w:ilvl w:val="0"/>
          <w:numId w:val="1"/>
        </w:numPr>
        <w:tabs>
          <w:tab w:val="left" w:pos="480"/>
        </w:tabs>
        <w:kinsoku w:val="0"/>
        <w:overflowPunct w:val="0"/>
        <w:ind w:left="108" w:leftChars="0"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培训要求</w:t>
      </w:r>
    </w:p>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一）高度重视，确保效果。各部门要积极参与配合，严格按照计划要求选派参训人员；参训人员要全身心投入培训，认真研究“双随机、一公开”监管工作政策、背景，熟练掌握河北省双随机监管工作平台的操作使用。</w:t>
      </w:r>
    </w:p>
    <w:p>
      <w:pPr>
        <w:pStyle w:val="3"/>
        <w:kinsoku w:val="0"/>
        <w:overflowPunct w:val="0"/>
        <w:spacing w:line="560" w:lineRule="exact"/>
        <w:ind w:right="18" w:firstLine="640" w:firstLineChars="200"/>
        <w:jc w:val="both"/>
        <w:rPr>
          <w:rFonts w:hint="default" w:ascii="仿宋" w:hAnsi="仿宋" w:eastAsia="仿宋" w:cs="仿宋"/>
          <w:lang w:val="en-US" w:eastAsia="zh-CN"/>
        </w:rPr>
      </w:pPr>
      <w:r>
        <w:rPr>
          <w:rFonts w:hint="eastAsia" w:ascii="仿宋" w:hAnsi="仿宋" w:eastAsia="仿宋" w:cs="仿宋"/>
          <w:lang w:val="en-US" w:eastAsia="zh-CN"/>
        </w:rPr>
        <w:t>（二）培训的原则和形式。按照谁管人、谁培训的分级管理、分级培训原则组织培训。各相关股室要紧密配合培训中心抓好新员工和在职员工轮训的培训工作。在培训形式上，要结合单位实际，因地制宜、因材施教，外培与内训相结合，室内培训和现场培训相结合，选取最佳的方法和形式，组织展开培训。</w:t>
      </w:r>
    </w:p>
    <w:p>
      <w:pPr>
        <w:pStyle w:val="3"/>
        <w:kinsoku w:val="0"/>
        <w:overflowPunct w:val="0"/>
        <w:spacing w:line="560" w:lineRule="exact"/>
        <w:ind w:right="18" w:firstLine="640" w:firstLineChars="200"/>
        <w:jc w:val="both"/>
        <w:rPr>
          <w:rFonts w:hint="eastAsia" w:ascii="仿宋" w:hAnsi="仿宋" w:eastAsia="仿宋" w:cs="仿宋"/>
          <w:lang w:val="en-US" w:eastAsia="zh-CN"/>
        </w:rPr>
      </w:pPr>
    </w:p>
    <w:p>
      <w:pPr>
        <w:pStyle w:val="3"/>
        <w:kinsoku w:val="0"/>
        <w:overflowPunct w:val="0"/>
        <w:spacing w:line="560" w:lineRule="exact"/>
        <w:ind w:right="18" w:firstLine="640" w:firstLineChars="200"/>
        <w:jc w:val="both"/>
        <w:rPr>
          <w:rFonts w:hint="default" w:ascii="仿宋" w:hAnsi="仿宋" w:eastAsia="仿宋" w:cs="仿宋"/>
          <w:lang w:val="en-US" w:eastAsia="zh-CN"/>
        </w:rPr>
      </w:pPr>
      <w:r>
        <w:rPr>
          <w:rFonts w:hint="eastAsia" w:ascii="仿宋" w:hAnsi="仿宋" w:eastAsia="仿宋" w:cs="仿宋"/>
          <w:lang w:val="en-US" w:eastAsia="zh-CN"/>
        </w:rPr>
        <w:t>附件：2024年度涞源县“双随机、一公开”监管工作培训计划</w:t>
      </w:r>
    </w:p>
    <w:p>
      <w:pPr>
        <w:pStyle w:val="3"/>
        <w:kinsoku w:val="0"/>
        <w:overflowPunct w:val="0"/>
        <w:spacing w:line="560" w:lineRule="exact"/>
        <w:ind w:right="18" w:firstLine="640" w:firstLineChars="200"/>
        <w:jc w:val="both"/>
        <w:rPr>
          <w:rFonts w:hint="default" w:ascii="仿宋" w:hAnsi="仿宋" w:eastAsia="仿宋" w:cs="仿宋"/>
          <w:lang w:val="en-US" w:eastAsia="zh-CN"/>
        </w:rPr>
      </w:pPr>
    </w:p>
    <w:p>
      <w:pPr>
        <w:pStyle w:val="3"/>
        <w:kinsoku w:val="0"/>
        <w:overflowPunct w:val="0"/>
        <w:spacing w:line="560" w:lineRule="exact"/>
        <w:ind w:right="18" w:firstLine="640" w:firstLineChars="200"/>
        <w:jc w:val="both"/>
        <w:rPr>
          <w:rFonts w:hint="default" w:ascii="仿宋" w:hAnsi="仿宋" w:eastAsia="仿宋" w:cs="仿宋"/>
          <w:lang w:val="en-US" w:eastAsia="zh-CN"/>
        </w:rPr>
      </w:pPr>
    </w:p>
    <w:p>
      <w:pPr>
        <w:pStyle w:val="3"/>
        <w:kinsoku w:val="0"/>
        <w:overflowPunct w:val="0"/>
        <w:spacing w:line="560" w:lineRule="exact"/>
        <w:ind w:left="0" w:leftChars="0" w:right="18" w:firstLine="0" w:firstLineChars="0"/>
        <w:jc w:val="both"/>
        <w:rPr>
          <w:rFonts w:hint="default" w:ascii="仿宋" w:hAnsi="仿宋" w:eastAsia="仿宋" w:cs="仿宋"/>
          <w:lang w:val="en-US" w:eastAsia="zh-CN"/>
        </w:rPr>
      </w:pPr>
    </w:p>
    <w:p>
      <w:pPr>
        <w:pStyle w:val="3"/>
        <w:kinsoku w:val="0"/>
        <w:overflowPunct w:val="0"/>
        <w:ind w:left="116" w:firstLine="640" w:firstLineChars="200"/>
        <w:rPr>
          <w:rFonts w:hint="default" w:ascii="仿宋" w:hAnsi="仿宋" w:eastAsia="仿宋" w:cs="仿宋"/>
          <w:sz w:val="32"/>
          <w:szCs w:val="32"/>
          <w:lang w:val="en-US" w:eastAsia="zh-CN"/>
        </w:rPr>
      </w:pPr>
    </w:p>
    <w:p>
      <w:pPr>
        <w:pStyle w:val="3"/>
        <w:kinsoku w:val="0"/>
        <w:overflowPunct w:val="0"/>
        <w:ind w:left="116" w:firstLine="640" w:firstLineChars="200"/>
        <w:rPr>
          <w:rFonts w:hint="default" w:ascii="仿宋" w:hAnsi="仿宋" w:eastAsia="仿宋" w:cs="仿宋"/>
          <w:sz w:val="32"/>
          <w:szCs w:val="32"/>
          <w:lang w:val="en-US" w:eastAsia="zh-CN"/>
        </w:rPr>
        <w:sectPr>
          <w:footerReference r:id="rId3" w:type="default"/>
          <w:footerReference r:id="rId4" w:type="even"/>
          <w:type w:val="continuous"/>
          <w:pgSz w:w="11910" w:h="16840"/>
          <w:pgMar w:top="1984" w:right="1417" w:bottom="1701" w:left="1531" w:header="0" w:footer="0" w:gutter="0"/>
          <w:cols w:equalWidth="0" w:num="1">
            <w:col w:w="9069"/>
          </w:cols>
          <w:rtlGutter w:val="0"/>
          <w:docGrid w:linePitch="0" w:charSpace="0"/>
        </w:sectPr>
      </w:pPr>
    </w:p>
    <w:p>
      <w:pPr>
        <w:pStyle w:val="3"/>
        <w:kinsoku w:val="0"/>
        <w:overflowPunct w:val="0"/>
        <w:ind w:left="0" w:leftChars="0" w:firstLine="0" w:firstLineChars="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pStyle w:val="3"/>
        <w:tabs>
          <w:tab w:val="left" w:pos="12960"/>
          <w:tab w:val="left" w:pos="13200"/>
        </w:tabs>
        <w:kinsoku w:val="0"/>
        <w:overflowPunct w:val="0"/>
        <w:ind w:left="116" w:firstLine="883" w:firstLineChars="200"/>
        <w:jc w:val="center"/>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2023年度涞源县“双随机、一公开”监管工作培训计划</w:t>
      </w:r>
    </w:p>
    <w:tbl>
      <w:tblPr>
        <w:tblStyle w:val="8"/>
        <w:tblpPr w:leftFromText="180" w:rightFromText="180" w:vertAnchor="text" w:horzAnchor="page" w:tblpX="1626" w:tblpY="296"/>
        <w:tblOverlap w:val="never"/>
        <w:tblW w:w="13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6"/>
        <w:gridCol w:w="4556"/>
        <w:gridCol w:w="4087"/>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2656" w:type="dxa"/>
            <w:vAlign w:val="center"/>
          </w:tcPr>
          <w:p>
            <w:pPr>
              <w:pStyle w:val="3"/>
              <w:tabs>
                <w:tab w:val="left" w:pos="12960"/>
                <w:tab w:val="left" w:pos="13200"/>
              </w:tabs>
              <w:kinsoku w:val="0"/>
              <w:overflowPunct w:val="0"/>
              <w:jc w:val="center"/>
              <w:rPr>
                <w:rFonts w:hint="eastAsia" w:ascii="宋体" w:hAnsi="宋体" w:eastAsia="宋体" w:cs="宋体"/>
                <w:b/>
                <w:bCs/>
                <w:sz w:val="36"/>
                <w:szCs w:val="36"/>
                <w:vertAlign w:val="baseline"/>
                <w:lang w:val="en-US" w:eastAsia="zh-CN"/>
              </w:rPr>
            </w:pPr>
            <w:r>
              <w:rPr>
                <w:rFonts w:hint="eastAsia" w:ascii="仿宋" w:hAnsi="仿宋" w:eastAsia="仿宋" w:cs="仿宋"/>
                <w:b/>
                <w:bCs/>
                <w:sz w:val="36"/>
                <w:szCs w:val="36"/>
                <w:lang w:val="en-US" w:eastAsia="zh-CN"/>
              </w:rPr>
              <w:t>培训时间</w:t>
            </w:r>
          </w:p>
        </w:tc>
        <w:tc>
          <w:tcPr>
            <w:tcW w:w="4556" w:type="dxa"/>
            <w:vAlign w:val="center"/>
          </w:tcPr>
          <w:p>
            <w:pPr>
              <w:pStyle w:val="3"/>
              <w:tabs>
                <w:tab w:val="left" w:pos="12960"/>
                <w:tab w:val="left" w:pos="13200"/>
              </w:tabs>
              <w:kinsoku w:val="0"/>
              <w:overflowPunct w:val="0"/>
              <w:jc w:val="center"/>
              <w:rPr>
                <w:rFonts w:hint="eastAsia" w:ascii="宋体" w:hAnsi="宋体" w:eastAsia="宋体" w:cs="宋体"/>
                <w:b/>
                <w:bCs/>
                <w:sz w:val="36"/>
                <w:szCs w:val="36"/>
                <w:vertAlign w:val="baseline"/>
                <w:lang w:val="en-US" w:eastAsia="zh-CN"/>
              </w:rPr>
            </w:pPr>
            <w:r>
              <w:rPr>
                <w:rFonts w:hint="eastAsia" w:ascii="仿宋" w:hAnsi="仿宋" w:eastAsia="仿宋" w:cs="仿宋"/>
                <w:b/>
                <w:bCs/>
                <w:sz w:val="36"/>
                <w:szCs w:val="36"/>
                <w:vertAlign w:val="baseline"/>
                <w:lang w:val="en-US" w:eastAsia="zh-CN"/>
              </w:rPr>
              <w:t>培训内容</w:t>
            </w:r>
          </w:p>
        </w:tc>
        <w:tc>
          <w:tcPr>
            <w:tcW w:w="4087" w:type="dxa"/>
            <w:vAlign w:val="center"/>
          </w:tcPr>
          <w:p>
            <w:pPr>
              <w:pStyle w:val="3"/>
              <w:tabs>
                <w:tab w:val="left" w:pos="12960"/>
                <w:tab w:val="left" w:pos="13200"/>
              </w:tabs>
              <w:kinsoku w:val="0"/>
              <w:overflowPunct w:val="0"/>
              <w:jc w:val="center"/>
              <w:rPr>
                <w:rFonts w:hint="eastAsia" w:ascii="宋体" w:hAnsi="宋体" w:eastAsia="宋体" w:cs="宋体"/>
                <w:b/>
                <w:bCs/>
                <w:sz w:val="36"/>
                <w:szCs w:val="36"/>
                <w:vertAlign w:val="baseline"/>
                <w:lang w:val="en-US" w:eastAsia="zh-CN"/>
              </w:rPr>
            </w:pPr>
            <w:r>
              <w:rPr>
                <w:rFonts w:hint="eastAsia" w:ascii="仿宋" w:hAnsi="仿宋" w:eastAsia="仿宋" w:cs="仿宋"/>
                <w:b/>
                <w:bCs/>
                <w:sz w:val="36"/>
                <w:szCs w:val="36"/>
                <w:vertAlign w:val="baseline"/>
                <w:lang w:val="en-US" w:eastAsia="zh-CN"/>
              </w:rPr>
              <w:t>参加人员</w:t>
            </w:r>
          </w:p>
        </w:tc>
        <w:tc>
          <w:tcPr>
            <w:tcW w:w="2384" w:type="dxa"/>
            <w:vAlign w:val="center"/>
          </w:tcPr>
          <w:p>
            <w:pPr>
              <w:pStyle w:val="3"/>
              <w:tabs>
                <w:tab w:val="left" w:pos="12960"/>
                <w:tab w:val="left" w:pos="13200"/>
              </w:tabs>
              <w:kinsoku w:val="0"/>
              <w:overflowPunct w:val="0"/>
              <w:jc w:val="center"/>
              <w:rPr>
                <w:rFonts w:hint="eastAsia" w:ascii="宋体" w:hAnsi="宋体" w:eastAsia="宋体" w:cs="宋体"/>
                <w:b/>
                <w:bCs/>
                <w:sz w:val="36"/>
                <w:szCs w:val="36"/>
                <w:vertAlign w:val="baseline"/>
                <w:lang w:val="en-US" w:eastAsia="zh-CN"/>
              </w:rPr>
            </w:pPr>
            <w:r>
              <w:rPr>
                <w:rFonts w:hint="eastAsia" w:ascii="仿宋" w:hAnsi="仿宋" w:eastAsia="仿宋" w:cs="仿宋"/>
                <w:b/>
                <w:bCs/>
                <w:sz w:val="36"/>
                <w:szCs w:val="36"/>
                <w:vertAlign w:val="baseline"/>
                <w:lang w:val="en-US" w:eastAsia="zh-CN"/>
              </w:rPr>
              <w:t>培训方式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2656" w:type="dxa"/>
            <w:vAlign w:val="center"/>
          </w:tcPr>
          <w:p>
            <w:pPr>
              <w:pStyle w:val="3"/>
              <w:tabs>
                <w:tab w:val="left" w:pos="12960"/>
                <w:tab w:val="left" w:pos="13200"/>
              </w:tabs>
              <w:kinsoku w:val="0"/>
              <w:overflowPunct w:val="0"/>
              <w:jc w:val="center"/>
              <w:rPr>
                <w:rFonts w:hint="eastAsia" w:ascii="宋体" w:hAnsi="宋体" w:eastAsia="宋体" w:cs="宋体"/>
                <w:sz w:val="32"/>
                <w:szCs w:val="32"/>
                <w:vertAlign w:val="baseline"/>
                <w:lang w:val="en-US" w:eastAsia="zh-CN"/>
              </w:rPr>
            </w:pPr>
            <w:r>
              <w:rPr>
                <w:rFonts w:hint="eastAsia" w:ascii="仿宋" w:hAnsi="仿宋" w:eastAsia="仿宋" w:cs="仿宋"/>
                <w:sz w:val="32"/>
                <w:szCs w:val="32"/>
                <w:vertAlign w:val="baseline"/>
                <w:lang w:val="en-US" w:eastAsia="zh-CN"/>
              </w:rPr>
              <w:t>2024年3-6月</w:t>
            </w:r>
          </w:p>
        </w:tc>
        <w:tc>
          <w:tcPr>
            <w:tcW w:w="4556" w:type="dxa"/>
            <w:vAlign w:val="center"/>
          </w:tcPr>
          <w:p>
            <w:pPr>
              <w:pStyle w:val="3"/>
              <w:tabs>
                <w:tab w:val="left" w:pos="12960"/>
                <w:tab w:val="left" w:pos="13200"/>
              </w:tabs>
              <w:kinsoku w:val="0"/>
              <w:overflowPunct w:val="0"/>
              <w:ind w:left="0" w:leftChars="0" w:firstLine="0" w:firstLineChars="0"/>
              <w:jc w:val="both"/>
              <w:rPr>
                <w:rFonts w:hint="eastAsia" w:ascii="宋体" w:hAnsi="宋体" w:eastAsia="宋体" w:cs="宋体"/>
                <w:sz w:val="32"/>
                <w:szCs w:val="32"/>
                <w:vertAlign w:val="baseline"/>
                <w:lang w:val="en-US" w:eastAsia="zh-CN"/>
              </w:rPr>
            </w:pPr>
            <w:r>
              <w:rPr>
                <w:rFonts w:hint="eastAsia" w:ascii="仿宋" w:hAnsi="仿宋" w:eastAsia="仿宋" w:cs="仿宋"/>
                <w:sz w:val="32"/>
                <w:szCs w:val="32"/>
                <w:lang w:val="en-US" w:eastAsia="zh-CN"/>
              </w:rPr>
              <w:t>《“双随机、一公开”监管抽查工作规范》、“双随机、一公开”监管工作政策解读；信用监管工作解读；“双随机、一公开”监管与企业信用风险分级分类相结合解读；河北省双随机监管工作平台使用培训会</w:t>
            </w:r>
          </w:p>
        </w:tc>
        <w:tc>
          <w:tcPr>
            <w:tcW w:w="4087" w:type="dxa"/>
            <w:vAlign w:val="center"/>
          </w:tcPr>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“双随机、一公开”监管工作领导小组全体成员及相关股室执法人员</w:t>
            </w:r>
          </w:p>
          <w:p>
            <w:pPr>
              <w:pStyle w:val="3"/>
              <w:tabs>
                <w:tab w:val="left" w:pos="12960"/>
                <w:tab w:val="left" w:pos="13200"/>
              </w:tabs>
              <w:kinsoku w:val="0"/>
              <w:overflowPunct w:val="0"/>
              <w:jc w:val="center"/>
              <w:rPr>
                <w:rFonts w:hint="eastAsia" w:ascii="宋体" w:hAnsi="宋体" w:eastAsia="宋体" w:cs="宋体"/>
                <w:sz w:val="32"/>
                <w:szCs w:val="32"/>
                <w:vertAlign w:val="baseline"/>
                <w:lang w:val="en-US" w:eastAsia="zh-CN"/>
              </w:rPr>
            </w:pPr>
            <w:r>
              <w:rPr>
                <w:rFonts w:hint="eastAsia" w:ascii="仿宋" w:hAnsi="仿宋" w:eastAsia="仿宋" w:cs="仿宋"/>
                <w:sz w:val="32"/>
                <w:szCs w:val="32"/>
                <w:vertAlign w:val="baseline"/>
                <w:lang w:val="en-US" w:eastAsia="zh-CN"/>
              </w:rPr>
              <w:t>，负责具体工作人员</w:t>
            </w:r>
          </w:p>
        </w:tc>
        <w:tc>
          <w:tcPr>
            <w:tcW w:w="2384" w:type="dxa"/>
            <w:vAlign w:val="center"/>
          </w:tcPr>
          <w:p>
            <w:pPr>
              <w:pStyle w:val="3"/>
              <w:tabs>
                <w:tab w:val="left" w:pos="12960"/>
                <w:tab w:val="left" w:pos="13200"/>
              </w:tabs>
              <w:kinsoku w:val="0"/>
              <w:overflowPunct w:val="0"/>
              <w:jc w:val="center"/>
              <w:rPr>
                <w:rFonts w:hint="default" w:ascii="宋体" w:hAnsi="宋体" w:eastAsia="宋体" w:cs="宋体"/>
                <w:sz w:val="32"/>
                <w:szCs w:val="32"/>
                <w:vertAlign w:val="baseline"/>
                <w:lang w:val="en-US" w:eastAsia="zh-CN"/>
              </w:rPr>
            </w:pPr>
            <w:r>
              <w:rPr>
                <w:rFonts w:hint="eastAsia" w:ascii="仿宋" w:hAnsi="仿宋" w:eastAsia="仿宋" w:cs="仿宋"/>
                <w:sz w:val="32"/>
                <w:szCs w:val="32"/>
                <w:vertAlign w:val="baseline"/>
                <w:lang w:val="en-US" w:eastAsia="zh-CN"/>
              </w:rPr>
              <w:t>现场培训与分散培训相结合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656" w:type="dxa"/>
            <w:vAlign w:val="center"/>
          </w:tcPr>
          <w:p>
            <w:pPr>
              <w:pStyle w:val="3"/>
              <w:tabs>
                <w:tab w:val="left" w:pos="12960"/>
                <w:tab w:val="left" w:pos="13200"/>
              </w:tabs>
              <w:kinsoku w:val="0"/>
              <w:overflowPunct w:val="0"/>
              <w:jc w:val="center"/>
              <w:rPr>
                <w:rFonts w:hint="eastAsia" w:ascii="宋体" w:hAnsi="宋体" w:eastAsia="宋体" w:cs="宋体"/>
                <w:sz w:val="32"/>
                <w:szCs w:val="32"/>
                <w:vertAlign w:val="baseline"/>
                <w:lang w:val="en-US" w:eastAsia="zh-CN"/>
              </w:rPr>
            </w:pPr>
            <w:r>
              <w:rPr>
                <w:rFonts w:hint="eastAsia" w:ascii="仿宋" w:hAnsi="仿宋" w:eastAsia="仿宋" w:cs="仿宋"/>
                <w:sz w:val="32"/>
                <w:szCs w:val="32"/>
                <w:vertAlign w:val="baseline"/>
                <w:lang w:val="en-US" w:eastAsia="zh-CN"/>
              </w:rPr>
              <w:t>2024</w:t>
            </w:r>
            <w:bookmarkStart w:id="0" w:name="_GoBack"/>
            <w:bookmarkEnd w:id="0"/>
            <w:r>
              <w:rPr>
                <w:rFonts w:hint="eastAsia" w:ascii="仿宋" w:hAnsi="仿宋" w:eastAsia="仿宋" w:cs="仿宋"/>
                <w:sz w:val="32"/>
                <w:szCs w:val="32"/>
                <w:vertAlign w:val="baseline"/>
                <w:lang w:val="en-US" w:eastAsia="zh-CN"/>
              </w:rPr>
              <w:t>年7-9月</w:t>
            </w:r>
          </w:p>
        </w:tc>
        <w:tc>
          <w:tcPr>
            <w:tcW w:w="4556" w:type="dxa"/>
            <w:vAlign w:val="center"/>
          </w:tcPr>
          <w:p>
            <w:pPr>
              <w:pStyle w:val="3"/>
              <w:tabs>
                <w:tab w:val="left" w:pos="12960"/>
                <w:tab w:val="left" w:pos="13200"/>
              </w:tabs>
              <w:kinsoku w:val="0"/>
              <w:overflowPunct w:val="0"/>
              <w:ind w:left="0" w:leftChars="0" w:firstLine="0" w:firstLineChars="0"/>
              <w:jc w:val="both"/>
              <w:rPr>
                <w:rFonts w:hint="eastAsia" w:ascii="宋体" w:hAnsi="宋体" w:eastAsia="宋体" w:cs="宋体"/>
                <w:sz w:val="32"/>
                <w:szCs w:val="32"/>
                <w:vertAlign w:val="baseline"/>
                <w:lang w:val="en-US" w:eastAsia="zh-CN"/>
              </w:rPr>
            </w:pPr>
            <w:r>
              <w:rPr>
                <w:rFonts w:hint="eastAsia" w:ascii="仿宋" w:hAnsi="仿宋" w:eastAsia="仿宋" w:cs="仿宋"/>
                <w:sz w:val="32"/>
                <w:szCs w:val="32"/>
                <w:lang w:val="en-US" w:eastAsia="zh-CN"/>
              </w:rPr>
              <w:t>“双随机、一公开”监管工作政策解读；“双随机、一公开”监管与企业信用风险分级分类相结合解读；河北省双随机监管工作平台使用培训会</w:t>
            </w:r>
          </w:p>
        </w:tc>
        <w:tc>
          <w:tcPr>
            <w:tcW w:w="4087" w:type="dxa"/>
            <w:vAlign w:val="center"/>
          </w:tcPr>
          <w:p>
            <w:pPr>
              <w:pStyle w:val="3"/>
              <w:kinsoku w:val="0"/>
              <w:overflowPunct w:val="0"/>
              <w:spacing w:line="560" w:lineRule="exact"/>
              <w:ind w:right="18" w:firstLine="640" w:firstLineChars="200"/>
              <w:jc w:val="both"/>
              <w:rPr>
                <w:rFonts w:hint="eastAsia" w:ascii="仿宋" w:hAnsi="仿宋" w:eastAsia="仿宋" w:cs="仿宋"/>
                <w:lang w:val="en-US" w:eastAsia="zh-CN"/>
              </w:rPr>
            </w:pPr>
            <w:r>
              <w:rPr>
                <w:rFonts w:hint="eastAsia" w:ascii="仿宋" w:hAnsi="仿宋" w:eastAsia="仿宋" w:cs="仿宋"/>
                <w:lang w:val="en-US" w:eastAsia="zh-CN"/>
              </w:rPr>
              <w:t>“双随机、一公开”监管工作领导小组全体成员及相关股室执法人员</w:t>
            </w:r>
          </w:p>
          <w:p>
            <w:pPr>
              <w:pStyle w:val="3"/>
              <w:tabs>
                <w:tab w:val="left" w:pos="12960"/>
                <w:tab w:val="left" w:pos="13200"/>
              </w:tabs>
              <w:kinsoku w:val="0"/>
              <w:overflowPunct w:val="0"/>
              <w:jc w:val="center"/>
              <w:rPr>
                <w:rFonts w:hint="eastAsia" w:ascii="宋体" w:hAnsi="宋体" w:eastAsia="宋体" w:cs="宋体"/>
                <w:sz w:val="32"/>
                <w:szCs w:val="32"/>
                <w:vertAlign w:val="baseline"/>
                <w:lang w:val="en-US" w:eastAsia="zh-CN"/>
              </w:rPr>
            </w:pPr>
            <w:r>
              <w:rPr>
                <w:rFonts w:hint="eastAsia" w:ascii="仿宋" w:hAnsi="仿宋" w:eastAsia="仿宋" w:cs="仿宋"/>
                <w:sz w:val="32"/>
                <w:szCs w:val="32"/>
                <w:vertAlign w:val="baseline"/>
                <w:lang w:val="en-US" w:eastAsia="zh-CN"/>
              </w:rPr>
              <w:t>，负责具体工作人员</w:t>
            </w:r>
          </w:p>
        </w:tc>
        <w:tc>
          <w:tcPr>
            <w:tcW w:w="2384" w:type="dxa"/>
            <w:vAlign w:val="center"/>
          </w:tcPr>
          <w:p>
            <w:pPr>
              <w:pStyle w:val="3"/>
              <w:tabs>
                <w:tab w:val="left" w:pos="12960"/>
                <w:tab w:val="left" w:pos="13200"/>
              </w:tabs>
              <w:kinsoku w:val="0"/>
              <w:overflowPunct w:val="0"/>
              <w:jc w:val="center"/>
              <w:rPr>
                <w:rFonts w:hint="default" w:ascii="宋体" w:hAnsi="宋体" w:eastAsia="宋体" w:cs="宋体"/>
                <w:sz w:val="32"/>
                <w:szCs w:val="32"/>
                <w:vertAlign w:val="baseline"/>
                <w:lang w:val="en-US" w:eastAsia="zh-CN"/>
              </w:rPr>
            </w:pPr>
            <w:r>
              <w:rPr>
                <w:rFonts w:hint="eastAsia" w:ascii="仿宋" w:hAnsi="仿宋" w:eastAsia="仿宋" w:cs="仿宋"/>
                <w:sz w:val="32"/>
                <w:szCs w:val="32"/>
                <w:vertAlign w:val="baseline"/>
                <w:lang w:val="en-US" w:eastAsia="zh-CN"/>
              </w:rPr>
              <w:t>现场培训与分散培训相结合</w:t>
            </w:r>
          </w:p>
        </w:tc>
      </w:tr>
    </w:tbl>
    <w:p>
      <w:pPr>
        <w:pStyle w:val="3"/>
        <w:kinsoku w:val="0"/>
        <w:overflowPunct w:val="0"/>
        <w:ind w:left="116" w:firstLine="640" w:firstLineChars="200"/>
        <w:rPr>
          <w:rFonts w:hint="default" w:ascii="仿宋" w:hAnsi="仿宋" w:eastAsia="仿宋" w:cs="仿宋"/>
          <w:sz w:val="32"/>
          <w:szCs w:val="32"/>
          <w:lang w:val="en-US" w:eastAsia="zh-CN"/>
        </w:rPr>
        <w:sectPr>
          <w:type w:val="continuous"/>
          <w:pgSz w:w="16840" w:h="11910" w:orient="landscape"/>
          <w:pgMar w:top="1531" w:right="1984" w:bottom="1417" w:left="1701" w:header="0" w:footer="0" w:gutter="0"/>
          <w:cols w:equalWidth="0" w:num="1">
            <w:col w:w="9069"/>
          </w:cols>
          <w:rtlGutter w:val="0"/>
          <w:docGrid w:linePitch="0" w:charSpace="0"/>
        </w:sectPr>
      </w:pPr>
    </w:p>
    <w:p>
      <w:pPr>
        <w:pStyle w:val="3"/>
        <w:kinsoku w:val="0"/>
        <w:overflowPunct w:val="0"/>
        <w:ind w:left="0" w:leftChars="0" w:firstLine="0" w:firstLineChars="0"/>
        <w:rPr>
          <w:rFonts w:hint="default" w:ascii="仿宋" w:hAnsi="仿宋" w:eastAsia="仿宋" w:cs="仿宋"/>
          <w:sz w:val="32"/>
          <w:szCs w:val="32"/>
          <w:lang w:val="en-US" w:eastAsia="zh-CN"/>
        </w:rPr>
        <w:sectPr>
          <w:type w:val="continuous"/>
          <w:pgSz w:w="11910" w:h="16840"/>
          <w:pgMar w:top="1984" w:right="1417" w:bottom="1701" w:left="1531" w:header="0" w:footer="0" w:gutter="0"/>
          <w:cols w:equalWidth="0" w:num="1">
            <w:col w:w="9069"/>
          </w:cols>
          <w:rtlGutter w:val="0"/>
          <w:docGrid w:linePitch="0" w:charSpace="0"/>
        </w:sectPr>
      </w:pPr>
    </w:p>
    <w:p>
      <w:pPr>
        <w:pStyle w:val="3"/>
        <w:kinsoku w:val="0"/>
        <w:overflowPunct w:val="0"/>
        <w:ind w:left="0" w:leftChars="0" w:firstLine="0" w:firstLineChars="0"/>
        <w:rPr>
          <w:rFonts w:hint="default" w:ascii="仿宋" w:hAnsi="仿宋" w:eastAsia="仿宋" w:cs="仿宋"/>
          <w:sz w:val="32"/>
          <w:szCs w:val="32"/>
          <w:lang w:val="en-US" w:eastAsia="zh-CN"/>
        </w:rPr>
      </w:pPr>
    </w:p>
    <w:sectPr>
      <w:type w:val="continuous"/>
      <w:pgSz w:w="16840" w:h="11910" w:orient="landscape"/>
      <w:pgMar w:top="1531" w:right="1984" w:bottom="1417" w:left="1701" w:header="0" w:footer="0" w:gutter="0"/>
      <w:cols w:equalWidth="0" w:num="1">
        <w:col w:w="9069"/>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33C04DC-09CB-4433-AC8D-77A06903A9B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5196018E-E277-4EAA-B6B2-3A532342CA7C}"/>
  </w:font>
  <w:font w:name="仿宋">
    <w:panose1 w:val="02010609060101010101"/>
    <w:charset w:val="86"/>
    <w:family w:val="modern"/>
    <w:pitch w:val="default"/>
    <w:sig w:usb0="800002BF" w:usb1="38CF7CFA" w:usb2="00000016" w:usb3="00000000" w:csb0="00040001" w:csb1="00000000"/>
    <w:embedRegular r:id="rId3" w:fontKey="{0DEC42EB-D8B2-4252-A04C-9AE39C67D96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kinsoku w:val="0"/>
      <w:overflowPunct w:val="0"/>
      <w:spacing w:line="14" w:lineRule="auto"/>
      <w:ind w:left="0"/>
      <w:rPr>
        <w:rFonts w:ascii="Times New Roman" w:cs="Times New Roman" w:eastAsiaTheme="minorEastAsia"/>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kinsoku w:val="0"/>
      <w:overflowPunct w:val="0"/>
      <w:spacing w:line="14" w:lineRule="auto"/>
      <w:ind w:left="0"/>
      <w:rPr>
        <w:rFonts w:ascii="Times New Roman" w:cs="Times New Roman" w:eastAsiaTheme="minorEastAsia"/>
        <w:sz w:val="2"/>
        <w:szCs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C189FC"/>
    <w:multiLevelType w:val="singleLevel"/>
    <w:tmpl w:val="40C189F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720"/>
  <w:evenAndOddHeaders w:val="1"/>
  <w:drawingGridHorizontalSpacing w:val="120"/>
  <w:drawingGridVerticalSpacing w:val="120"/>
  <w:doNotUseMarginsForDrawingGridOrigin w:val="1"/>
  <w:drawingGridHorizontalOrigin w:val="1800"/>
  <w:drawingGridVerticalOrigin w:val="1440"/>
  <w:doNotShadeFormData w:val="1"/>
  <w:noPunctuationKerning w:val="1"/>
  <w:characterSpacingControl w:val="doNotCompress"/>
  <w:doNotValidateAgainstSchema/>
  <w:doNotDemarcateInvalidXml/>
  <w:compat>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hjNWI3OTQ4YTY0M2VlZWMyMTc2NjgxOTI2OTBmMDYifQ=="/>
  </w:docVars>
  <w:rsids>
    <w:rsidRoot w:val="00E81EA5"/>
    <w:rsid w:val="0000477E"/>
    <w:rsid w:val="00014372"/>
    <w:rsid w:val="0003074A"/>
    <w:rsid w:val="00052CED"/>
    <w:rsid w:val="000D1846"/>
    <w:rsid w:val="000F2CAB"/>
    <w:rsid w:val="000F7159"/>
    <w:rsid w:val="001569B3"/>
    <w:rsid w:val="001A26A2"/>
    <w:rsid w:val="001E3E98"/>
    <w:rsid w:val="0021193B"/>
    <w:rsid w:val="00214CB3"/>
    <w:rsid w:val="00234B70"/>
    <w:rsid w:val="0027137E"/>
    <w:rsid w:val="002A6925"/>
    <w:rsid w:val="002B4746"/>
    <w:rsid w:val="002F2A39"/>
    <w:rsid w:val="0030270D"/>
    <w:rsid w:val="003614D5"/>
    <w:rsid w:val="00372EB5"/>
    <w:rsid w:val="003A0F9B"/>
    <w:rsid w:val="003C6FAA"/>
    <w:rsid w:val="003E415A"/>
    <w:rsid w:val="003F3252"/>
    <w:rsid w:val="00416362"/>
    <w:rsid w:val="0047256A"/>
    <w:rsid w:val="004B2EE6"/>
    <w:rsid w:val="004C23D6"/>
    <w:rsid w:val="00540056"/>
    <w:rsid w:val="005E4071"/>
    <w:rsid w:val="00693127"/>
    <w:rsid w:val="00695EB8"/>
    <w:rsid w:val="006A6A42"/>
    <w:rsid w:val="006B496C"/>
    <w:rsid w:val="006C0777"/>
    <w:rsid w:val="006D2734"/>
    <w:rsid w:val="006D470C"/>
    <w:rsid w:val="006E0018"/>
    <w:rsid w:val="00707134"/>
    <w:rsid w:val="007430DA"/>
    <w:rsid w:val="0075440A"/>
    <w:rsid w:val="00780531"/>
    <w:rsid w:val="007B7788"/>
    <w:rsid w:val="007D2FD9"/>
    <w:rsid w:val="007E6989"/>
    <w:rsid w:val="0084660E"/>
    <w:rsid w:val="008B6FC0"/>
    <w:rsid w:val="008C1939"/>
    <w:rsid w:val="008C3461"/>
    <w:rsid w:val="008E69C5"/>
    <w:rsid w:val="00900BF2"/>
    <w:rsid w:val="0090153C"/>
    <w:rsid w:val="00924C63"/>
    <w:rsid w:val="0092521F"/>
    <w:rsid w:val="00950550"/>
    <w:rsid w:val="0096028A"/>
    <w:rsid w:val="00976093"/>
    <w:rsid w:val="009C16F6"/>
    <w:rsid w:val="009C2AB9"/>
    <w:rsid w:val="009D3FAD"/>
    <w:rsid w:val="009E4A7A"/>
    <w:rsid w:val="00A026FC"/>
    <w:rsid w:val="00A2725A"/>
    <w:rsid w:val="00A73CEE"/>
    <w:rsid w:val="00AC1713"/>
    <w:rsid w:val="00B06005"/>
    <w:rsid w:val="00B64364"/>
    <w:rsid w:val="00BE550A"/>
    <w:rsid w:val="00C270CF"/>
    <w:rsid w:val="00C37C8E"/>
    <w:rsid w:val="00C93626"/>
    <w:rsid w:val="00D747FD"/>
    <w:rsid w:val="00DD5A67"/>
    <w:rsid w:val="00DE27B0"/>
    <w:rsid w:val="00DE7363"/>
    <w:rsid w:val="00E81EA5"/>
    <w:rsid w:val="00E85EC6"/>
    <w:rsid w:val="00EA5A19"/>
    <w:rsid w:val="00EA7A73"/>
    <w:rsid w:val="00EC5341"/>
    <w:rsid w:val="00ED069E"/>
    <w:rsid w:val="00F376BF"/>
    <w:rsid w:val="00F633A2"/>
    <w:rsid w:val="00FC61F6"/>
    <w:rsid w:val="00FE5182"/>
    <w:rsid w:val="00FF3338"/>
    <w:rsid w:val="01242BA9"/>
    <w:rsid w:val="014038F3"/>
    <w:rsid w:val="014D28C9"/>
    <w:rsid w:val="01EC7AFD"/>
    <w:rsid w:val="02D04522"/>
    <w:rsid w:val="038A47E6"/>
    <w:rsid w:val="03C12019"/>
    <w:rsid w:val="03E9302F"/>
    <w:rsid w:val="047234B4"/>
    <w:rsid w:val="04F07082"/>
    <w:rsid w:val="0635057E"/>
    <w:rsid w:val="07D70723"/>
    <w:rsid w:val="09962008"/>
    <w:rsid w:val="09C33735"/>
    <w:rsid w:val="0A1B437A"/>
    <w:rsid w:val="0B380146"/>
    <w:rsid w:val="0BA7213A"/>
    <w:rsid w:val="0CCB1EB6"/>
    <w:rsid w:val="0CEE4F60"/>
    <w:rsid w:val="0E5057A5"/>
    <w:rsid w:val="0F283D96"/>
    <w:rsid w:val="10292C06"/>
    <w:rsid w:val="10D75DB6"/>
    <w:rsid w:val="11E5728C"/>
    <w:rsid w:val="129E1CA4"/>
    <w:rsid w:val="13C260DF"/>
    <w:rsid w:val="140F6834"/>
    <w:rsid w:val="1444680B"/>
    <w:rsid w:val="15436065"/>
    <w:rsid w:val="1553641D"/>
    <w:rsid w:val="15A141B6"/>
    <w:rsid w:val="15AA07D6"/>
    <w:rsid w:val="15C415B4"/>
    <w:rsid w:val="161A2B95"/>
    <w:rsid w:val="183304B6"/>
    <w:rsid w:val="1835515B"/>
    <w:rsid w:val="19351B93"/>
    <w:rsid w:val="1ADB3331"/>
    <w:rsid w:val="1B2537FC"/>
    <w:rsid w:val="1DA41599"/>
    <w:rsid w:val="1E4B67E8"/>
    <w:rsid w:val="1EDE39E6"/>
    <w:rsid w:val="1F0F5247"/>
    <w:rsid w:val="1F10520A"/>
    <w:rsid w:val="1F9E11B0"/>
    <w:rsid w:val="201851B8"/>
    <w:rsid w:val="21B6430A"/>
    <w:rsid w:val="229020BE"/>
    <w:rsid w:val="26321109"/>
    <w:rsid w:val="2648388C"/>
    <w:rsid w:val="27727385"/>
    <w:rsid w:val="28D47188"/>
    <w:rsid w:val="28EF765E"/>
    <w:rsid w:val="2A41096D"/>
    <w:rsid w:val="2AE159EA"/>
    <w:rsid w:val="2DE97352"/>
    <w:rsid w:val="2FE9188B"/>
    <w:rsid w:val="30522DBC"/>
    <w:rsid w:val="30E14EC3"/>
    <w:rsid w:val="31FD3983"/>
    <w:rsid w:val="34CD0139"/>
    <w:rsid w:val="362E64F3"/>
    <w:rsid w:val="374E4BCE"/>
    <w:rsid w:val="379A346B"/>
    <w:rsid w:val="38E217E0"/>
    <w:rsid w:val="38F37802"/>
    <w:rsid w:val="3948727F"/>
    <w:rsid w:val="39F04C52"/>
    <w:rsid w:val="39FC394D"/>
    <w:rsid w:val="3C5558EE"/>
    <w:rsid w:val="3CC97AD0"/>
    <w:rsid w:val="3E181984"/>
    <w:rsid w:val="3EB8796B"/>
    <w:rsid w:val="3EDC4C79"/>
    <w:rsid w:val="411F30B6"/>
    <w:rsid w:val="41235EF0"/>
    <w:rsid w:val="41573CEA"/>
    <w:rsid w:val="41651D8C"/>
    <w:rsid w:val="421D3616"/>
    <w:rsid w:val="423632AA"/>
    <w:rsid w:val="433E1350"/>
    <w:rsid w:val="43851473"/>
    <w:rsid w:val="44166437"/>
    <w:rsid w:val="455C589D"/>
    <w:rsid w:val="463C0801"/>
    <w:rsid w:val="472A79E0"/>
    <w:rsid w:val="48413A41"/>
    <w:rsid w:val="486C1838"/>
    <w:rsid w:val="48C30DC2"/>
    <w:rsid w:val="499541D2"/>
    <w:rsid w:val="49A478BC"/>
    <w:rsid w:val="4ACE0671"/>
    <w:rsid w:val="4B15750F"/>
    <w:rsid w:val="4B2575EE"/>
    <w:rsid w:val="4BCF6A4F"/>
    <w:rsid w:val="4BE3143D"/>
    <w:rsid w:val="4C59524B"/>
    <w:rsid w:val="4DD05680"/>
    <w:rsid w:val="4FB34DDD"/>
    <w:rsid w:val="4FCA4992"/>
    <w:rsid w:val="4FE0155C"/>
    <w:rsid w:val="50116DFF"/>
    <w:rsid w:val="50A75257"/>
    <w:rsid w:val="52E5453A"/>
    <w:rsid w:val="53AA20B2"/>
    <w:rsid w:val="53FF3970"/>
    <w:rsid w:val="551355F8"/>
    <w:rsid w:val="55603845"/>
    <w:rsid w:val="55C86D39"/>
    <w:rsid w:val="562C1667"/>
    <w:rsid w:val="56484C34"/>
    <w:rsid w:val="56D11245"/>
    <w:rsid w:val="57B263D8"/>
    <w:rsid w:val="57C85656"/>
    <w:rsid w:val="5845714B"/>
    <w:rsid w:val="59AD4E28"/>
    <w:rsid w:val="59C15707"/>
    <w:rsid w:val="5AE8436A"/>
    <w:rsid w:val="5BAC35E9"/>
    <w:rsid w:val="5C7F2AAC"/>
    <w:rsid w:val="5D9A071F"/>
    <w:rsid w:val="5DF21F37"/>
    <w:rsid w:val="5F7E2ECD"/>
    <w:rsid w:val="5FB3333C"/>
    <w:rsid w:val="5FDA54D9"/>
    <w:rsid w:val="5FF04070"/>
    <w:rsid w:val="60482818"/>
    <w:rsid w:val="62E02B57"/>
    <w:rsid w:val="632335F0"/>
    <w:rsid w:val="63400425"/>
    <w:rsid w:val="635020B2"/>
    <w:rsid w:val="64B924DC"/>
    <w:rsid w:val="650941EF"/>
    <w:rsid w:val="65420C76"/>
    <w:rsid w:val="655C4110"/>
    <w:rsid w:val="66146676"/>
    <w:rsid w:val="66292447"/>
    <w:rsid w:val="668E406B"/>
    <w:rsid w:val="686E1513"/>
    <w:rsid w:val="6CD97FB6"/>
    <w:rsid w:val="6CE94BCD"/>
    <w:rsid w:val="6D082649"/>
    <w:rsid w:val="6D12185F"/>
    <w:rsid w:val="6D271B2E"/>
    <w:rsid w:val="6EF567F9"/>
    <w:rsid w:val="703F58DA"/>
    <w:rsid w:val="706B1913"/>
    <w:rsid w:val="7140295C"/>
    <w:rsid w:val="714D5418"/>
    <w:rsid w:val="720E2848"/>
    <w:rsid w:val="726A0860"/>
    <w:rsid w:val="72711417"/>
    <w:rsid w:val="72976C64"/>
    <w:rsid w:val="74033B6B"/>
    <w:rsid w:val="75657081"/>
    <w:rsid w:val="765F699B"/>
    <w:rsid w:val="770B219A"/>
    <w:rsid w:val="77CC3151"/>
    <w:rsid w:val="77E53D37"/>
    <w:rsid w:val="78CA709D"/>
    <w:rsid w:val="7908085A"/>
    <w:rsid w:val="7A9F445D"/>
    <w:rsid w:val="7CC35CB6"/>
    <w:rsid w:val="7DFA38EF"/>
    <w:rsid w:val="7E2D2FD6"/>
    <w:rsid w:val="7EB25B6C"/>
    <w:rsid w:val="7EC73702"/>
    <w:rsid w:val="7F042755"/>
    <w:rsid w:val="7FC421A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ascii="Times New Roman" w:hAnsi="Times New Roman" w:cs="Times New Roman" w:eastAsiaTheme="minorEastAsia"/>
      <w:sz w:val="24"/>
      <w:szCs w:val="24"/>
      <w:lang w:val="en-US" w:eastAsia="zh-CN" w:bidi="ar-SA"/>
    </w:rPr>
  </w:style>
  <w:style w:type="paragraph" w:styleId="2">
    <w:name w:val="heading 1"/>
    <w:basedOn w:val="1"/>
    <w:next w:val="1"/>
    <w:link w:val="12"/>
    <w:qFormat/>
    <w:uiPriority w:val="1"/>
    <w:pPr>
      <w:ind w:left="115"/>
      <w:outlineLvl w:val="0"/>
    </w:pPr>
    <w:rPr>
      <w:rFonts w:ascii="宋体" w:eastAsia="宋体" w:cs="宋体"/>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autoRedefine/>
    <w:qFormat/>
    <w:uiPriority w:val="1"/>
    <w:pPr>
      <w:ind w:left="108"/>
    </w:pPr>
    <w:rPr>
      <w:rFonts w:ascii="宋体" w:eastAsia="宋体" w:cs="宋体"/>
      <w:sz w:val="32"/>
      <w:szCs w:val="32"/>
    </w:r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qFormat/>
    <w:uiPriority w:val="99"/>
    <w:rPr>
      <w:color w:val="0000FF" w:themeColor="hyperlink"/>
      <w:u w:val="single"/>
    </w:rPr>
  </w:style>
  <w:style w:type="character" w:customStyle="1" w:styleId="11">
    <w:name w:val="正文文本 Char"/>
    <w:basedOn w:val="9"/>
    <w:link w:val="3"/>
    <w:semiHidden/>
    <w:qFormat/>
    <w:uiPriority w:val="99"/>
    <w:rPr>
      <w:rFonts w:ascii="Times New Roman" w:hAnsi="Times New Roman" w:cs="Times New Roman"/>
      <w:kern w:val="0"/>
      <w:sz w:val="24"/>
      <w:szCs w:val="24"/>
    </w:rPr>
  </w:style>
  <w:style w:type="character" w:customStyle="1" w:styleId="12">
    <w:name w:val="标题 1 Char"/>
    <w:basedOn w:val="9"/>
    <w:link w:val="2"/>
    <w:autoRedefine/>
    <w:qFormat/>
    <w:uiPriority w:val="9"/>
    <w:rPr>
      <w:rFonts w:ascii="Times New Roman" w:hAnsi="Times New Roman" w:cs="Times New Roman"/>
      <w:b/>
      <w:bCs/>
      <w:kern w:val="44"/>
      <w:sz w:val="44"/>
      <w:szCs w:val="44"/>
    </w:rPr>
  </w:style>
  <w:style w:type="paragraph" w:styleId="13">
    <w:name w:val="List Paragraph"/>
    <w:basedOn w:val="1"/>
    <w:qFormat/>
    <w:uiPriority w:val="1"/>
  </w:style>
  <w:style w:type="paragraph" w:customStyle="1" w:styleId="14">
    <w:name w:val="Table Paragraph"/>
    <w:basedOn w:val="1"/>
    <w:qFormat/>
    <w:uiPriority w:val="1"/>
  </w:style>
  <w:style w:type="character" w:customStyle="1" w:styleId="15">
    <w:name w:val="页眉 Char"/>
    <w:basedOn w:val="9"/>
    <w:link w:val="6"/>
    <w:qFormat/>
    <w:uiPriority w:val="99"/>
    <w:rPr>
      <w:rFonts w:ascii="Times New Roman" w:hAnsi="Times New Roman" w:cs="Times New Roman"/>
      <w:kern w:val="0"/>
      <w:sz w:val="18"/>
      <w:szCs w:val="18"/>
    </w:rPr>
  </w:style>
  <w:style w:type="character" w:customStyle="1" w:styleId="16">
    <w:name w:val="页脚 Char"/>
    <w:basedOn w:val="9"/>
    <w:link w:val="5"/>
    <w:qFormat/>
    <w:uiPriority w:val="99"/>
    <w:rPr>
      <w:rFonts w:ascii="Times New Roman" w:hAnsi="Times New Roman" w:cs="Times New Roman"/>
      <w:kern w:val="0"/>
      <w:sz w:val="18"/>
      <w:szCs w:val="18"/>
    </w:rPr>
  </w:style>
  <w:style w:type="character" w:customStyle="1" w:styleId="17">
    <w:name w:val="批注框文本 Char"/>
    <w:basedOn w:val="9"/>
    <w:link w:val="4"/>
    <w:autoRedefine/>
    <w:semiHidden/>
    <w:qFormat/>
    <w:uiPriority w:val="99"/>
    <w:rPr>
      <w:rFonts w:ascii="Times New Roman" w:hAnsi="Times New Roman" w:cs="Times New Roman"/>
      <w:kern w:val="0"/>
      <w:sz w:val="18"/>
      <w:szCs w:val="18"/>
    </w:rPr>
  </w:style>
  <w:style w:type="paragraph" w:customStyle="1" w:styleId="18">
    <w:name w:val="Body text|1"/>
    <w:basedOn w:val="1"/>
    <w:qFormat/>
    <w:uiPriority w:val="0"/>
    <w:pPr>
      <w:spacing w:line="439" w:lineRule="auto"/>
      <w:ind w:firstLine="400"/>
    </w:pPr>
    <w:rPr>
      <w:rFonts w:ascii="宋体" w:hAnsi="宋体" w:eastAsia="宋体" w:cs="宋体"/>
      <w:sz w:val="30"/>
      <w:szCs w:val="30"/>
      <w:lang w:val="zh-TW" w:eastAsia="zh-TW" w:bidi="zh-TW"/>
    </w:rPr>
  </w:style>
  <w:style w:type="paragraph" w:customStyle="1" w:styleId="19">
    <w:name w:val="Header or footer|2"/>
    <w:basedOn w:val="1"/>
    <w:qFormat/>
    <w:uiPriority w:val="0"/>
    <w:rPr>
      <w:sz w:val="20"/>
      <w:szCs w:val="20"/>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1050F-6904-40A5-9926-FFE846F8834B}">
  <ds:schemaRefs/>
</ds:datastoreItem>
</file>

<file path=docProps/app.xml><?xml version="1.0" encoding="utf-8"?>
<Properties xmlns="http://schemas.openxmlformats.org/officeDocument/2006/extended-properties" xmlns:vt="http://schemas.openxmlformats.org/officeDocument/2006/docPropsVTypes">
  <Template>Normal</Template>
  <Pages>5</Pages>
  <Words>1051</Words>
  <Characters>1074</Characters>
  <Lines>3</Lines>
  <Paragraphs>1</Paragraphs>
  <TotalTime>3</TotalTime>
  <ScaleCrop>false</ScaleCrop>
  <LinksUpToDate>false</LinksUpToDate>
  <CharactersWithSpaces>1074</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2021-01-30T02:28:00Z</dcterms:created>
  <dc:creator>冯樱</dc:creator>
  <cp:lastModifiedBy>  宽 ,</cp:lastModifiedBy>
  <cp:lastPrinted>2023-07-13T08:09:00Z</cp:lastPrinted>
  <dcterms:modified xsi:type="dcterms:W3CDTF">2024-02-04T01:55:00Z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WPS Office</vt:lpwstr>
  </property>
  <property fmtid="{D5CDD505-2E9C-101B-9397-08002B2CF9AE}" pid="3" name="KSOProductBuildVer">
    <vt:lpwstr>2052-12.1.0.16250</vt:lpwstr>
  </property>
  <property fmtid="{D5CDD505-2E9C-101B-9397-08002B2CF9AE}" pid="4" name="ICV">
    <vt:lpwstr>E6291AD87AC64E43A3FE3F3139CEBE5F</vt:lpwstr>
  </property>
</Properties>
</file>