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eastAsia="仿宋_GB2312" w:cs="Times New Roman"/>
          <w:color w:val="FF0000"/>
          <w:spacing w:val="-20"/>
          <w:w w:val="50"/>
          <w:sz w:val="84"/>
          <w:szCs w:val="84"/>
          <w:lang w:val="en-US" w:eastAsia="zh-CN"/>
        </w:rPr>
      </w:pPr>
      <w:r>
        <w:rPr>
          <w:rFonts w:hint="default" w:ascii="Times New Roman" w:hAnsi="Times New Roman" w:cs="Times New Roman"/>
          <w:color w:val="FF0000"/>
          <w:spacing w:val="-20"/>
          <w:w w:val="50"/>
          <w:sz w:val="84"/>
          <w:szCs w:val="84"/>
          <w:lang w:val="en-US" w:eastAsia="zh-CN"/>
        </w:rPr>
        <w:t xml:space="preserve"> </w:t>
      </w:r>
    </w:p>
    <w:p>
      <w:pPr>
        <w:jc w:val="center"/>
        <w:rPr>
          <w:rFonts w:hint="default" w:ascii="Times New Roman" w:hAnsi="Times New Roman" w:cs="Times New Roman"/>
          <w:color w:val="FF0000"/>
          <w:spacing w:val="-20"/>
          <w:w w:val="50"/>
          <w:sz w:val="84"/>
          <w:szCs w:val="8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涞统发〔2024〕2号</w:t>
      </w:r>
    </w:p>
    <w:p>
      <w:pPr>
        <w:tabs>
          <w:tab w:val="left" w:pos="6952"/>
        </w:tabs>
        <w:adjustRightInd w:val="0"/>
        <w:snapToGrid w:val="0"/>
        <w:jc w:val="left"/>
        <w:rPr>
          <w:rFonts w:hint="default" w:ascii="Times New Roman" w:hAnsi="Times New Roman" w:eastAsia="方正小标宋_GBK" w:cs="Times New Roman"/>
          <w:snapToGrid w:val="0"/>
          <w:color w:val="000000"/>
          <w:spacing w:val="-4"/>
          <w:sz w:val="24"/>
        </w:rPr>
      </w:pPr>
    </w:p>
    <w:p>
      <w:pPr>
        <w:pStyle w:val="2"/>
        <w:keepNext w:val="0"/>
        <w:keepLines w:val="0"/>
        <w:kinsoku w:val="0"/>
        <w:overflowPunct w:val="0"/>
        <w:spacing w:before="0" w:beforeLines="-2147483648" w:beforeAutospacing="0" w:after="0" w:afterLines="-2147483648" w:afterAutospacing="0" w:line="240" w:lineRule="auto"/>
        <w:ind w:left="115" w:right="130"/>
        <w:jc w:val="center"/>
        <w:rPr>
          <w:rFonts w:hint="default" w:ascii="黑体" w:hAnsi="黑体" w:eastAsia="黑体" w:cs="黑体"/>
          <w:b w:val="0"/>
          <w:bCs w:val="0"/>
          <w:spacing w:val="-3"/>
          <w:kern w:val="0"/>
          <w:szCs w:val="44"/>
          <w:lang w:val="en-US" w:eastAsia="zh-CN"/>
        </w:rPr>
      </w:pPr>
      <w:bookmarkStart w:id="1" w:name="_GoBack"/>
      <w:bookmarkStart w:id="0" w:name="TITLE"/>
      <w:r>
        <w:rPr>
          <w:rFonts w:hint="default" w:ascii="黑体" w:hAnsi="黑体" w:eastAsia="黑体" w:cs="黑体"/>
          <w:b w:val="0"/>
          <w:bCs w:val="0"/>
          <w:spacing w:val="-3"/>
          <w:kern w:val="0"/>
          <w:szCs w:val="44"/>
          <w:lang w:val="en-US" w:eastAsia="zh-CN"/>
        </w:rPr>
        <w:t>关于印发《中共涞源县委统战部202</w:t>
      </w:r>
      <w:r>
        <w:rPr>
          <w:rFonts w:hint="eastAsia" w:ascii="黑体" w:hAnsi="黑体" w:eastAsia="黑体" w:cs="黑体"/>
          <w:b w:val="0"/>
          <w:bCs w:val="0"/>
          <w:spacing w:val="-3"/>
          <w:kern w:val="0"/>
          <w:szCs w:val="44"/>
          <w:lang w:val="en-US" w:eastAsia="zh-CN"/>
        </w:rPr>
        <w:t>4</w:t>
      </w:r>
      <w:r>
        <w:rPr>
          <w:rFonts w:hint="default" w:ascii="黑体" w:hAnsi="黑体" w:eastAsia="黑体" w:cs="黑体"/>
          <w:b w:val="0"/>
          <w:bCs w:val="0"/>
          <w:spacing w:val="-3"/>
          <w:kern w:val="0"/>
          <w:szCs w:val="44"/>
          <w:lang w:val="en-US" w:eastAsia="zh-CN"/>
        </w:rPr>
        <w:t>年“双随机、一公</w:t>
      </w:r>
      <w:r>
        <w:rPr>
          <w:rFonts w:hint="eastAsia" w:ascii="黑体" w:hAnsi="黑体" w:cs="黑体"/>
          <w:b w:val="0"/>
          <w:bCs w:val="0"/>
          <w:spacing w:val="-3"/>
          <w:kern w:val="0"/>
          <w:szCs w:val="44"/>
          <w:lang w:val="en-US" w:eastAsia="zh-CN"/>
        </w:rPr>
        <w:t>开</w:t>
      </w:r>
      <w:r>
        <w:rPr>
          <w:rFonts w:hint="default" w:ascii="黑体" w:hAnsi="黑体" w:eastAsia="黑体" w:cs="黑体"/>
          <w:b w:val="0"/>
          <w:bCs w:val="0"/>
          <w:spacing w:val="-3"/>
          <w:kern w:val="0"/>
          <w:szCs w:val="44"/>
          <w:lang w:val="en-US" w:eastAsia="zh-CN"/>
        </w:rPr>
        <w:t>”监管工作实施方案》的通知</w:t>
      </w:r>
      <w:bookmarkEnd w:id="0"/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中共涞源县委统战部相关股室：</w:t>
      </w: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kern w:val="0"/>
          <w:sz w:val="32"/>
          <w:szCs w:val="32"/>
          <w:lang w:eastAsia="zh-CN"/>
        </w:rPr>
        <w:t>现将《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中共涞源县委统战部</w:t>
      </w:r>
      <w:r>
        <w:rPr>
          <w:rFonts w:hint="default" w:ascii="仿宋_GB2312" w:hAnsi="仿宋_GB2312" w:eastAsia="仿宋_GB2312" w:cs="仿宋_GB2312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仿宋_GB2312" w:eastAsia="仿宋_GB2312" w:cs="仿宋_GB2312"/>
          <w:kern w:val="0"/>
          <w:sz w:val="32"/>
          <w:szCs w:val="32"/>
          <w:lang w:eastAsia="zh-CN"/>
        </w:rPr>
        <w:t>年“双随机、一公开”监管工作实施方案》印发给你们，请认真组织实施。</w:t>
      </w: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5120" w:firstLineChars="16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中共涞源县委统战部</w:t>
      </w: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5120" w:firstLineChars="1600"/>
        <w:jc w:val="both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4</w:t>
      </w:r>
      <w:r>
        <w:rPr>
          <w:rFonts w:hint="default" w:ascii="仿宋_GB2312" w:hAnsi="仿宋_GB2312" w:eastAsia="仿宋_GB2312" w:cs="仿宋_GB2312"/>
          <w:kern w:val="0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kern w:val="0"/>
          <w:sz w:val="32"/>
          <w:szCs w:val="32"/>
          <w:lang w:eastAsia="zh-CN"/>
        </w:rPr>
        <w:t>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30</w:t>
      </w:r>
      <w:r>
        <w:rPr>
          <w:rFonts w:hint="default" w:ascii="仿宋_GB2312" w:hAnsi="仿宋_GB2312" w:eastAsia="仿宋_GB2312" w:cs="仿宋_GB2312"/>
          <w:kern w:val="0"/>
          <w:sz w:val="32"/>
          <w:szCs w:val="32"/>
          <w:lang w:eastAsia="zh-CN"/>
        </w:rPr>
        <w:t>日</w:t>
      </w: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both"/>
        <w:textAlignment w:val="auto"/>
        <w:rPr>
          <w:rFonts w:hint="default" w:ascii="Times New Roman" w:hAnsi="Times New Roman" w:eastAsia="方正小标宋_GBK" w:cs="Times New Roman"/>
          <w:color w:val="000000"/>
          <w:kern w:val="60"/>
          <w:sz w:val="28"/>
          <w:szCs w:val="28"/>
        </w:rPr>
      </w:pPr>
      <w:r>
        <w:rPr>
          <w:rFonts w:hint="default" w:ascii="Times New Roman" w:hAnsi="Times New Roman" w:eastAsia="方正小标宋_GBK" w:cs="Times New Roman"/>
          <w:color w:val="000000"/>
          <w:kern w:val="60"/>
          <w:sz w:val="44"/>
          <w:szCs w:val="44"/>
        </w:rPr>
        <w:br w:type="page"/>
      </w:r>
    </w:p>
    <w:bookmarkEnd w:id="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default" w:ascii="Times New Roman" w:hAnsi="Times New Roman" w:eastAsia="黑体" w:cs="Times New Roman"/>
          <w:spacing w:val="-4"/>
          <w:kern w:val="0"/>
          <w:sz w:val="44"/>
          <w:szCs w:val="44"/>
          <w:lang w:val="en-US" w:eastAsia="zh-CN" w:bidi="ar-SA"/>
        </w:rPr>
      </w:pPr>
      <w:r>
        <w:rPr>
          <w:rFonts w:hint="eastAsia" w:eastAsia="黑体" w:cs="Times New Roman"/>
          <w:spacing w:val="-4"/>
          <w:kern w:val="0"/>
          <w:sz w:val="44"/>
          <w:szCs w:val="44"/>
          <w:lang w:val="en-US" w:eastAsia="zh-CN" w:bidi="ar-SA"/>
        </w:rPr>
        <w:t>中共涞源县委统战部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default" w:ascii="Times New Roman" w:hAnsi="Times New Roman" w:eastAsia="黑体" w:cs="Times New Roman"/>
          <w:spacing w:val="-4"/>
          <w:kern w:val="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黑体" w:cs="Times New Roman"/>
          <w:spacing w:val="-4"/>
          <w:kern w:val="0"/>
          <w:sz w:val="44"/>
          <w:szCs w:val="44"/>
          <w:lang w:val="en-US" w:eastAsia="zh-CN" w:bidi="ar-SA"/>
        </w:rPr>
        <w:t>202</w:t>
      </w:r>
      <w:r>
        <w:rPr>
          <w:rFonts w:hint="eastAsia" w:eastAsia="黑体" w:cs="Times New Roman"/>
          <w:spacing w:val="-4"/>
          <w:kern w:val="0"/>
          <w:sz w:val="44"/>
          <w:szCs w:val="44"/>
          <w:lang w:val="en-US" w:eastAsia="zh-CN" w:bidi="ar-SA"/>
        </w:rPr>
        <w:t>4</w:t>
      </w:r>
      <w:r>
        <w:rPr>
          <w:rFonts w:hint="default" w:ascii="Times New Roman" w:hAnsi="Times New Roman" w:eastAsia="黑体" w:cs="Times New Roman"/>
          <w:spacing w:val="-4"/>
          <w:kern w:val="0"/>
          <w:sz w:val="44"/>
          <w:szCs w:val="44"/>
          <w:lang w:val="en-US" w:eastAsia="zh-CN" w:bidi="ar-SA"/>
        </w:rPr>
        <w:t>年“双随机、一公开”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default" w:ascii="Times New Roman" w:hAnsi="Times New Roman" w:eastAsia="方正小标宋_GBK" w:cs="Times New Roman"/>
          <w:color w:val="000000"/>
          <w:kern w:val="60"/>
          <w:sz w:val="44"/>
          <w:szCs w:val="44"/>
        </w:rPr>
      </w:pPr>
      <w:r>
        <w:rPr>
          <w:rFonts w:hint="default" w:ascii="Times New Roman" w:hAnsi="Times New Roman" w:eastAsia="黑体" w:cs="Times New Roman"/>
          <w:spacing w:val="-4"/>
          <w:kern w:val="0"/>
          <w:sz w:val="44"/>
          <w:szCs w:val="44"/>
          <w:lang w:val="en-US" w:eastAsia="zh-CN" w:bidi="ar-SA"/>
        </w:rPr>
        <w:t>监管工作实施方案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outlineLvl w:val="9"/>
        <w:rPr>
          <w:rFonts w:hint="default" w:ascii="Times New Roman" w:hAnsi="Times New Roman" w:eastAsia="方正小标宋_GBK" w:cs="Times New Roman"/>
          <w:color w:val="000000"/>
          <w:kern w:val="6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为深入贯彻落实国务院、省委省政府、市委市政府关于深化“放管服”改革、优化营商环境部署要求，持续强化“双随机、一公开”监管，提升监管效能，根据《国务院关于在市场监管领域全面推行部门联合“双随机、一公开”监管的意见》（国发〔2019〕5号）、《河北省人民政府关于在市场监管领域全面推行部门联合“双随机、一公开”监管的实施意见》（冀政字〔2019〕22号）、《河北省人民政府办公厅关于印发河北省“双随机、一公开”监管与企业信用风险分级分类相结合实施方案的通知》（冀政办字〔2020〕144号）等文件要求，制定本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lang w:val="en-US" w:eastAsia="zh-CN" w:bidi="ar-SA"/>
        </w:rPr>
        <w:t>一、工作思路及目标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（一）以河北省双随机执法监管平台为依托，持续完善“一单两库一指引”。动态调整随机抽查事项清单、检查对象名录库、执法检查人员名录库和随机抽查工作指引，不断完善对检查对象和执法检查人员的分类标注，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凡是需要第三方或专业机构（专家）协助参与完成抽查工作的部门，都要建立相应的专家库。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（二）以部门联合抽查为重点，不断扩大部门联合随机抽查的覆盖面、占比率。加强部门间的协调联动，使部门联合抽查成为各地区日常监管的主要方式。通过河北省双随机执法监管平台统一工作流程，确保部门联合抽查规范有序开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（三）以提高监管效能为目标，持续完善企业信用风险差异化随机抽查机制。在巩固企业信用风险分类结果在“双随机、一公开”监管常态化运用的基础上，进一步拓展、深化运用场景，不断提升随机抽查的靶向性、精准性，在监管既“无事不扰”又“无处不在”上迈出新步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（四）以规范化建设为基础，不断提升工作水平。深入贯彻落实《随机抽查工作规范</w:t>
      </w:r>
      <w: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  <w:t>—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河北省地方标准》，加强“双随机、一公开”监管业务培训和宣传力度，不断提升执法人员综合素质和执法检查能力，强化“双随机、一公开”监管规范化、标准化建设。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（五）以督导考核为导向，狠抓工作落实。加强对各部门随机抽查工作的督导检查，以督查促发现问题、以督查促整改落实，进一步压实责任、推进工作落实。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color w:val="auto"/>
          <w:kern w:val="0"/>
          <w:sz w:val="32"/>
          <w:szCs w:val="32"/>
          <w:lang w:val="en-US" w:eastAsia="zh-CN" w:bidi="ar-SA"/>
        </w:rPr>
        <w:t>二、主要工作任务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32"/>
          <w:szCs w:val="32"/>
          <w:lang w:val="en-US" w:eastAsia="zh-CN" w:bidi="ar-SA"/>
        </w:rPr>
        <w:t>（一）强化基础支撑。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依托河北省双随机执法监管平台（以下简称监管平台），根据机构改革后部门和职能调整情况，及时完成对领导小组成员单位的调整，并在平台中持续完善“一单两库”等基础信息。在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省级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部门随机抽查事项清单和工作指引调整完毕后，依据自身对应的上级部门、“三定”方案中的监管职责及时对涉及本部门监管事权的事项进行认领，形成本级的抽查事项清单。动态调整本级本部门检查对象名录库和执法检查人员名录库，确保检查对象和执法人员“应纳尽纳”。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在省级部门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完成本部门、本系统“两库”的分类标注后，利用分类标签库完成对本级检查对象和执法检查人员的分类标注，实现对检查对象的精准抽取、对执法人员的精准匹配，提升监管效能。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default" w:ascii="Times New Roman" w:hAnsi="Times New Roman" w:eastAsia="楷体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32"/>
          <w:szCs w:val="32"/>
          <w:lang w:val="en-US" w:eastAsia="zh-CN" w:bidi="ar-SA"/>
        </w:rPr>
        <w:t>（二）强化联合监管。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按照“谁主管、谁监管”原则，建立完善市场监管部门总牵头、行业主管部门具体负责、相关部门参与的部门联合抽查机制。贯彻落实部门联合抽查事项清单，结合监管实际，科学合理确定联合部门数量，不盲目追求参与部门多、事项覆盖全，在兼顾成本与效能的前提下，鼓励</w:t>
      </w:r>
      <w:r>
        <w:rPr>
          <w:rFonts w:hint="eastAsia" w:eastAsia="仿宋_GB2312" w:cs="Times New Roman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各部门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不断扩大部门联合随机抽查的覆盖面、占比率，使部门联合抽查成为本地区日常监管的主要监管方式，确保今年联合抽查次数占随机抽查总次数的比例不低于</w:t>
      </w:r>
      <w: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  <w:t>60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%，部门联合抽查户数占随机抽查总户数的比例不低于</w:t>
      </w:r>
      <w: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  <w:t>40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%，</w:t>
      </w:r>
      <w: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  <w:t>使部门联合抽查成为各地区日常监管的主要方式，切实压缩涉企检查数量，不断减少对企业正常经营活动的干扰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32"/>
          <w:szCs w:val="32"/>
          <w:lang w:val="en-US" w:eastAsia="zh-CN" w:bidi="ar-SA"/>
        </w:rPr>
        <w:t>（三）着力提升监管效能。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认真落实《河北省人民政府办公厅关于印发河北省“双随机、一公开”监管与企业信用风险分级分类相结合实施方案的通知》（冀政办字〔2020〕144号），积极推进“双随机、一公开”监管与企业信用风险分级分类相结合，以制定年度随机抽查计划为抓手，将企业信用风险分级分类结果与“双随机、一公开”监管深度融合，运用信用风险分级分类开展的抽查次数占抽查企业总次数的比例</w:t>
      </w:r>
      <w: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  <w:t>力争100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%。充分利用信息化手段，通过大数据分析、重点指标监测等手段，加大对抽查检查结果的运用，探索推进企业信用风险监测预警，在预判式监管上实现新突破。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32"/>
          <w:szCs w:val="32"/>
          <w:lang w:val="en-US" w:eastAsia="zh-CN" w:bidi="ar-SA"/>
        </w:rPr>
        <w:t>（四）规范随机抽查工作程序。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认真落实《随机抽查工作规范</w:t>
      </w:r>
      <w:r>
        <w:rPr>
          <w:rFonts w:hint="eastAsia" w:eastAsia="仿宋_GB2312" w:cs="Times New Roman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—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河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北省地方标准》，严格规范随机抽查工作程序，提高“双随机、一公开”监管规范化、标准化水平。严格按照部门年度随机抽查计划开展抽查，加强组织随机抽查前的业务培训力度，提升抽查效果；年度计划、实施方案、抽查结果及后续处理结果要及时向社会公开。对需调整的年度抽查计划必须严格履行相关工作程序，调整后的年度抽查计划要及时向社会公开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。健全随机抽查后续处置机制，规范问题线索的转办、移送等工作，依法定程序及时移交有处置权限的机构和相关部门，涉嫌犯罪的及时移送司法机关，实现随机抽查监管闭环。加强随机抽查结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果运用，加大对抽查发现的违法失信行为的信用惩戒力度，将其纳入主体的信用记录，实施联合惩戒，增强随机抽查的震慑力，提升市场主体诚信守法经营自律意识，推动构建企业自律、行业自治、政府监管、社会监督的多元化共治格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outlineLvl w:val="9"/>
        <w:rPr>
          <w:rFonts w:hint="default" w:ascii="Times New Roman" w:hAnsi="Times New Roman" w:eastAsia="楷体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32"/>
          <w:szCs w:val="32"/>
          <w:lang w:val="en-US" w:eastAsia="zh-CN" w:bidi="ar-SA"/>
        </w:rPr>
        <w:t>（五）加大宣传培训力度。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 w:bidi="ar-SA"/>
        </w:rPr>
        <w:t>认真梳理总结随机抽查工作经验，加大宣传报道力度，不仅通过新闻媒体、广播电视、官方网站等方式加强宣传报道，还要寓服务于监管之中，在实地检查中宣讲政策、答疑解惑，不断增强企业、社会对双随机抽查监管方式的认知度，提升“双随机、一公开”监管的社会影响力和公众知晓度。将好经验、好做法固化为制度机制，不断提升“双随机、一公开”监管整体水平。要常态化开展随机抽查工作培训，既加强对执法人员的业务培训和管理人员的系统使用培训，又强化对随机抽查工作规范-河北省地方标准的培训，提高基层执法人员综合素质和执法能力，满足联合抽查工件需求，实现抽查工作规范有序、抽查结果认定统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color w:val="000000"/>
          <w:kern w:val="6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000000"/>
          <w:kern w:val="60"/>
          <w:sz w:val="32"/>
          <w:szCs w:val="32"/>
        </w:rPr>
        <w:t>三、工作要求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9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pacing w:val="-6"/>
          <w:kern w:val="6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spacing w:val="-6"/>
          <w:kern w:val="60"/>
          <w:sz w:val="32"/>
          <w:szCs w:val="32"/>
        </w:rPr>
        <w:t>（一）提高政治站位，强化组织领导。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60"/>
          <w:sz w:val="32"/>
          <w:szCs w:val="32"/>
        </w:rPr>
        <w:t>充分认识“双随机、一公开”监管对于构建新型监管机制、提升监管效能、优化营商环境的重要作用，进一步加强组织领导和统筹协调，健全工作制度和运行机制，细化工作目标和推进举措，确保各项工作任务落到实处、取得实效，为进一步优化营商环境做出积极贡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9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pacing w:val="-6"/>
          <w:kern w:val="6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spacing w:val="-6"/>
          <w:kern w:val="60"/>
          <w:sz w:val="32"/>
          <w:szCs w:val="32"/>
        </w:rPr>
        <w:t>（二）认真履职尽责，强化责任担当。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60"/>
          <w:sz w:val="32"/>
          <w:szCs w:val="32"/>
        </w:rPr>
        <w:t>各相关</w:t>
      </w:r>
      <w:r>
        <w:rPr>
          <w:rFonts w:hint="eastAsia" w:eastAsia="仿宋_GB2312" w:cs="Times New Roman"/>
          <w:color w:val="000000"/>
          <w:spacing w:val="-6"/>
          <w:kern w:val="60"/>
          <w:sz w:val="32"/>
          <w:szCs w:val="32"/>
          <w:lang w:eastAsia="zh-CN"/>
        </w:rPr>
        <w:t>股室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60"/>
          <w:sz w:val="32"/>
          <w:szCs w:val="32"/>
        </w:rPr>
        <w:t>要认真落实主体责任，按照同级政府和上级主管部门的要求，主动开展工作，并做好对下级对口部门的指导、督促工作。牢固树立“一盘棋”思想，相互支持、密切配合、协同促进，合力推进各项工作任务落实。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9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pacing w:val="-6"/>
          <w:kern w:val="6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spacing w:val="-6"/>
          <w:kern w:val="60"/>
          <w:sz w:val="32"/>
          <w:szCs w:val="32"/>
        </w:rPr>
        <w:t>（三）加大督查力度，强化跟踪问效。</w:t>
      </w:r>
      <w:r>
        <w:rPr>
          <w:rFonts w:hint="default" w:ascii="Times New Roman" w:hAnsi="Times New Roman" w:eastAsia="仿宋_GB2312" w:cs="Times New Roman"/>
          <w:color w:val="000000"/>
          <w:spacing w:val="-6"/>
          <w:kern w:val="60"/>
          <w:sz w:val="32"/>
          <w:szCs w:val="32"/>
        </w:rPr>
        <w:t>建立健全“双随机、一公开”监管工作效果评估机制，不断完善对随机抽查工作全流程的管控，提高随机抽查工作效能。积极推行随机抽查回访机制，提升随机抽查问题发现率。要采取适当方式，运用好督导检查“指挥棒”作用，加强对本系统“双随机、一公开”监管工作的督促指导，以督查促问题发现、以督查促整改落实。要强化对抽查计划的制定与落实、按时限完成结果录入、发现问题后续处理等环节的督导检查，坚决克服方案制定不认真、现场检查走过场、结果录入审核把关不严等现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9"/>
        <w:rPr>
          <w:rFonts w:hint="eastAsia" w:eastAsia="仿宋_GB2312" w:cs="Times New Roman"/>
          <w:color w:val="000000"/>
          <w:kern w:val="6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kern w:val="60"/>
          <w:sz w:val="32"/>
          <w:szCs w:val="32"/>
        </w:rPr>
        <w:t>联 系 人：</w:t>
      </w:r>
      <w:r>
        <w:rPr>
          <w:rFonts w:hint="eastAsia" w:eastAsia="仿宋_GB2312" w:cs="Times New Roman"/>
          <w:color w:val="000000"/>
          <w:kern w:val="60"/>
          <w:sz w:val="32"/>
          <w:szCs w:val="32"/>
          <w:lang w:val="en-US" w:eastAsia="zh-CN"/>
        </w:rPr>
        <w:t>郑鹏莉</w:t>
      </w:r>
    </w:p>
    <w:p>
      <w:pPr>
        <w:pStyle w:val="9"/>
        <w:jc w:val="both"/>
        <w:rPr>
          <w:rFonts w:hint="default"/>
          <w:lang w:val="en-US" w:eastAsia="zh-CN"/>
        </w:rPr>
      </w:pPr>
      <w:r>
        <w:rPr>
          <w:rFonts w:hint="eastAsia" w:eastAsia="仿宋_GB2312" w:cs="Times New Roman"/>
          <w:color w:val="000000"/>
          <w:kern w:val="60"/>
          <w:sz w:val="32"/>
          <w:szCs w:val="32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kern w:val="60"/>
          <w:sz w:val="32"/>
          <w:szCs w:val="32"/>
          <w:lang w:val="en-US" w:eastAsia="zh-CN" w:bidi="ar-SA"/>
        </w:rPr>
        <w:t>联系电话：0312-7313648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kern w:val="6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kern w:val="60"/>
          <w:sz w:val="32"/>
          <w:szCs w:val="32"/>
        </w:rPr>
        <w:t>电子邮箱：</w:t>
      </w:r>
      <w:r>
        <w:rPr>
          <w:rFonts w:hint="eastAsia" w:eastAsia="仿宋_GB2312" w:cs="Times New Roman"/>
          <w:color w:val="000000"/>
          <w:kern w:val="60"/>
          <w:sz w:val="32"/>
          <w:szCs w:val="32"/>
          <w:lang w:val="en-US" w:eastAsia="zh-CN"/>
        </w:rPr>
        <w:t>lytzb99</w:t>
      </w:r>
      <w:r>
        <w:rPr>
          <w:rFonts w:hint="default" w:ascii="Times New Roman" w:hAnsi="Times New Roman" w:eastAsia="仿宋_GB2312" w:cs="Times New Roman"/>
          <w:color w:val="000000"/>
          <w:kern w:val="60"/>
          <w:sz w:val="32"/>
          <w:szCs w:val="32"/>
        </w:rPr>
        <w:t>@</w:t>
      </w:r>
      <w:r>
        <w:rPr>
          <w:rFonts w:hint="eastAsia" w:eastAsia="仿宋_GB2312" w:cs="Times New Roman"/>
          <w:color w:val="000000"/>
          <w:kern w:val="60"/>
          <w:sz w:val="32"/>
          <w:szCs w:val="32"/>
          <w:lang w:val="en-US" w:eastAsia="zh-CN"/>
        </w:rPr>
        <w:t>163</w:t>
      </w:r>
      <w:r>
        <w:rPr>
          <w:rFonts w:hint="default" w:ascii="Times New Roman" w:hAnsi="Times New Roman" w:eastAsia="仿宋_GB2312" w:cs="Times New Roman"/>
          <w:color w:val="000000"/>
          <w:kern w:val="6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color w:val="000000"/>
          <w:kern w:val="60"/>
          <w:sz w:val="32"/>
          <w:szCs w:val="32"/>
        </w:rPr>
        <w:t>com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附件：1.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县（市、区）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“双随机、一公开”监管工作月报表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市直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有关部门“双随机、一公开”监管工作月报表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br w:type="page"/>
      </w:r>
      <w:r>
        <w:rPr>
          <w:rFonts w:hint="eastAsia" w:ascii="黑体" w:hAnsi="黑体" w:eastAsia="黑体" w:cs="黑体"/>
          <w:color w:val="000000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292" w:beforeLines="50" w:line="0" w:lineRule="atLeast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color w:val="000000"/>
          <w:spacing w:val="60"/>
          <w:w w:val="86"/>
          <w:kern w:val="0"/>
          <w:sz w:val="44"/>
          <w:szCs w:val="44"/>
          <w:fitText w:val="8803" w:id="836591669"/>
          <w:lang w:eastAsia="zh-CN"/>
        </w:rPr>
      </w:pPr>
      <w:r>
        <w:rPr>
          <w:rFonts w:hint="eastAsia" w:ascii="方正小标宋_GBK" w:hAnsi="方正小标宋_GBK" w:eastAsia="方正小标宋_GBK" w:cs="方正小标宋_GBK"/>
          <w:bCs/>
          <w:color w:val="000000"/>
          <w:spacing w:val="1"/>
          <w:w w:val="90"/>
          <w:kern w:val="0"/>
          <w:sz w:val="44"/>
          <w:szCs w:val="44"/>
          <w:fitText w:val="8803" w:id="836591669"/>
          <w:lang w:eastAsia="zh-CN"/>
        </w:rPr>
        <w:t>县（市、区）“双随机、一公开”监管工作月报</w:t>
      </w:r>
      <w:r>
        <w:rPr>
          <w:rFonts w:hint="eastAsia" w:ascii="方正小标宋_GBK" w:hAnsi="方正小标宋_GBK" w:eastAsia="方正小标宋_GBK" w:cs="方正小标宋_GBK"/>
          <w:bCs/>
          <w:color w:val="000000"/>
          <w:spacing w:val="30"/>
          <w:w w:val="90"/>
          <w:kern w:val="0"/>
          <w:sz w:val="44"/>
          <w:szCs w:val="44"/>
          <w:fitText w:val="8803" w:id="836591669"/>
          <w:lang w:eastAsia="zh-CN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="黑体" w:hAnsi="黑体" w:eastAsia="黑体" w:cs="黑体"/>
          <w:bCs/>
          <w:color w:val="0000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  <w:lang w:eastAsia="zh-CN"/>
        </w:rPr>
        <w:t>（本年度累计数据）</w:t>
      </w:r>
    </w:p>
    <w:p>
      <w:pPr>
        <w:rPr>
          <w:rFonts w:hint="eastAsia" w:ascii="仿宋_GB2312" w:hAnsi="仿宋_GB2312" w:eastAsia="仿宋_GB2312" w:cs="仿宋_GB2312"/>
          <w:bCs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单位名称（盖章）：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 xml:space="preserve">     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填表时间：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日</w:t>
      </w:r>
    </w:p>
    <w:tbl>
      <w:tblPr>
        <w:tblStyle w:val="10"/>
        <w:tblW w:w="94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8"/>
        <w:gridCol w:w="5745"/>
        <w:gridCol w:w="23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  <w:jc w:val="center"/>
        </w:trPr>
        <w:tc>
          <w:tcPr>
            <w:tcW w:w="13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</w:rPr>
              <w:t>通过</w:t>
            </w: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eastAsia="zh-CN"/>
              </w:rPr>
              <w:t>河北</w:t>
            </w: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</w:rPr>
              <w:t>双随机</w:t>
            </w: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  <w:lang w:eastAsia="zh-CN"/>
              </w:rPr>
              <w:t>执法</w:t>
            </w: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</w:rPr>
              <w:t>监管平台开展抽查情况</w:t>
            </w:r>
          </w:p>
        </w:tc>
        <w:tc>
          <w:tcPr>
            <w:tcW w:w="5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本地区开展随机抽查次数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及发现问题户数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（包含部门内部和部门联合）</w:t>
            </w:r>
          </w:p>
        </w:tc>
        <w:tc>
          <w:tcPr>
            <w:tcW w:w="2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9" w:hRule="atLeast"/>
          <w:jc w:val="center"/>
        </w:trPr>
        <w:tc>
          <w:tcPr>
            <w:tcW w:w="13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5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本地区市场监管系统开展随机抽查次数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及发现问题户数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（包含部门内部和部门联合，分别标注）</w:t>
            </w:r>
          </w:p>
        </w:tc>
        <w:tc>
          <w:tcPr>
            <w:tcW w:w="2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  <w:jc w:val="center"/>
        </w:trPr>
        <w:tc>
          <w:tcPr>
            <w:tcW w:w="13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5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本地区开展部门内部随机抽查次数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及发现问题户数</w:t>
            </w:r>
          </w:p>
        </w:tc>
        <w:tc>
          <w:tcPr>
            <w:tcW w:w="2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  <w:jc w:val="center"/>
        </w:trPr>
        <w:tc>
          <w:tcPr>
            <w:tcW w:w="13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5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本地区开展部门联合随机抽查次数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及发现问题户数</w:t>
            </w:r>
          </w:p>
        </w:tc>
        <w:tc>
          <w:tcPr>
            <w:tcW w:w="2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  <w:jc w:val="center"/>
        </w:trPr>
        <w:tc>
          <w:tcPr>
            <w:tcW w:w="13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5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本地区涉及企业的随机抽查的次数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及发现问题户数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（抽查对象为企业）</w:t>
            </w:r>
          </w:p>
        </w:tc>
        <w:tc>
          <w:tcPr>
            <w:tcW w:w="2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13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5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本地区利用企业信用风险分级分类开展随机抽查的次数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及发现问题户数</w:t>
            </w:r>
          </w:p>
        </w:tc>
        <w:tc>
          <w:tcPr>
            <w:tcW w:w="2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vertAlign w:val="baseline"/>
              </w:rPr>
              <w:t>通过其他平台开展抽查情况</w:t>
            </w:r>
          </w:p>
        </w:tc>
        <w:tc>
          <w:tcPr>
            <w:tcW w:w="5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本地区开展抽查次数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及发现问题户数</w:t>
            </w:r>
          </w:p>
        </w:tc>
        <w:tc>
          <w:tcPr>
            <w:tcW w:w="2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  <w:jc w:val="center"/>
        </w:trPr>
        <w:tc>
          <w:tcPr>
            <w:tcW w:w="13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5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本地区涉及企业的随机抽查次数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及发现问题户数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（抽查对象为企业）</w:t>
            </w:r>
          </w:p>
        </w:tc>
        <w:tc>
          <w:tcPr>
            <w:tcW w:w="2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  <w:jc w:val="center"/>
        </w:trPr>
        <w:tc>
          <w:tcPr>
            <w:tcW w:w="13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5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本地区利用企业信用风险分级分类开展随机抽查的次数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  <w:t>户数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  <w:lang w:eastAsia="zh-CN"/>
              </w:rPr>
              <w:t>及发现问题户数</w:t>
            </w:r>
          </w:p>
        </w:tc>
        <w:tc>
          <w:tcPr>
            <w:tcW w:w="2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  <w:sz w:val="18"/>
          <w:szCs w:val="18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仿宋_GB2312" w:cs="Times New Roman"/>
          <w:color w:val="000000"/>
          <w:sz w:val="28"/>
          <w:szCs w:val="28"/>
        </w:rPr>
        <w:t>联系人：</w:t>
      </w: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u w:val="single"/>
        </w:rPr>
        <w:t xml:space="preserve">     </w:t>
      </w:r>
      <w:r>
        <w:rPr>
          <w:rFonts w:ascii="Times New Roman" w:hAnsi="Times New Roman" w:eastAsia="仿宋_GB2312" w:cs="Times New Roman"/>
          <w:color w:val="00000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Times New Roman" w:hAnsi="Times New Roman" w:eastAsia="仿宋_GB2312" w:cs="Times New Roman"/>
          <w:color w:val="000000"/>
          <w:sz w:val="28"/>
          <w:szCs w:val="28"/>
        </w:rPr>
        <w:t xml:space="preserve">  联系电话：</w:t>
      </w: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u w:val="single"/>
        </w:rPr>
        <w:t xml:space="preserve">      </w:t>
      </w:r>
      <w:r>
        <w:rPr>
          <w:rFonts w:ascii="Times New Roman" w:hAnsi="Times New Roman" w:eastAsia="仿宋_GB2312" w:cs="Times New Roman"/>
          <w:color w:val="00000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Times New Roman" w:hAnsi="Times New Roman" w:eastAsia="仿宋_GB2312" w:cs="Times New Roman"/>
          <w:color w:val="000000"/>
          <w:sz w:val="28"/>
          <w:szCs w:val="28"/>
        </w:rPr>
        <w:t xml:space="preserve"> 手机：</w:t>
      </w: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u w:val="single"/>
        </w:rPr>
        <w:t xml:space="preserve">         </w:t>
      </w:r>
    </w:p>
    <w:p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附件2</w:t>
      </w:r>
    </w:p>
    <w:p>
      <w:pPr>
        <w:jc w:val="center"/>
        <w:rPr>
          <w:rFonts w:hint="eastAsia" w:ascii="方正小标宋_GBK" w:hAnsi="方正小标宋_GBK" w:eastAsia="方正小标宋_GBK" w:cs="方正小标宋_GBK"/>
          <w:bCs/>
          <w:color w:val="000000"/>
          <w:spacing w:val="61"/>
          <w:w w:val="86"/>
          <w:kern w:val="0"/>
          <w:sz w:val="44"/>
          <w:szCs w:val="44"/>
          <w:fitText w:val="8803" w:id="836591669"/>
        </w:rPr>
      </w:pPr>
      <w:r>
        <w:rPr>
          <w:rFonts w:hint="eastAsia" w:ascii="方正小标宋_GBK" w:hAnsi="方正小标宋_GBK" w:eastAsia="方正小标宋_GBK" w:cs="方正小标宋_GBK"/>
          <w:bCs/>
          <w:color w:val="000000"/>
          <w:spacing w:val="1"/>
          <w:w w:val="90"/>
          <w:kern w:val="0"/>
          <w:sz w:val="44"/>
          <w:szCs w:val="44"/>
          <w:fitText w:val="8803" w:id="1052724662"/>
          <w:lang w:eastAsia="zh-CN"/>
        </w:rPr>
        <w:t>市直</w:t>
      </w:r>
      <w:r>
        <w:rPr>
          <w:rFonts w:hint="eastAsia" w:ascii="方正小标宋_GBK" w:hAnsi="方正小标宋_GBK" w:eastAsia="方正小标宋_GBK" w:cs="方正小标宋_GBK"/>
          <w:bCs/>
          <w:color w:val="000000"/>
          <w:spacing w:val="1"/>
          <w:w w:val="90"/>
          <w:kern w:val="0"/>
          <w:sz w:val="44"/>
          <w:szCs w:val="44"/>
          <w:fitText w:val="8803" w:id="1052724662"/>
        </w:rPr>
        <w:t>有关部门“双随机、一公开”监管工作月报</w:t>
      </w:r>
      <w:r>
        <w:rPr>
          <w:rFonts w:hint="eastAsia" w:ascii="方正小标宋_GBK" w:hAnsi="方正小标宋_GBK" w:eastAsia="方正小标宋_GBK" w:cs="方正小标宋_GBK"/>
          <w:bCs/>
          <w:color w:val="000000"/>
          <w:spacing w:val="31"/>
          <w:w w:val="90"/>
          <w:kern w:val="0"/>
          <w:sz w:val="44"/>
          <w:szCs w:val="44"/>
          <w:fitText w:val="8803" w:id="1052724662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textAlignment w:val="auto"/>
        <w:rPr>
          <w:rFonts w:hint="eastAsia" w:ascii="仿宋_GB2312" w:hAnsi="仿宋_GB2312" w:eastAsia="仿宋_GB2312" w:cs="仿宋_GB2312"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单位名称（盖章）：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填表时间：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日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3422"/>
        <w:gridCol w:w="5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936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center" w:pos="412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黑体" w:hAnsi="黑体" w:eastAsia="黑体" w:cs="宋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sz w:val="28"/>
                <w:szCs w:val="28"/>
              </w:rPr>
              <w:t>一、“双随机、一公开”监管工作安排部署情况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5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本月召开会议部署随机抽查工作情况</w:t>
            </w:r>
          </w:p>
        </w:tc>
        <w:tc>
          <w:tcPr>
            <w:tcW w:w="5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（注明召开会议的名称及时间）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5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2</w:t>
            </w:r>
          </w:p>
        </w:tc>
        <w:tc>
          <w:tcPr>
            <w:tcW w:w="34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本月印发双随机工作文件情况</w:t>
            </w:r>
          </w:p>
        </w:tc>
        <w:tc>
          <w:tcPr>
            <w:tcW w:w="5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（注明文件名称及文号）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5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3</w:t>
            </w:r>
          </w:p>
        </w:tc>
        <w:tc>
          <w:tcPr>
            <w:tcW w:w="34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本月组织随机抽查业务培训情况</w:t>
            </w:r>
          </w:p>
        </w:tc>
        <w:tc>
          <w:tcPr>
            <w:tcW w:w="5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（培训班名称、培训人员数量、及内容）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936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center" w:pos="412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黑体" w:hAnsi="黑体" w:eastAsia="黑体" w:cs="宋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sz w:val="28"/>
                <w:szCs w:val="28"/>
              </w:rPr>
              <w:t>二、“双随机、一公开”监管工作开展情况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56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4</w:t>
            </w:r>
          </w:p>
        </w:tc>
        <w:tc>
          <w:tcPr>
            <w:tcW w:w="880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本月按年度随机抽查工作计划</w:t>
            </w: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  <w:lang w:eastAsia="zh-CN"/>
              </w:rPr>
              <w:t>市</w:t>
            </w: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本级开展随机抽查情况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56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</w:p>
        </w:tc>
        <w:tc>
          <w:tcPr>
            <w:tcW w:w="34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本月组织随机抽查的文件</w:t>
            </w:r>
          </w:p>
        </w:tc>
        <w:tc>
          <w:tcPr>
            <w:tcW w:w="5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56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</w:p>
        </w:tc>
        <w:tc>
          <w:tcPr>
            <w:tcW w:w="34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随机抽查抽查对象范围、数量、抽查比例</w:t>
            </w:r>
          </w:p>
        </w:tc>
        <w:tc>
          <w:tcPr>
            <w:tcW w:w="5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56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</w:p>
        </w:tc>
        <w:tc>
          <w:tcPr>
            <w:tcW w:w="34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随机抽查的检查事项</w:t>
            </w:r>
          </w:p>
        </w:tc>
        <w:tc>
          <w:tcPr>
            <w:tcW w:w="5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（多少大项、多少小项）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56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</w:p>
        </w:tc>
        <w:tc>
          <w:tcPr>
            <w:tcW w:w="34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随机抽查结果公示情况</w:t>
            </w:r>
          </w:p>
        </w:tc>
        <w:tc>
          <w:tcPr>
            <w:tcW w:w="53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注明抽查结果公示的网站及公示数量</w:t>
            </w: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56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5</w:t>
            </w:r>
          </w:p>
        </w:tc>
        <w:tc>
          <w:tcPr>
            <w:tcW w:w="880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全</w:t>
            </w: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  <w:lang w:eastAsia="zh-CN"/>
              </w:rPr>
              <w:t>市</w:t>
            </w: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本系统开展随机抽查情况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56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</w:p>
        </w:tc>
        <w:tc>
          <w:tcPr>
            <w:tcW w:w="880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outlineLvl w:val="9"/>
              <w:rPr>
                <w:rFonts w:ascii="仿宋_GB2312" w:hAnsi="宋体" w:eastAsia="仿宋_GB2312" w:cs="宋体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</w:rPr>
              <w:t>（开展的单位及抽查检查主体数量及抽查结果公示数量等情况）</w:t>
            </w:r>
          </w:p>
        </w:tc>
      </w:tr>
    </w:tbl>
    <w:p>
      <w:pP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联系人：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cs="仿宋_GB2312"/>
          <w:color w:val="000000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 xml:space="preserve">  联系电话：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cs="仿宋_GB2312"/>
          <w:color w:val="000000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手机：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cs="仿宋_GB2312"/>
          <w:color w:val="000000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both"/>
        <w:textAlignment w:val="auto"/>
        <w:outlineLvl w:val="9"/>
        <w:rPr>
          <w:rFonts w:hint="eastAsia" w:ascii="仿宋_GB2312" w:hAnsi="Times New Roman" w:eastAsia="仿宋_GB2312" w:cs="Times New Roman"/>
          <w:color w:val="000000"/>
          <w:sz w:val="32"/>
          <w:szCs w:val="32"/>
          <w:u w:val="single"/>
        </w:rPr>
        <w:sectPr>
          <w:footerReference r:id="rId5" w:type="default"/>
          <w:pgSz w:w="11906" w:h="16838"/>
          <w:pgMar w:top="2098" w:right="1474" w:bottom="1984" w:left="1588" w:header="851" w:footer="992" w:gutter="0"/>
          <w:pgNumType w:fmt="numberInDash"/>
          <w:cols w:space="720" w:num="1"/>
          <w:rtlGutter w:val="0"/>
          <w:docGrid w:type="linesAndChars" w:linePitch="579" w:charSpace="-849"/>
        </w:sect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default" w:ascii="Times New Roman" w:hAnsi="Times New Roman" w:eastAsia="仿宋" w:cs="Times New Roman"/>
          <w:kern w:val="0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both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center"/>
        <w:textAlignment w:val="auto"/>
        <w:rPr>
          <w:rFonts w:hint="eastAsia" w:eastAsia="宋体" w:cs="Times New Roman"/>
          <w:kern w:val="0"/>
          <w:sz w:val="2"/>
          <w:szCs w:val="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tabs>
          <w:tab w:val="left" w:pos="3795"/>
        </w:tabs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20" w:lineRule="atLeast"/>
        <w:jc w:val="center"/>
        <w:textAlignment w:val="auto"/>
        <w:rPr>
          <w:rFonts w:hint="default" w:ascii="Times New Roman" w:hAnsi="Times New Roman" w:eastAsia="仿宋" w:cs="Times New Roman"/>
          <w:color w:val="000000" w:themeColor="text1"/>
          <w:spacing w:val="-4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" w:cs="Times New Roman"/>
          <w:color w:val="000000" w:themeColor="text1"/>
          <w:spacing w:val="25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359410</wp:posOffset>
                </wp:positionV>
                <wp:extent cx="5203825" cy="76200"/>
                <wp:effectExtent l="0" t="0" r="0" b="0"/>
                <wp:wrapNone/>
                <wp:docPr id="3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3825" cy="76200"/>
                          <a:chOff x="0" y="0"/>
                          <a:chExt cx="8777" cy="20"/>
                        </a:xfrm>
                      </wpg:grpSpPr>
                      <wps:wsp>
                        <wps:cNvPr id="4" name="Freeform 10"/>
                        <wps:cNvSpPr/>
                        <wps:spPr bwMode="auto">
                          <a:xfrm>
                            <a:off x="7" y="7"/>
                            <a:ext cx="8762" cy="20"/>
                          </a:xfrm>
                          <a:custGeom>
                            <a:avLst/>
                            <a:gdLst>
                              <a:gd name="T0" fmla="*/ 0 w 8762"/>
                              <a:gd name="T1" fmla="*/ 0 h 20"/>
                              <a:gd name="T2" fmla="*/ 8762 w 87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762" h="20">
                                <a:moveTo>
                                  <a:pt x="0" y="0"/>
                                </a:moveTo>
                                <a:lnTo>
                                  <a:pt x="8762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o:spt="203" style="position:absolute;left:0pt;margin-left:5.15pt;margin-top:28.3pt;height:6pt;width:409.75pt;z-index:-251656192;mso-width-relative:page;mso-height-relative:page;" coordsize="8777,20" o:gfxdata="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">
                <o:lock v:ext="edit" aspectratio="f"/>
                <v:shape id="Freeform 10" o:spid="_x0000_s1026" o:spt="100" style="position:absolute;left:7;top:7;height:20;width:8762;" filled="f" stroked="t" coordsize="8762,20" o:gfxdata="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vXyMu/&#10;AAAA2gAAAA8AAAAAAAAAAQAgAAAAIgAAAGRycy9kb3ducmV2LnhtbFBLAQIUABQAAAAIAIdO4kAz&#10;LwWeOwAAADkAAAAQAAAAAAAAAAEAIAAAAA4BAABkcnMvc2hhcGV4bWwueG1sUEsFBgAAAAAGAAYA&#10;WwEAALgDAAAAAA==&#10;" path="m0,0l8762,0e">
                  <v:path o:connectlocs="0,0;8762,0" o:connectangles="0,0"/>
                  <v:fill on="f" focussize="0,0"/>
                  <v:stroke weight="1pt"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hint="default" w:ascii="Times New Roman" w:hAnsi="Times New Roman" w:eastAsia="仿宋" w:cs="Times New Roman"/>
          <w:color w:val="000000" w:themeColor="text1"/>
          <w:spacing w:val="25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40640</wp:posOffset>
                </wp:positionH>
                <wp:positionV relativeFrom="paragraph">
                  <wp:posOffset>15240</wp:posOffset>
                </wp:positionV>
                <wp:extent cx="5200650" cy="76200"/>
                <wp:effectExtent l="0" t="0" r="0" b="0"/>
                <wp:wrapNone/>
                <wp:docPr id="5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0650" cy="76200"/>
                          <a:chOff x="0" y="0"/>
                          <a:chExt cx="8777" cy="20"/>
                        </a:xfrm>
                      </wpg:grpSpPr>
                      <wps:wsp>
                        <wps:cNvPr id="6" name="Freeform 8"/>
                        <wps:cNvSpPr/>
                        <wps:spPr bwMode="auto">
                          <a:xfrm>
                            <a:off x="7" y="7"/>
                            <a:ext cx="8762" cy="20"/>
                          </a:xfrm>
                          <a:custGeom>
                            <a:avLst/>
                            <a:gdLst>
                              <a:gd name="T0" fmla="*/ 0 w 8762"/>
                              <a:gd name="T1" fmla="*/ 0 h 20"/>
                              <a:gd name="T2" fmla="*/ 8762 w 87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762" h="20">
                                <a:moveTo>
                                  <a:pt x="0" y="0"/>
                                </a:moveTo>
                                <a:lnTo>
                                  <a:pt x="8762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o:spt="203" style="position:absolute;left:0pt;margin-left:3.2pt;margin-top:1.2pt;height:6pt;width:409.5pt;z-index:-251657216;mso-width-relative:page;mso-height-relative:page;" coordsize="8777,20" o:gfxdata="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">
                <o:lock v:ext="edit" aspectratio="f"/>
                <v:shape id="Freeform 8" o:spid="_x0000_s1026" o:spt="100" style="position:absolute;left:7;top:7;height:20;width:8762;" filled="f" stroked="t" coordsize="8762,20" o:gfxdata="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RJ8ye/&#10;AAAA2gAAAA8AAAAAAAAAAQAgAAAAIgAAAGRycy9kb3ducmV2LnhtbFBLAQIUABQAAAAIAIdO4kAz&#10;LwWeOwAAADkAAAAQAAAAAAAAAAEAIAAAAA4BAABkcnMvc2hhcGV4bWwueG1sUEsFBgAAAAAGAAYA&#10;WwEAALgDAAAAAA==&#10;" path="m0,0l8762,0e">
                  <v:path o:connectlocs="0,0;8762,0" o:connectangles="0,0"/>
                  <v:fill on="f" focussize="0,0"/>
                  <v:stroke weight="1pt"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hint="eastAsia" w:eastAsia="仿宋" w:cs="Times New Roman"/>
          <w:color w:val="000000" w:themeColor="text1"/>
          <w:spacing w:val="37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w:t>中共涞源县委统战部</w:t>
      </w:r>
      <w:r>
        <w:rPr>
          <w:rFonts w:hint="default" w:ascii="Times New Roman" w:hAnsi="Times New Roman" w:eastAsia="仿宋" w:cs="Times New Roman"/>
          <w:color w:val="000000" w:themeColor="text1"/>
          <w:spacing w:val="37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仿宋" w:cs="Times New Roman"/>
          <w:color w:val="000000" w:themeColor="text1"/>
          <w:spacing w:val="37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default" w:ascii="Times New Roman" w:hAnsi="Times New Roman" w:eastAsia="仿宋" w:cs="Times New Roman"/>
          <w:color w:val="000000" w:themeColor="text1"/>
          <w:spacing w:val="37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w:t>202</w:t>
      </w:r>
      <w:r>
        <w:rPr>
          <w:rFonts w:hint="eastAsia" w:eastAsia="仿宋" w:cs="Times New Roman"/>
          <w:color w:val="000000" w:themeColor="text1"/>
          <w:spacing w:val="37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eastAsia="仿宋" w:cs="Times New Roman"/>
          <w:color w:val="000000" w:themeColor="text1"/>
          <w:spacing w:val="37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w:t>年</w:t>
      </w:r>
      <w:r>
        <w:rPr>
          <w:rFonts w:hint="eastAsia" w:eastAsia="仿宋" w:cs="Times New Roman"/>
          <w:color w:val="000000" w:themeColor="text1"/>
          <w:spacing w:val="37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eastAsia="仿宋" w:cs="Times New Roman"/>
          <w:color w:val="000000" w:themeColor="text1"/>
          <w:spacing w:val="37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w:t>月</w:t>
      </w:r>
      <w:r>
        <w:rPr>
          <w:rFonts w:hint="eastAsia" w:eastAsia="仿宋" w:cs="Times New Roman"/>
          <w:color w:val="000000" w:themeColor="text1"/>
          <w:spacing w:val="37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w:t>30</w:t>
      </w:r>
      <w:r>
        <w:rPr>
          <w:rFonts w:hint="default" w:ascii="Times New Roman" w:hAnsi="Times New Roman" w:eastAsia="仿宋" w:cs="Times New Roman"/>
          <w:color w:val="000000" w:themeColor="text1"/>
          <w:spacing w:val="37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w:t>日印</w:t>
      </w:r>
      <w:r>
        <w:rPr>
          <w:rFonts w:hint="default" w:ascii="Times New Roman" w:hAnsi="Times New Roman" w:eastAsia="仿宋" w:cs="Times New Roman"/>
          <w:color w:val="000000" w:themeColor="text1"/>
          <w:spacing w:val="16"/>
          <w:w w:val="100"/>
          <w:kern w:val="0"/>
          <w:sz w:val="28"/>
          <w:szCs w:val="28"/>
          <w:fitText w:val="8080" w:id="55514265"/>
          <w:lang w:val="en-US" w:eastAsia="zh-CN" w:bidi="ar-SA"/>
          <w14:textFill>
            <w14:solidFill>
              <w14:schemeClr w14:val="tx1"/>
            </w14:solidFill>
          </w14:textFill>
        </w:rPr>
        <w:t>发</w:t>
      </w:r>
    </w:p>
    <w:sectPr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105D1FB-2DFA-49D6-93F4-3328BFB7C5AC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DA6F8255-ECBB-4F27-8D5D-DBAEB490B228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CF583FD3-53C2-4F46-9DD5-163FF6EAB80F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4594EA25-8102-43AC-ADD1-B6CC7925FC4B}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8C351247-4756-4D0F-9457-AEDB5D01097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EF1139F4-70E6-49DB-B068-D7418A2A2665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RkNjY2ZWZmYTBkMTc4ZjRiNTRkM2Q5N2U4ZjQ2ZjIifQ=="/>
  </w:docVars>
  <w:rsids>
    <w:rsidRoot w:val="2F816B23"/>
    <w:rsid w:val="04234AB9"/>
    <w:rsid w:val="060E6ACB"/>
    <w:rsid w:val="071C58D7"/>
    <w:rsid w:val="07F379D5"/>
    <w:rsid w:val="07F92E63"/>
    <w:rsid w:val="086504F8"/>
    <w:rsid w:val="09137F54"/>
    <w:rsid w:val="09AA4D5C"/>
    <w:rsid w:val="0AB87DA1"/>
    <w:rsid w:val="0B745622"/>
    <w:rsid w:val="0C014219"/>
    <w:rsid w:val="0CEE4969"/>
    <w:rsid w:val="0E4868F2"/>
    <w:rsid w:val="0FF32B45"/>
    <w:rsid w:val="115533B6"/>
    <w:rsid w:val="12125DE0"/>
    <w:rsid w:val="14F96B98"/>
    <w:rsid w:val="17DA224B"/>
    <w:rsid w:val="186B56B7"/>
    <w:rsid w:val="187748E1"/>
    <w:rsid w:val="1A014A3A"/>
    <w:rsid w:val="1D1D6B95"/>
    <w:rsid w:val="1F323169"/>
    <w:rsid w:val="1F420C28"/>
    <w:rsid w:val="21132D32"/>
    <w:rsid w:val="2169249F"/>
    <w:rsid w:val="21E11BCA"/>
    <w:rsid w:val="21EA1D42"/>
    <w:rsid w:val="22FA4207"/>
    <w:rsid w:val="240A6C92"/>
    <w:rsid w:val="251A5556"/>
    <w:rsid w:val="262B0B7B"/>
    <w:rsid w:val="26597496"/>
    <w:rsid w:val="2787507D"/>
    <w:rsid w:val="28E64F93"/>
    <w:rsid w:val="29B570DA"/>
    <w:rsid w:val="2DB9081B"/>
    <w:rsid w:val="2DF17AB5"/>
    <w:rsid w:val="2E2874B9"/>
    <w:rsid w:val="2F4308A5"/>
    <w:rsid w:val="2F816B23"/>
    <w:rsid w:val="2FFF65BD"/>
    <w:rsid w:val="30A9101A"/>
    <w:rsid w:val="31BA4361"/>
    <w:rsid w:val="324562D3"/>
    <w:rsid w:val="33FA53A8"/>
    <w:rsid w:val="36422F6B"/>
    <w:rsid w:val="36F72187"/>
    <w:rsid w:val="38207DBA"/>
    <w:rsid w:val="38775F69"/>
    <w:rsid w:val="387E0FDF"/>
    <w:rsid w:val="3B5F0C53"/>
    <w:rsid w:val="3D3D6D72"/>
    <w:rsid w:val="3F144FDC"/>
    <w:rsid w:val="3F2521B4"/>
    <w:rsid w:val="3F395C5F"/>
    <w:rsid w:val="40AB66E9"/>
    <w:rsid w:val="43EB4717"/>
    <w:rsid w:val="445F1470"/>
    <w:rsid w:val="46E666CD"/>
    <w:rsid w:val="47D46525"/>
    <w:rsid w:val="48A142A0"/>
    <w:rsid w:val="495E29B8"/>
    <w:rsid w:val="4A934E3E"/>
    <w:rsid w:val="4AA52E3C"/>
    <w:rsid w:val="4BB52B12"/>
    <w:rsid w:val="4BCD1C09"/>
    <w:rsid w:val="4E717A64"/>
    <w:rsid w:val="4F7F7B6F"/>
    <w:rsid w:val="502C08E6"/>
    <w:rsid w:val="50DB7642"/>
    <w:rsid w:val="50E816EF"/>
    <w:rsid w:val="512E52A0"/>
    <w:rsid w:val="51C94C21"/>
    <w:rsid w:val="52E448BE"/>
    <w:rsid w:val="58022C3B"/>
    <w:rsid w:val="58B63C35"/>
    <w:rsid w:val="58BB137D"/>
    <w:rsid w:val="59E70069"/>
    <w:rsid w:val="5A7B1A60"/>
    <w:rsid w:val="5AC60A34"/>
    <w:rsid w:val="5C8A193A"/>
    <w:rsid w:val="5E2F29E1"/>
    <w:rsid w:val="5F2A6B0C"/>
    <w:rsid w:val="60A4111A"/>
    <w:rsid w:val="616F73F2"/>
    <w:rsid w:val="61FA2BD4"/>
    <w:rsid w:val="644C6694"/>
    <w:rsid w:val="650A1277"/>
    <w:rsid w:val="655F0A75"/>
    <w:rsid w:val="65CE6852"/>
    <w:rsid w:val="66E8749F"/>
    <w:rsid w:val="68D13EB6"/>
    <w:rsid w:val="6C5D448C"/>
    <w:rsid w:val="6E4D7D5D"/>
    <w:rsid w:val="70BA18EA"/>
    <w:rsid w:val="736B3932"/>
    <w:rsid w:val="746F0FF5"/>
    <w:rsid w:val="770D7B2E"/>
    <w:rsid w:val="77A613DD"/>
    <w:rsid w:val="79440EAD"/>
    <w:rsid w:val="79C439FA"/>
    <w:rsid w:val="7A3251AA"/>
    <w:rsid w:val="7CB2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kern w:val="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0" w:lineRule="atLeast"/>
      <w:jc w:val="center"/>
      <w:outlineLvl w:val="0"/>
    </w:pPr>
    <w:rPr>
      <w:rFonts w:ascii="Times New Roman" w:hAnsi="Times New Roman" w:eastAsia="黑体"/>
      <w:kern w:val="44"/>
      <w:sz w:val="44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keepNext/>
      <w:keepLines/>
      <w:spacing w:beforeLines="0" w:beforeAutospacing="0" w:afterLines="0" w:afterAutospacing="0" w:line="580" w:lineRule="exact"/>
      <w:ind w:firstLine="880" w:firstLineChars="200"/>
      <w:outlineLvl w:val="0"/>
    </w:pPr>
    <w:rPr>
      <w:rFonts w:ascii="Times New Roman" w:hAnsi="Times New Roman" w:eastAsia="黑体"/>
      <w:sz w:val="32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Lines="0" w:beforeAutospacing="0" w:afterLines="0" w:afterAutospacing="0" w:line="580" w:lineRule="exact"/>
      <w:ind w:firstLine="880" w:firstLineChars="200"/>
      <w:outlineLvl w:val="1"/>
    </w:pPr>
    <w:rPr>
      <w:rFonts w:ascii="Times New Roman" w:hAnsi="Times New Roman" w:eastAsia="楷体_GB2312"/>
      <w:b/>
      <w:sz w:val="32"/>
    </w:rPr>
  </w:style>
  <w:style w:type="paragraph" w:styleId="5">
    <w:name w:val="heading 4"/>
    <w:basedOn w:val="1"/>
    <w:next w:val="1"/>
    <w:autoRedefine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80" w:firstLineChars="200"/>
      <w:outlineLvl w:val="2"/>
    </w:pPr>
    <w:rPr>
      <w:rFonts w:ascii="Times New Roman" w:hAnsi="Times New Roman" w:eastAsia="仿宋_GB2312"/>
      <w:b/>
      <w:sz w:val="28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autoRedefine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7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customStyle="1" w:styleId="12">
    <w:name w:val="公文"/>
    <w:basedOn w:val="1"/>
    <w:autoRedefine/>
    <w:qFormat/>
    <w:uiPriority w:val="0"/>
    <w:pPr>
      <w:spacing w:line="580" w:lineRule="exact"/>
      <w:ind w:firstLine="880" w:firstLineChars="200"/>
      <w:jc w:val="both"/>
    </w:pPr>
    <w:rPr>
      <w:rFonts w:hint="default" w:ascii="Times New Roman" w:hAnsi="Times New Roman" w:eastAsia="仿宋_GB2312" w:cs="黑体"/>
      <w:sz w:val="32"/>
      <w:szCs w:val="44"/>
    </w:rPr>
  </w:style>
  <w:style w:type="paragraph" w:customStyle="1" w:styleId="13">
    <w:name w:val="公文正文"/>
    <w:basedOn w:val="1"/>
    <w:autoRedefine/>
    <w:qFormat/>
    <w:uiPriority w:val="0"/>
    <w:pPr>
      <w:spacing w:line="580" w:lineRule="exact"/>
      <w:ind w:firstLine="420" w:firstLineChars="200"/>
    </w:pPr>
    <w:rPr>
      <w:rFonts w:ascii="Times New Roman" w:hAnsi="Times New Roman" w:eastAsia="仿宋_GB2312"/>
      <w:sz w:val="32"/>
    </w:rPr>
  </w:style>
  <w:style w:type="paragraph" w:customStyle="1" w:styleId="14">
    <w:name w:val="样式1"/>
    <w:basedOn w:val="1"/>
    <w:autoRedefine/>
    <w:qFormat/>
    <w:uiPriority w:val="0"/>
    <w:pPr>
      <w:spacing w:line="580" w:lineRule="exact"/>
      <w:ind w:firstLine="720" w:firstLineChars="200"/>
      <w:jc w:val="both"/>
    </w:pPr>
    <w:rPr>
      <w:rFonts w:hint="default" w:ascii="Times New Roman" w:hAnsi="Times New Roman" w:eastAsia="仿宋_GB2312" w:cs="仿宋_GB2312"/>
      <w:snapToGrid w:val="0"/>
      <w:color w:val="000000"/>
      <w:spacing w:val="5"/>
      <w:kern w:val="0"/>
      <w:sz w:val="32"/>
      <w:szCs w:val="32"/>
    </w:rPr>
  </w:style>
  <w:style w:type="paragraph" w:customStyle="1" w:styleId="15">
    <w:name w:val="公文大标题"/>
    <w:basedOn w:val="1"/>
    <w:autoRedefine/>
    <w:qFormat/>
    <w:uiPriority w:val="0"/>
    <w:pPr>
      <w:spacing w:line="0" w:lineRule="atLeast"/>
      <w:jc w:val="center"/>
    </w:pPr>
    <w:rPr>
      <w:rFonts w:hint="default" w:ascii="Times New Roman" w:hAnsi="Times New Roman" w:eastAsia="黑体"/>
      <w:sz w:val="44"/>
    </w:rPr>
  </w:style>
  <w:style w:type="paragraph" w:customStyle="1" w:styleId="16">
    <w:name w:val="一级标题"/>
    <w:basedOn w:val="1"/>
    <w:autoRedefine/>
    <w:qFormat/>
    <w:uiPriority w:val="0"/>
    <w:pPr>
      <w:spacing w:line="580" w:lineRule="exact"/>
      <w:ind w:firstLine="880" w:firstLineChars="200"/>
    </w:pPr>
    <w:rPr>
      <w:rFonts w:ascii="Times New Roman" w:hAnsi="Times New Roman" w:eastAsia="黑体" w:cs="仿宋_GB2312"/>
      <w:sz w:val="32"/>
      <w:szCs w:val="32"/>
    </w:rPr>
  </w:style>
  <w:style w:type="paragraph" w:customStyle="1" w:styleId="17">
    <w:name w:val="Table Paragraph"/>
    <w:basedOn w:val="1"/>
    <w:autoRedefine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4174</Words>
  <Characters>4246</Characters>
  <Lines>0</Lines>
  <Paragraphs>0</Paragraphs>
  <TotalTime>2</TotalTime>
  <ScaleCrop>false</ScaleCrop>
  <LinksUpToDate>false</LinksUpToDate>
  <CharactersWithSpaces>4386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2023-01-30T06:26:00Z</dcterms:created>
  <dc:creator>小迷鹿</dc:creator>
  <cp:lastModifiedBy>呵呵</cp:lastModifiedBy>
  <cp:lastPrinted>2024-02-28T02:48:00Z</cp:lastPrinted>
  <dcterms:modified xsi:type="dcterms:W3CDTF">2024-02-28T04:11:32Z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390E2D1E5746480FA0AE050FC03A556B</vt:lpwstr>
  </property>
</Properties>
</file>