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华文中宋" w:hAnsi="华文中宋" w:eastAsia="华文中宋"/>
          <w:b/>
          <w:sz w:val="44"/>
          <w:szCs w:val="44"/>
          <w:u w:val="none" w:color="auto"/>
        </w:rPr>
      </w:pPr>
    </w:p>
    <w:p>
      <w:pPr>
        <w:spacing w:line="560" w:lineRule="exact"/>
        <w:jc w:val="center"/>
        <w:rPr>
          <w:rFonts w:hint="eastAsia" w:ascii="华文中宋" w:hAnsi="华文中宋" w:eastAsia="华文中宋"/>
          <w:b/>
          <w:sz w:val="44"/>
          <w:szCs w:val="44"/>
          <w:u w:val="double" w:color="000000"/>
        </w:rPr>
      </w:pPr>
    </w:p>
    <w:p>
      <w:pPr>
        <w:spacing w:line="560" w:lineRule="exact"/>
        <w:jc w:val="center"/>
        <w:rPr>
          <w:rFonts w:hint="eastAsia" w:ascii="华文中宋" w:hAnsi="华文中宋" w:eastAsia="华文中宋"/>
          <w:b/>
          <w:sz w:val="44"/>
          <w:szCs w:val="44"/>
          <w:u w:val="double" w:color="000000"/>
        </w:rPr>
      </w:pPr>
    </w:p>
    <w:p>
      <w:pPr>
        <w:spacing w:line="560" w:lineRule="exact"/>
        <w:jc w:val="center"/>
        <w:rPr>
          <w:rFonts w:hint="eastAsia" w:ascii="华文中宋" w:hAnsi="华文中宋" w:eastAsia="华文中宋"/>
          <w:b/>
          <w:sz w:val="44"/>
          <w:szCs w:val="44"/>
          <w:u w:val="double" w:color="000000"/>
        </w:rPr>
      </w:pPr>
    </w:p>
    <w:p>
      <w:pPr>
        <w:spacing w:line="560" w:lineRule="exact"/>
        <w:jc w:val="center"/>
        <w:rPr>
          <w:rFonts w:hint="eastAsia" w:ascii="华文中宋" w:hAnsi="华文中宋" w:eastAsia="华文中宋"/>
          <w:b/>
          <w:sz w:val="44"/>
          <w:szCs w:val="44"/>
          <w:u w:val="double" w:color="000000"/>
        </w:rPr>
      </w:pPr>
    </w:p>
    <w:p>
      <w:pPr>
        <w:pStyle w:val="2"/>
        <w:rPr>
          <w:rFonts w:hint="eastAsia"/>
        </w:rPr>
      </w:pPr>
    </w:p>
    <w:p>
      <w:pPr>
        <w:spacing w:line="560" w:lineRule="exact"/>
        <w:jc w:val="center"/>
        <w:rPr>
          <w:rFonts w:hint="eastAsia" w:ascii="仿宋_GB2312" w:hAnsi="华文中宋" w:eastAsia="仿宋_GB2312"/>
          <w:b/>
          <w:sz w:val="32"/>
          <w:szCs w:val="32"/>
        </w:rPr>
      </w:pPr>
    </w:p>
    <w:p>
      <w:pPr>
        <w:pStyle w:val="2"/>
        <w:rPr>
          <w:rFonts w:hint="eastAsia"/>
        </w:rPr>
      </w:pPr>
    </w:p>
    <w:p>
      <w:pPr>
        <w:spacing w:line="560" w:lineRule="exact"/>
        <w:jc w:val="center"/>
        <w:rPr>
          <w:rFonts w:hint="eastAsia" w:ascii="仿宋_GB2312" w:hAnsi="华文中宋" w:eastAsia="仿宋_GB2312"/>
          <w:b/>
          <w:sz w:val="32"/>
          <w:szCs w:val="32"/>
        </w:rPr>
      </w:pPr>
      <w:r>
        <w:rPr>
          <w:rFonts w:hint="eastAsia" w:ascii="仿宋_GB2312" w:hAnsi="华文中宋" w:eastAsia="仿宋_GB2312"/>
          <w:b/>
          <w:sz w:val="32"/>
          <w:szCs w:val="32"/>
        </w:rPr>
        <w:t>涞民</w:t>
      </w:r>
      <w:r>
        <w:rPr>
          <w:rFonts w:hint="eastAsia" w:ascii="仿宋_GB2312" w:hAnsi="华文中宋" w:eastAsia="仿宋_GB2312"/>
          <w:b/>
          <w:sz w:val="32"/>
          <w:szCs w:val="32"/>
          <w:lang w:eastAsia="zh-CN"/>
        </w:rPr>
        <w:t>字</w:t>
      </w:r>
      <w:r>
        <w:rPr>
          <w:rFonts w:hint="eastAsia" w:ascii="仿宋_GB2312" w:hAnsi="华文中宋" w:eastAsia="仿宋_GB2312"/>
          <w:b/>
          <w:sz w:val="32"/>
          <w:szCs w:val="32"/>
        </w:rPr>
        <w:t>【20</w:t>
      </w:r>
      <w:r>
        <w:rPr>
          <w:rFonts w:hint="eastAsia" w:ascii="仿宋_GB2312" w:hAnsi="华文中宋" w:eastAsia="仿宋_GB2312"/>
          <w:b/>
          <w:sz w:val="32"/>
          <w:szCs w:val="32"/>
          <w:lang w:val="en-US" w:eastAsia="zh-CN"/>
        </w:rPr>
        <w:t>22</w:t>
      </w:r>
      <w:r>
        <w:rPr>
          <w:rFonts w:hint="eastAsia" w:ascii="仿宋_GB2312" w:hAnsi="华文中宋" w:eastAsia="仿宋_GB2312"/>
          <w:b/>
          <w:sz w:val="32"/>
          <w:szCs w:val="32"/>
        </w:rPr>
        <w:t>】</w:t>
      </w:r>
      <w:r>
        <w:rPr>
          <w:rFonts w:hint="eastAsia" w:ascii="仿宋_GB2312" w:hAnsi="华文中宋" w:eastAsia="仿宋_GB2312"/>
          <w:b/>
          <w:sz w:val="32"/>
          <w:szCs w:val="32"/>
          <w:lang w:val="en-US" w:eastAsia="zh-CN"/>
        </w:rPr>
        <w:t>7</w:t>
      </w:r>
      <w:bookmarkStart w:id="0" w:name="_GoBack"/>
      <w:bookmarkEnd w:id="0"/>
      <w:r>
        <w:rPr>
          <w:rFonts w:hint="eastAsia" w:ascii="仿宋_GB2312" w:hAnsi="华文中宋" w:eastAsia="仿宋_GB2312"/>
          <w:b/>
          <w:sz w:val="32"/>
          <w:szCs w:val="32"/>
        </w:rPr>
        <w:t>号</w:t>
      </w:r>
    </w:p>
    <w:p>
      <w:pPr>
        <w:spacing w:line="560" w:lineRule="exact"/>
        <w:jc w:val="center"/>
        <w:rPr>
          <w:rFonts w:hint="eastAsia" w:ascii="华文中宋" w:hAnsi="华文中宋" w:eastAsia="华文中宋"/>
          <w:b/>
          <w:sz w:val="44"/>
          <w:szCs w:val="44"/>
          <w:u w:val="double" w:color="000000"/>
        </w:rPr>
      </w:pPr>
    </w:p>
    <w:p>
      <w:pPr>
        <w:pStyle w:val="2"/>
        <w:rPr>
          <w:rFonts w:hint="eastAsia"/>
        </w:rPr>
      </w:pPr>
    </w:p>
    <w:p>
      <w:pPr>
        <w:widowControl/>
        <w:shd w:val="clear" w:color="auto" w:fill="FFFFFF"/>
        <w:jc w:val="center"/>
        <w:rPr>
          <w:rFonts w:cs="宋体" w:asciiTheme="minorEastAsia" w:hAnsiTheme="minorEastAsia"/>
          <w:b/>
          <w:bCs/>
          <w:color w:val="333333"/>
          <w:kern w:val="0"/>
          <w:sz w:val="44"/>
          <w:szCs w:val="44"/>
        </w:rPr>
      </w:pPr>
      <w:r>
        <w:rPr>
          <w:rFonts w:hint="eastAsia" w:cs="宋体" w:asciiTheme="minorEastAsia" w:hAnsiTheme="minorEastAsia"/>
          <w:b/>
          <w:bCs/>
          <w:color w:val="333333"/>
          <w:kern w:val="0"/>
          <w:sz w:val="44"/>
          <w:szCs w:val="44"/>
        </w:rPr>
        <w:t>涞源</w:t>
      </w:r>
      <w:r>
        <w:rPr>
          <w:rFonts w:cs="宋体" w:asciiTheme="minorEastAsia" w:hAnsiTheme="minorEastAsia"/>
          <w:b/>
          <w:bCs/>
          <w:color w:val="333333"/>
          <w:kern w:val="0"/>
          <w:sz w:val="44"/>
          <w:szCs w:val="44"/>
        </w:rPr>
        <w:t>县民政局</w:t>
      </w:r>
    </w:p>
    <w:p>
      <w:pPr>
        <w:bidi w:val="0"/>
        <w:jc w:val="center"/>
        <w:rPr>
          <w:rFonts w:hint="eastAsia" w:ascii="仿宋" w:hAnsi="仿宋" w:eastAsia="仿宋" w:cs="仿宋"/>
          <w:sz w:val="32"/>
          <w:szCs w:val="32"/>
        </w:rPr>
      </w:pPr>
      <w:r>
        <w:rPr>
          <w:rFonts w:cs="宋体" w:asciiTheme="minorEastAsia" w:hAnsiTheme="minorEastAsia"/>
          <w:b/>
          <w:bCs/>
          <w:color w:val="333333"/>
          <w:kern w:val="0"/>
          <w:sz w:val="44"/>
          <w:szCs w:val="44"/>
        </w:rPr>
        <w:t>20</w:t>
      </w:r>
      <w:r>
        <w:rPr>
          <w:rFonts w:hint="eastAsia" w:cs="宋体" w:asciiTheme="minorEastAsia" w:hAnsiTheme="minorEastAsia"/>
          <w:b/>
          <w:bCs/>
          <w:color w:val="333333"/>
          <w:kern w:val="0"/>
          <w:sz w:val="44"/>
          <w:szCs w:val="44"/>
          <w:lang w:val="en-US" w:eastAsia="zh-CN"/>
        </w:rPr>
        <w:t>21</w:t>
      </w:r>
      <w:r>
        <w:rPr>
          <w:rFonts w:cs="宋体" w:asciiTheme="minorEastAsia" w:hAnsiTheme="minorEastAsia"/>
          <w:b/>
          <w:bCs/>
          <w:color w:val="333333"/>
          <w:kern w:val="0"/>
          <w:sz w:val="44"/>
          <w:szCs w:val="44"/>
        </w:rPr>
        <w:t>年</w:t>
      </w:r>
      <w:r>
        <w:rPr>
          <w:rFonts w:hint="eastAsia" w:cs="宋体" w:asciiTheme="minorEastAsia" w:hAnsiTheme="minorEastAsia"/>
          <w:b/>
          <w:bCs/>
          <w:color w:val="333333"/>
          <w:kern w:val="0"/>
          <w:sz w:val="44"/>
          <w:szCs w:val="44"/>
          <w:lang w:eastAsia="zh-CN"/>
        </w:rPr>
        <w:t>度</w:t>
      </w:r>
      <w:r>
        <w:rPr>
          <w:rFonts w:cs="宋体" w:asciiTheme="minorEastAsia" w:hAnsiTheme="minorEastAsia"/>
          <w:b/>
          <w:bCs/>
          <w:color w:val="333333"/>
          <w:kern w:val="0"/>
          <w:sz w:val="44"/>
          <w:szCs w:val="44"/>
        </w:rPr>
        <w:t>随机抽查工作计划</w:t>
      </w:r>
    </w:p>
    <w:p>
      <w:pPr>
        <w:bidi w:val="0"/>
        <w:jc w:val="left"/>
        <w:rPr>
          <w:rFonts w:hint="eastAsia" w:ascii="仿宋" w:hAnsi="仿宋" w:eastAsia="仿宋" w:cs="仿宋"/>
          <w:sz w:val="32"/>
          <w:szCs w:val="32"/>
        </w:rPr>
      </w:pPr>
    </w:p>
    <w:p>
      <w:pPr>
        <w:spacing w:line="560" w:lineRule="exact"/>
        <w:ind w:firstLine="640" w:firstLineChars="200"/>
        <w:rPr>
          <w:rFonts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lang w:eastAsia="zh-CN"/>
        </w:rPr>
        <w:t>根据涞源县“双随机、一公开”监督工作领导小组《关于报送</w:t>
      </w:r>
      <w:r>
        <w:rPr>
          <w:rFonts w:hint="eastAsia" w:ascii="仿宋_GB2312" w:hAnsi="宋体" w:eastAsia="仿宋_GB2312" w:cs="宋体"/>
          <w:color w:val="333333"/>
          <w:kern w:val="0"/>
          <w:sz w:val="32"/>
          <w:szCs w:val="32"/>
          <w:lang w:val="en-US" w:eastAsia="zh-CN"/>
        </w:rPr>
        <w:t>2022年度随机抽查工作计划的通知</w:t>
      </w:r>
      <w:r>
        <w:rPr>
          <w:rFonts w:hint="eastAsia" w:ascii="仿宋_GB2312" w:hAnsi="宋体" w:eastAsia="仿宋_GB2312" w:cs="宋体"/>
          <w:color w:val="333333"/>
          <w:kern w:val="0"/>
          <w:sz w:val="32"/>
          <w:szCs w:val="32"/>
          <w:lang w:eastAsia="zh-CN"/>
        </w:rPr>
        <w:t>》文件</w:t>
      </w:r>
      <w:r>
        <w:rPr>
          <w:rFonts w:hint="eastAsia" w:ascii="仿宋_GB2312" w:hAnsi="宋体" w:eastAsia="仿宋_GB2312" w:cs="宋体"/>
          <w:color w:val="333333"/>
          <w:kern w:val="0"/>
          <w:sz w:val="32"/>
          <w:szCs w:val="32"/>
        </w:rPr>
        <w:t>要求，我局积极推动该项工作狠抓落实，特制定如下工作计划。</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w:t>
      </w:r>
      <w:r>
        <w:rPr>
          <w:rFonts w:hint="eastAsia" w:ascii="仿宋_GB2312" w:hAnsi="宋体" w:eastAsia="仿宋_GB2312" w:cs="宋体"/>
          <w:b/>
          <w:color w:val="333333"/>
          <w:kern w:val="0"/>
          <w:sz w:val="32"/>
          <w:szCs w:val="32"/>
        </w:rPr>
        <w:t xml:space="preserve">  一、总体要求</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以党的十</w:t>
      </w:r>
      <w:r>
        <w:rPr>
          <w:rFonts w:hint="eastAsia" w:ascii="仿宋_GB2312" w:hAnsi="宋体" w:eastAsia="仿宋_GB2312" w:cs="宋体"/>
          <w:color w:val="333333"/>
          <w:kern w:val="0"/>
          <w:sz w:val="32"/>
          <w:szCs w:val="32"/>
          <w:lang w:eastAsia="zh-CN"/>
        </w:rPr>
        <w:t>九</w:t>
      </w:r>
      <w:r>
        <w:rPr>
          <w:rFonts w:hint="eastAsia" w:ascii="仿宋_GB2312" w:hAnsi="宋体" w:eastAsia="仿宋_GB2312" w:cs="宋体"/>
          <w:color w:val="333333"/>
          <w:kern w:val="0"/>
          <w:sz w:val="32"/>
          <w:szCs w:val="32"/>
        </w:rPr>
        <w:t>大精神为指导，深入学习贯彻习近平总书记系列重要讲话精神，全面推行“双随机</w:t>
      </w:r>
      <w:r>
        <w:rPr>
          <w:rFonts w:hint="eastAsia" w:ascii="仿宋_GB2312" w:hAnsi="宋体" w:eastAsia="仿宋_GB2312" w:cs="宋体"/>
          <w:color w:val="333333"/>
          <w:kern w:val="0"/>
          <w:sz w:val="32"/>
          <w:szCs w:val="32"/>
          <w:lang w:eastAsia="zh-CN"/>
        </w:rPr>
        <w:t>、</w:t>
      </w:r>
      <w:r>
        <w:rPr>
          <w:rFonts w:hint="eastAsia" w:ascii="仿宋_GB2312" w:hAnsi="宋体" w:eastAsia="仿宋_GB2312" w:cs="宋体"/>
          <w:color w:val="333333"/>
          <w:kern w:val="0"/>
          <w:sz w:val="32"/>
          <w:szCs w:val="32"/>
        </w:rPr>
        <w:t>一公开”工作机制。</w:t>
      </w:r>
    </w:p>
    <w:p>
      <w:pPr>
        <w:spacing w:line="560" w:lineRule="exact"/>
        <w:ind w:firstLine="643" w:firstLineChars="200"/>
        <w:rPr>
          <w:rFonts w:ascii="仿宋_GB2312" w:hAnsi="宋体" w:eastAsia="仿宋_GB2312"/>
          <w:bCs/>
          <w:sz w:val="32"/>
          <w:szCs w:val="32"/>
        </w:rPr>
      </w:pPr>
      <w:r>
        <w:rPr>
          <w:rFonts w:hint="eastAsia" w:ascii="仿宋_GB2312" w:hAnsi="宋体" w:eastAsia="仿宋_GB2312" w:cs="宋体"/>
          <w:b/>
          <w:color w:val="333333"/>
          <w:kern w:val="0"/>
          <w:sz w:val="32"/>
          <w:szCs w:val="32"/>
        </w:rPr>
        <w:t>二、加强组织领导</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w:t>
      </w:r>
      <w:r>
        <w:rPr>
          <w:rFonts w:hint="eastAsia" w:ascii="仿宋_GB2312" w:hAnsi="宋体" w:eastAsia="仿宋_GB2312" w:cs="宋体"/>
          <w:color w:val="333333"/>
          <w:kern w:val="0"/>
          <w:sz w:val="32"/>
          <w:szCs w:val="32"/>
          <w:lang w:eastAsia="zh-CN"/>
        </w:rPr>
        <w:t>相关</w:t>
      </w:r>
      <w:r>
        <w:rPr>
          <w:rFonts w:hint="eastAsia" w:ascii="仿宋_GB2312" w:hAnsi="宋体" w:eastAsia="仿宋_GB2312" w:cs="宋体"/>
          <w:color w:val="333333"/>
          <w:kern w:val="0"/>
          <w:sz w:val="32"/>
          <w:szCs w:val="32"/>
        </w:rPr>
        <w:t>股室负责人要加强对随机抽查工作的指导和监管，同时也要完善抽查工作机制，充实并合理调配执法抽查力量，提高抽查工作水平。</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b/>
          <w:color w:val="333333"/>
          <w:kern w:val="0"/>
          <w:sz w:val="32"/>
          <w:szCs w:val="32"/>
        </w:rPr>
        <w:t xml:space="preserve">    三、</w:t>
      </w:r>
      <w:r>
        <w:rPr>
          <w:rFonts w:hint="eastAsia" w:ascii="仿宋_GB2312" w:hAnsi="宋体" w:eastAsia="仿宋_GB2312" w:cs="宋体"/>
          <w:b/>
          <w:bCs/>
          <w:color w:val="333333"/>
          <w:kern w:val="0"/>
          <w:sz w:val="32"/>
          <w:szCs w:val="32"/>
        </w:rPr>
        <w:t>严格落实责任。</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相关股室要根据本计划要求，具体细化推进随机抽查的任务和步骤，明确工作进度要求，落实责任分工，强化过程管控，确保此项工作落到实处，抓出成效。</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b/>
          <w:color w:val="333333"/>
          <w:kern w:val="0"/>
          <w:sz w:val="32"/>
          <w:szCs w:val="32"/>
        </w:rPr>
        <w:t xml:space="preserve">    四、规范执法行为</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执法人员要严格按照相关法律法规和《</w:t>
      </w:r>
      <w:r>
        <w:rPr>
          <w:rFonts w:hint="eastAsia" w:ascii="仿宋_GB2312" w:hAnsi="宋体" w:eastAsia="仿宋_GB2312"/>
          <w:bCs/>
          <w:sz w:val="32"/>
          <w:szCs w:val="32"/>
        </w:rPr>
        <w:t>涞源县民政局</w:t>
      </w:r>
    </w:p>
    <w:p>
      <w:pPr>
        <w:rPr>
          <w:rFonts w:hint="eastAsia" w:ascii="仿宋_GB2312" w:hAnsi="仿宋_GB2312" w:eastAsia="仿宋_GB2312" w:cs="仿宋_GB2312"/>
          <w:b/>
          <w:color w:val="333333"/>
          <w:kern w:val="0"/>
          <w:sz w:val="32"/>
          <w:szCs w:val="32"/>
        </w:rPr>
      </w:pPr>
      <w:r>
        <w:rPr>
          <w:rFonts w:hint="eastAsia" w:ascii="仿宋_GB2312" w:hAnsi="宋体" w:eastAsia="仿宋_GB2312"/>
          <w:bCs/>
          <w:sz w:val="32"/>
          <w:szCs w:val="32"/>
        </w:rPr>
        <w:t>“双随机一公开”抽查工作细则</w:t>
      </w:r>
      <w:r>
        <w:rPr>
          <w:rFonts w:hint="eastAsia" w:ascii="仿宋_GB2312" w:hAnsi="宋体" w:eastAsia="仿宋_GB2312" w:cs="宋体"/>
          <w:color w:val="333333"/>
          <w:kern w:val="0"/>
          <w:sz w:val="32"/>
          <w:szCs w:val="32"/>
        </w:rPr>
        <w:t>》坚持依法监管、公正高效和公开透明的原则开展执法工作，要严格规范执法人员的自由栽量权，做到执法必严、违法必究。</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b/>
          <w:color w:val="333333"/>
          <w:kern w:val="0"/>
          <w:sz w:val="32"/>
          <w:szCs w:val="32"/>
        </w:rPr>
        <w:t xml:space="preserve">    五、</w:t>
      </w:r>
      <w:r>
        <w:rPr>
          <w:rFonts w:hint="eastAsia" w:ascii="仿宋_GB2312" w:hAnsi="宋体" w:eastAsia="仿宋_GB2312" w:cs="宋体"/>
          <w:b/>
          <w:bCs/>
          <w:color w:val="333333"/>
          <w:kern w:val="0"/>
          <w:sz w:val="32"/>
          <w:szCs w:val="32"/>
        </w:rPr>
        <w:t>强化培训宣传。</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随机抽查是行政执法监管方式的探索和创新，要加强民政系统执法人员培训，加快转变执法理念，不断提高执法能力。要充分利用现代宣传工具，广泛开展宣传报道，积极争取社会各界支持，为随机抽查工作顺利开展营造良好的氛围。</w:t>
      </w:r>
      <w:r>
        <w:rPr>
          <w:rFonts w:hint="eastAsia" w:ascii="仿宋_GB2312" w:hAnsi="宋体" w:eastAsia="仿宋_GB2312" w:cs="宋体"/>
          <w:b/>
          <w:color w:val="333333"/>
          <w:kern w:val="0"/>
          <w:sz w:val="32"/>
          <w:szCs w:val="32"/>
        </w:rPr>
        <w:br w:type="textWrapping"/>
      </w:r>
      <w:r>
        <w:rPr>
          <w:rFonts w:hint="eastAsia" w:ascii="仿宋_GB2312" w:hAnsi="宋体" w:eastAsia="仿宋_GB2312" w:cs="宋体"/>
          <w:b/>
          <w:color w:val="333333"/>
          <w:kern w:val="0"/>
          <w:sz w:val="32"/>
          <w:szCs w:val="32"/>
        </w:rPr>
        <w:t xml:space="preserve">    六、抽查对象范围。</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w:t>
      </w:r>
      <w:r>
        <w:rPr>
          <w:rFonts w:hint="eastAsia" w:ascii="仿宋_GB2312" w:hAnsi="宋体" w:eastAsia="仿宋_GB2312" w:cs="宋体"/>
          <w:color w:val="333333"/>
          <w:kern w:val="0"/>
          <w:sz w:val="32"/>
          <w:szCs w:val="32"/>
          <w:lang w:val="en-US" w:eastAsia="zh-CN"/>
        </w:rPr>
        <w:t>1、依法对</w:t>
      </w:r>
      <w:r>
        <w:rPr>
          <w:rFonts w:hint="eastAsia" w:ascii="仿宋_GB2312" w:hAnsi="仿宋_GB2312" w:eastAsia="仿宋_GB2312" w:cs="仿宋_GB2312"/>
          <w:kern w:val="0"/>
          <w:sz w:val="32"/>
          <w:szCs w:val="32"/>
          <w:lang w:eastAsia="zh-CN"/>
        </w:rPr>
        <w:t>社会组织</w:t>
      </w:r>
      <w:r>
        <w:rPr>
          <w:rFonts w:hint="eastAsia" w:ascii="仿宋_GB2312" w:hAnsi="仿宋_GB2312" w:eastAsia="仿宋_GB2312" w:cs="仿宋_GB2312"/>
          <w:kern w:val="0"/>
          <w:sz w:val="32"/>
          <w:szCs w:val="32"/>
        </w:rPr>
        <w:t>的成立、变更、注销登记</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实施年度检查</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2、依法对民办非企业</w:t>
      </w:r>
      <w:r>
        <w:rPr>
          <w:rFonts w:hint="eastAsia" w:ascii="仿宋_GB2312" w:hAnsi="仿宋_GB2312" w:eastAsia="仿宋_GB2312" w:cs="仿宋_GB2312"/>
          <w:kern w:val="0"/>
          <w:sz w:val="32"/>
          <w:szCs w:val="32"/>
        </w:rPr>
        <w:t>的成立、变更、注销登记</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实施年度检查</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b w:val="0"/>
          <w:bCs/>
          <w:sz w:val="32"/>
          <w:szCs w:val="32"/>
        </w:rPr>
        <w:t>依法对养老机构的名称、住所、法定代表人或者主要负责人、服务范围等设立许可证载明事项进行监督检查。</w:t>
      </w:r>
      <w:r>
        <w:rPr>
          <w:rFonts w:hint="eastAsia" w:ascii="仿宋_GB2312" w:hAnsi="仿宋_GB2312" w:eastAsia="仿宋_GB2312" w:cs="仿宋_GB2312"/>
          <w:b w:val="0"/>
          <w:bCs/>
          <w:color w:val="333333"/>
          <w:kern w:val="0"/>
          <w:sz w:val="32"/>
          <w:szCs w:val="32"/>
        </w:rPr>
        <w:t xml:space="preserve">  </w:t>
      </w:r>
      <w:r>
        <w:rPr>
          <w:rFonts w:hint="eastAsia" w:ascii="仿宋_GB2312" w:hAnsi="仿宋_GB2312" w:eastAsia="仿宋_GB2312" w:cs="仿宋_GB2312"/>
          <w:b/>
          <w:color w:val="333333"/>
          <w:kern w:val="0"/>
          <w:sz w:val="32"/>
          <w:szCs w:val="32"/>
        </w:rPr>
        <w:t xml:space="preserve">  </w:t>
      </w:r>
    </w:p>
    <w:p>
      <w:pPr>
        <w:numPr>
          <w:ilvl w:val="0"/>
          <w:numId w:val="1"/>
        </w:numPr>
        <w:rPr>
          <w:rFonts w:hint="eastAsia"/>
          <w:lang w:eastAsia="zh-CN"/>
        </w:rPr>
      </w:pPr>
      <w:r>
        <w:rPr>
          <w:rFonts w:hint="eastAsia" w:ascii="仿宋_GB2312" w:hAnsi="宋体" w:eastAsia="仿宋_GB2312" w:cs="宋体"/>
          <w:b/>
          <w:color w:val="333333"/>
          <w:kern w:val="0"/>
          <w:sz w:val="32"/>
          <w:szCs w:val="32"/>
        </w:rPr>
        <w:t>加大信息公开力度</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w:t>
      </w:r>
      <w:r>
        <w:rPr>
          <w:rFonts w:hint="eastAsia" w:ascii="仿宋_GB2312" w:hAnsi="宋体" w:eastAsia="仿宋_GB2312" w:cs="宋体"/>
          <w:color w:val="333333"/>
          <w:kern w:val="0"/>
          <w:sz w:val="32"/>
          <w:szCs w:val="32"/>
          <w:lang w:eastAsia="zh-CN"/>
        </w:rPr>
        <w:t>相关股室</w:t>
      </w:r>
      <w:r>
        <w:rPr>
          <w:rFonts w:hint="eastAsia" w:ascii="仿宋_GB2312" w:hAnsi="宋体" w:eastAsia="仿宋_GB2312" w:cs="宋体"/>
          <w:color w:val="333333"/>
          <w:kern w:val="0"/>
          <w:sz w:val="32"/>
          <w:szCs w:val="32"/>
        </w:rPr>
        <w:t>要及时向社会公布抽查事项清单、对象名录、执法人员名录和抽查工作实施细则等信息。同时，要及时向社会公布抽查情况和查处结果；对抽查中发现的违法违规行为要加大惩处力度，按照“谁抽查，谁公开”的原则，将抽查情况和抽查结果及时向社会公布，接受社会监督。</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b/>
          <w:color w:val="333333"/>
          <w:kern w:val="0"/>
          <w:sz w:val="32"/>
          <w:szCs w:val="32"/>
        </w:rPr>
        <w:t xml:space="preserve">    八、严肃落实查处结果</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在抽查中发现抽查对象有违法违规行为，执法人员要及时向主要领导和业务股室告知情况，由相关股室及时要求涉嫌违法违规的抽查对象落实整改或对违法违规抽查对象按照法律法规的规定进行查处，确保随机抽查工作取得实效，发挥更大的作用。</w:t>
      </w:r>
      <w:r>
        <w:rPr>
          <w:rFonts w:hint="eastAsia" w:ascii="仿宋_GB2312" w:hAnsi="宋体" w:eastAsia="仿宋_GB2312" w:cs="宋体"/>
          <w:color w:val="333333"/>
          <w:kern w:val="0"/>
          <w:sz w:val="32"/>
          <w:szCs w:val="3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58EB8E"/>
    <w:multiLevelType w:val="singleLevel"/>
    <w:tmpl w:val="1758EB8E"/>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2E7CE0"/>
    <w:rsid w:val="132E7CE0"/>
    <w:rsid w:val="3AC2488C"/>
    <w:rsid w:val="3D2730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napToGrid w:val="0"/>
      <w:kern w:val="0"/>
      <w:szCs w:val="21"/>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2022-01-11T02:06:00Z</dcterms:created>
  <dc:creator>NTKO</dc:creator>
  <cp:lastModifiedBy>lenovo</cp:lastModifiedBy>
  <cp:lastPrinted>2022-01-11T02:08:00Z</cp:lastPrinted>
  <dcterms:modified xsi:type="dcterms:W3CDTF">2022-03-09T06:21:01Z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E9F95D2D1AE54B29B2CB4DF0F946FC43</vt:lpwstr>
  </property>
</Properties>
</file>