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十三届全国人大常委会第三十二次会议</w:t>
      </w:r>
      <w:r w:rsidRPr="00BC442E">
        <w:rPr>
          <w:rFonts w:ascii="Arial" w:eastAsia="宋体" w:hAnsi="Arial" w:cs="Arial"/>
          <w:color w:val="404040"/>
          <w:sz w:val="21"/>
          <w:szCs w:val="21"/>
        </w:rPr>
        <w:t>12</w:t>
      </w:r>
      <w:r w:rsidRPr="00BC442E">
        <w:rPr>
          <w:rFonts w:ascii="Arial" w:eastAsia="宋体" w:hAnsi="Arial" w:cs="Arial"/>
          <w:color w:val="404040"/>
          <w:sz w:val="21"/>
          <w:szCs w:val="21"/>
        </w:rPr>
        <w:t>月</w:t>
      </w:r>
      <w:r w:rsidRPr="00BC442E">
        <w:rPr>
          <w:rFonts w:ascii="Arial" w:eastAsia="宋体" w:hAnsi="Arial" w:cs="Arial"/>
          <w:color w:val="404040"/>
          <w:sz w:val="21"/>
          <w:szCs w:val="21"/>
        </w:rPr>
        <w:t>24</w:t>
      </w:r>
      <w:r w:rsidRPr="00BC442E">
        <w:rPr>
          <w:rFonts w:ascii="Arial" w:eastAsia="宋体" w:hAnsi="Arial" w:cs="Arial"/>
          <w:color w:val="404040"/>
          <w:sz w:val="21"/>
          <w:szCs w:val="21"/>
        </w:rPr>
        <w:t>日表决通过《反有组织犯罪法》，于</w:t>
      </w:r>
      <w:r w:rsidRPr="00BC442E">
        <w:rPr>
          <w:rFonts w:ascii="Arial" w:eastAsia="宋体" w:hAnsi="Arial" w:cs="Arial"/>
          <w:color w:val="404040"/>
          <w:sz w:val="21"/>
          <w:szCs w:val="21"/>
        </w:rPr>
        <w:t>2022</w:t>
      </w:r>
      <w:r w:rsidRPr="00BC442E">
        <w:rPr>
          <w:rFonts w:ascii="Arial" w:eastAsia="宋体" w:hAnsi="Arial" w:cs="Arial"/>
          <w:color w:val="404040"/>
          <w:sz w:val="21"/>
          <w:szCs w:val="21"/>
        </w:rPr>
        <w:t>年</w:t>
      </w:r>
      <w:r w:rsidRPr="00BC442E">
        <w:rPr>
          <w:rFonts w:ascii="Arial" w:eastAsia="宋体" w:hAnsi="Arial" w:cs="Arial"/>
          <w:color w:val="404040"/>
          <w:sz w:val="21"/>
          <w:szCs w:val="21"/>
        </w:rPr>
        <w:t>5</w:t>
      </w:r>
      <w:r w:rsidRPr="00BC442E">
        <w:rPr>
          <w:rFonts w:ascii="Arial" w:eastAsia="宋体" w:hAnsi="Arial" w:cs="Arial"/>
          <w:color w:val="404040"/>
          <w:sz w:val="21"/>
          <w:szCs w:val="21"/>
        </w:rPr>
        <w:t>月</w:t>
      </w:r>
      <w:r w:rsidRPr="00BC442E">
        <w:rPr>
          <w:rFonts w:ascii="Arial" w:eastAsia="宋体" w:hAnsi="Arial" w:cs="Arial"/>
          <w:color w:val="404040"/>
          <w:sz w:val="21"/>
          <w:szCs w:val="21"/>
        </w:rPr>
        <w:t>1</w:t>
      </w:r>
      <w:r w:rsidRPr="00BC442E">
        <w:rPr>
          <w:rFonts w:ascii="Arial" w:eastAsia="宋体" w:hAnsi="Arial" w:cs="Arial"/>
          <w:color w:val="404040"/>
          <w:sz w:val="21"/>
          <w:szCs w:val="21"/>
        </w:rPr>
        <w:t>日起施行。《反有组织犯罪法》共九章七十七条，包括总则、预防和治理、案件办理、涉案财产认定和处置、国家工作人员涉有组织犯罪的处理、国际合作等。</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b/>
          <w:bCs/>
          <w:color w:val="404040"/>
          <w:sz w:val="21"/>
          <w:szCs w:val="21"/>
        </w:rPr>
        <w:t>《反有组织犯罪法》系统总结扫黑除恶专项斗争实践经验，保障在法治轨道上常态化开展扫黑除恶工作。</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扩展阅读：</w:t>
      </w:r>
      <w:r w:rsidRPr="00BC442E">
        <w:rPr>
          <w:rFonts w:ascii="Arial" w:eastAsia="宋体" w:hAnsi="Arial" w:cs="Arial"/>
          <w:b/>
          <w:bCs/>
          <w:color w:val="404040"/>
          <w:sz w:val="21"/>
          <w:szCs w:val="21"/>
        </w:rPr>
        <w:t>中华人民共和国反有组织犯罪法（全文）</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中华人民共和国反有组织犯罪法</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w:t>
      </w:r>
      <w:r w:rsidRPr="00BC442E">
        <w:rPr>
          <w:rFonts w:ascii="Arial" w:eastAsia="宋体" w:hAnsi="Arial" w:cs="Arial"/>
          <w:color w:val="404040"/>
          <w:sz w:val="21"/>
          <w:szCs w:val="21"/>
        </w:rPr>
        <w:t>2021</w:t>
      </w:r>
      <w:r w:rsidRPr="00BC442E">
        <w:rPr>
          <w:rFonts w:ascii="Arial" w:eastAsia="宋体" w:hAnsi="Arial" w:cs="Arial"/>
          <w:color w:val="404040"/>
          <w:sz w:val="21"/>
          <w:szCs w:val="21"/>
        </w:rPr>
        <w:t>年</w:t>
      </w:r>
      <w:r w:rsidRPr="00BC442E">
        <w:rPr>
          <w:rFonts w:ascii="Arial" w:eastAsia="宋体" w:hAnsi="Arial" w:cs="Arial"/>
          <w:color w:val="404040"/>
          <w:sz w:val="21"/>
          <w:szCs w:val="21"/>
        </w:rPr>
        <w:t>12</w:t>
      </w:r>
      <w:r w:rsidRPr="00BC442E">
        <w:rPr>
          <w:rFonts w:ascii="Arial" w:eastAsia="宋体" w:hAnsi="Arial" w:cs="Arial"/>
          <w:color w:val="404040"/>
          <w:sz w:val="21"/>
          <w:szCs w:val="21"/>
        </w:rPr>
        <w:t>月</w:t>
      </w:r>
      <w:r w:rsidRPr="00BC442E">
        <w:rPr>
          <w:rFonts w:ascii="Arial" w:eastAsia="宋体" w:hAnsi="Arial" w:cs="Arial"/>
          <w:color w:val="404040"/>
          <w:sz w:val="21"/>
          <w:szCs w:val="21"/>
        </w:rPr>
        <w:t>24</w:t>
      </w:r>
      <w:r w:rsidRPr="00BC442E">
        <w:rPr>
          <w:rFonts w:ascii="Arial" w:eastAsia="宋体" w:hAnsi="Arial" w:cs="Arial"/>
          <w:color w:val="404040"/>
          <w:sz w:val="21"/>
          <w:szCs w:val="21"/>
        </w:rPr>
        <w:t>日</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第十三届全国人民代表大会</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常务委员会第三十二次会议通过）</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目录</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第一章</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总则</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第二章</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预防和治理</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第三章</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案件办理</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第四章</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涉案财产认定和处置</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第五章</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国家工作人员涉有组织犯罪的处理</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第六章</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国际合作</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第七章</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保障措施</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第八章</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法律责任</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lastRenderedPageBreak/>
        <w:t>第九章</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附则</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第一章</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总则</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第一条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为了预防和惩治有组织犯罪，加强和规范反有组织犯罪工作，维护国家安全、社会秩序、经济秩序，保护公民和组织的合法权益，根据宪法，制定本法。</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第二条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本法所称有组织犯罪，是指《中华人民共和国刑法》第二百九十四条规定的组织、领导、参加黑社会性质组织犯罪，以及黑社会性质组织、恶势力组织实施的犯罪。</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本法所称恶势力组织，是指经常纠集在一起，以暴力、威胁或者其他手段，在一定区域或者行业领域内多次实施违法犯罪活动，为非作恶，欺压群众，扰乱社会秩序、经济秩序，造成较为恶劣的社会影响，但尚未形成黑社会性质组织的犯罪组织。</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境外的黑社会组织到中华人民共和国境内发展组织成员、实施犯罪，以及在境外对中华人民共和国国家或者公民犯罪的，适用本法。</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第三条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反有组织犯罪工作应当坚持总体国家安全观，综合运用法律、经济、科技、文化、教育等手段，建立健全反有组织犯罪工作机制和有组织犯罪预防治理体系。</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第四条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反有组织犯罪工作应当坚持专门工作与群众路线相结合，坚持专项治理与系统治理相结合，坚持与反腐败相结合，坚持与加强基层组织建设相结合，惩防并举、标本兼治。</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第五条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反有组织犯罪工作应当依法进行，尊重和保障人权，维护公民和组织的合法权益。</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第六条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监察机关、人民法院、人民检察院、公安机关、司法行政机关以及其他有关国家机关，应当根据分工，互相配合，互相制约，依法做好反有组织犯罪工作。</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有关部门应当动员、依靠村民委员会、居民委员会、企业事业单位、社会组织，共同开展反有组织犯罪工作。</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第七条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任何单位和个人都有协助、配合有关部门开展反有组织犯罪工作的义务。</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国家依法对协助、配合反有组织犯罪工作的单位和个人给予保护。</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第八条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国家鼓励单位和个人举报有组织犯罪。</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lastRenderedPageBreak/>
        <w:t>对举报有组织犯罪或者在反有组织犯罪工作中作出突出贡献的单位和个人，按照国家有关规定给予表彰、奖励。</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第二章</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预防和治理</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第九条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各级人民政府和有关部门应当依法组织开展有组织犯罪预防和治理工作，将有组织犯罪预防和治理工作纳入考评体系。</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村民委员会、居民委员会应当协助人民政府以及有关部门开展有组织犯罪预防和治理工作。</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第十条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承担有组织犯罪预防和治理职责的部门应当开展反有组织犯罪宣传教育，增强公民的反有组织犯罪意识和能力。</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监察机关、人民法院、人民检察院、公安机关、司法行政机关应当通过普法宣传、以案释法等方式，开展反有组织犯罪宣传教育。</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新闻、广播、电视、文化、互联网信息服务等单位，应当有针对性地面向社会开展反有组织犯罪宣传教育。</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第十一条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教育行政部门、学校应当会同有关部门建立防范有组织犯罪侵害校园工作机制，加强反有组织犯罪宣传教育，增强学生防范有组织犯罪的意识，教育引导学生自觉抵制有组织犯罪，防范有组织犯罪的侵害。</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学校发现有组织犯罪侵害学生人身、财产安全，妨害校园及周边秩序的，有组织犯罪组织在学生中发展成员的，或者学生参加有组织犯罪活动的，应当及时制止，采取防范措施，并向公安机关和教育行政部门报告。</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第十二条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民政部门应当会同监察机关、公安机关等有关部门，对村民委员会、居民委员会成员候选人资格进行审查，发现因实施有组织犯罪受过刑事处罚的，应当依照有关规定及时作出处理；发现有组织犯罪线索的，应当及时向公安机关报告。</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第十三条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市场监管、金融监管、自然资源、交通运输等行业主管部门应当会同公安机关，建立健全行业有组织犯罪预防和治理长效机制，对相关行业领域内有组织犯罪情况进行监测分析，对有组织犯罪易发的行业领域加强监督管理。</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第十四条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监察机关、人民法院、人民检察院、公安机关在办理案件中发现行业主管部门有组织犯罪预防和治理工作存在问题的，可以书面向相关行业主管部门提出意见建议。相关行业主管部门应当及时处理并书面反馈。</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lastRenderedPageBreak/>
        <w:t>第十五条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公安机关可以会同有关部门根据本地有组织犯罪情况，确定预防和治理的重点区域、行业领域或者场所。</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重点区域、行业领域或者场所的管理单位应当采取有效措施，加强管理，并及时将工作情况向公安机关反馈。</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第十六条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电信业务经营者、互联网服务提供者应当依法履行网络信息安全管理义务，采取安全技术防范措施，防止含有宣扬、诱导有组织犯罪内容的信息传播；发现含有宣扬、诱导有组织犯罪内容的信息的，应当立即停止传输，采取消除等处置措施，保存相关记录，并向公安机关或者有关部门报告，依法为公安机关侦查有组织犯罪提供技术支持和协助。</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网信、电信、公安等主管部门对含有宣扬、诱导有组织犯罪内容的信息，应当按照职责分工，及时责令有关单位停止传输、采取消除等处置措施，或者下架相关应用、关闭相关网站、关停相关服务。有关单位应当立即执行，并保存相关记录，协助调查。对互联网上来源于境外的上述信息，电信主管部门应当采取技术措施，及时阻断传播。</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第十七条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国务院反洗钱行政主管部门、国务院其他有关部门、机构应当督促金融机构和特定非金融机构履行反洗钱义务。发现与有组织犯罪有关的可疑交易活动的，有关主管部门可以依法进行调查，经调查不能排除洗钱嫌疑的，应当及时向公安机关报案。</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第十八条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监狱、看守所、社区矫正机构对有组织犯罪的罪犯，应当采取有针对性的监管、教育、矫正措施。</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有组织犯罪的罪犯刑满释放后，司法行政机关应当会同有关部门落实安置帮教等必要措施，促进其顺利融入社会。</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第十九条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对因组织、领导黑社会性质组织被判处刑罚的人员，设区的市级以上公安机关可以决定其自刑罚执行完毕之日起，按照国家有关规定向公安机关报告个人财产及日常活动。报告期限不超过五年。</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第二十条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曾被判处刑罚的黑社会性质组织的组织者、领导者或者恶势力组织的首要分子开办企业或者在企业中担任高级管理人员的，相关行业主管部门应当依法审查，对其经营活动加强监督管理。</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第二十一条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移民管理、海关、海警等部门应当会同公安机关严密防范境外的黑社会组织入境渗透、发展、实施违法犯罪活动。</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出入境证件签发机关、移民管理机构对境外的黑社会组织的人员，有权决定不准其入境、不予签发入境证件或者宣布其入境证件作废。</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lastRenderedPageBreak/>
        <w:t>移民管理、海关、海警等部门发现境外的黑社会组织的人员入境的，应当及时通知公安机关。发现相关人员涉嫌违反我国法律或者发现涉嫌有组织犯罪物品的，应当依法扣留并及时处理。</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第三章</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案件办理</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第二十二条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办理有组织犯罪案件，应当以事实为根据，以法律为准绳，坚持宽严相济。</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对有组织犯罪的组织者、领导者和骨干成员，应当严格掌握取保候审、不起诉、缓刑、减刑、假释和暂予监外执行的适用条件，充分适用剥夺政治权利、没收财产、罚金等刑罚。</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有组织犯罪的犯罪嫌疑人、被告人自愿如实供述自己的罪行，承认指控的犯罪事实，愿意接受处罚的，可以依法从宽处理。</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第二十三条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利用网络实施的犯罪，符合本法第二条规定的，应当认定为有组织犯罪。</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为谋取非法利益或者形成非法影响，有组织地进行滋扰、纠缠、哄闹、聚众造势等，对他人形成心理强制，足以限制人身自由、危及人身财产安全，影响正常社会秩序、经济秩序的，可以认定为有组织犯罪的犯罪手段。</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第二十四条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公安机关应当依法运用现代信息技术，建立有组织犯罪线索收集和研判机制，分级分类进行处置。</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公安机关接到对有组织犯罪的报案、控告、举报后，应当及时开展统计、分析、研判工作，组织核查或者移送有关主管机关依法处理。</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第二十五条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有关国家机关在履行职责时发现有组织犯罪线索，或者接到对有组织犯罪的举报的，应当及时移送公安机关等主管机关依法处理。</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第二十六条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公安机关核查有组织犯罪线索，可以按照国家有关规定采取调查措施。公安机关向有关单位和个人收集、调取相关信息和材料的，有关单位和个人应当如实提供。</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第二十七条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公安机关核查有组织犯罪线索，经县级以上公安机关负责人批准，可以查询嫌疑人员的存款、汇款、债券、股票、基金份额等财产信息。</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公安机关核查黑社会性质组织犯罪线索，发现涉案财产有灭失、转移的紧急风险的，经设区的市级以上公安机关负责人批准，可以对有关涉案财产采取紧急止付或者临时冻结、临</w:t>
      </w:r>
      <w:r w:rsidRPr="00BC442E">
        <w:rPr>
          <w:rFonts w:ascii="Arial" w:eastAsia="宋体" w:hAnsi="Arial" w:cs="Arial"/>
          <w:color w:val="404040"/>
          <w:sz w:val="21"/>
          <w:szCs w:val="21"/>
        </w:rPr>
        <w:lastRenderedPageBreak/>
        <w:t>时扣押的紧急措施，期限不得超过四十八小时。期限届满或者适用紧急措施的情形消失的，应当立即解除紧急措施。</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第二十八条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公安机关核查有组织犯罪线索，发现犯罪事实或者犯罪嫌疑人的，应当依照《中华人民共和国刑事诉讼法》的规定立案侦查。</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第二十九条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公安机关办理有组织犯罪案件，可以依照《中华人民共和国出境入境管理法》的规定，决定对犯罪嫌疑人采取限制出境措施，通知移民管理机构执行。</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第三十条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对有组织犯罪案件的犯罪嫌疑人、被告人，根据办理案件和维护监管秩序的需要，可以采取异地羁押、分别羁押或者单独羁押等措施。采取异地羁押措施的，应当依法通知犯罪嫌疑人、被告人的家属和辩护人。</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第三十一条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公安机关在立案后，根据侦查犯罪的需要，依照《中华人民共和国刑事诉讼法》的规定，可以采取技术侦查措施、实施控制下交付或者由有关人员隐匿身份进行侦查。</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第三十二条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犯罪嫌疑人、被告人检举、揭发重大犯罪的其他共同犯罪人或者提供侦破重大案件的重要线索或者证据，同案处理可能导致其本人或者近亲属有人身危险的，可以分案处理。</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第三十三条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犯罪嫌疑人、被告人积极配合有组织犯罪案件的侦查、起诉、审判等工作，有下列情形之一的，可以依法从宽处罚，但对有组织犯罪的组织者、领导者应当严格适用：</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（一）为查明犯罪组织的组织结构及其组织者、领导者、首要分子的地位、作用提供重要线索或者证据的；</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（二）为查明犯罪组织实施的重大犯罪提供重要线索或者证据的；</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（三）为查处国家工作人员涉有组织犯罪提供重要线索或者证据的；</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（四）协助追缴、没收尚未掌握的赃款赃物的；</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（五）其他为查办有组织犯罪案件提供重要线索或者证据的情形。</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对参加有组织犯罪组织的犯罪嫌疑人、被告人不起诉或者免予刑事处罚的，可以根据案件的不同情况，依法予以训诫、责令具结悔过、赔礼道歉、赔偿损失，或者由主管部门予以行政处罚或者处分。</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lastRenderedPageBreak/>
        <w:t>第三十四条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对黑社会性质组织的组织者、领导者，应当依法并处没收财产。对其他组织成员，根据其在犯罪组织中的地位、作用以及所参与违法犯罪活动的次数、性质、违法所得数额、造成的损失等，可以依法并处罚金或者没收财产。</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第三十五条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对有组织犯罪的罪犯，执行机关应当依法从严管理。</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黑社会性质组织的组织者、领导者或者恶势力组织的首要分子被判处十年以上有期徒刑、无期徒刑、死刑缓期二年执行的，应当跨省、自治区、直辖市异地执行刑罚。</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第三十六条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对被判处十年以上有期徒刑、无期徒刑、死刑缓期二年执行的黑社会性质组织的组织者、领导者或者恶势力组织的首要分子减刑的，执行机关应当依法提出减刑建议，报经省、自治区、直辖市监狱管理机关复核后，提请人民法院裁定。</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对黑社会性质组织的组织者、领导者或者恶势力组织的首要分子假释的，适用前款规定的程序。</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第三十七条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人民法院审理黑社会性质组织犯罪罪犯的减刑、假释案件，应当通知人民检察院、执行机关参加审理，并通知被报请减刑、假释的罪犯参加，听取其意见。</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第三十八条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执行机关提出减刑、假释建议以及人民法院审理减刑、假释案件，应当充分考虑罪犯履行生效裁判中财产性判项、配合处置涉案财产等情况。</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第四章</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涉案财产认定和处置</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第三十九条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办理有组织犯罪案件中发现的可用以证明犯罪嫌疑人、被告人有罪或者无罪的各种财物、文件，应当依法查封、扣押。</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公安机关、人民检察院、人民法院可以依照《中华人民共和国刑事诉讼法》的规定查询、冻结犯罪嫌疑人、被告人的存款、汇款、债券、股票、基金份额等财产。有关单位和个人应当配合。</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第四十条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公安机关、人民检察院、人民法院根据办理有组织犯罪案件的需要，可以全面调查涉嫌有组织犯罪的组织及其成员的财产状况。</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第四十一条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查封、扣押、冻结、处置涉案财物，应当严格依照法定条件和程序进行，依法保护公民和组织的合法财产权益，严格区分违法所得与合法财产、本人财产与其家属的财产，减少对企业正常经营活动的不利影响。不得查封、扣押、冻结与案件无关的财物。经</w:t>
      </w:r>
      <w:r w:rsidRPr="00BC442E">
        <w:rPr>
          <w:rFonts w:ascii="Arial" w:eastAsia="宋体" w:hAnsi="Arial" w:cs="Arial"/>
          <w:color w:val="404040"/>
          <w:sz w:val="21"/>
          <w:szCs w:val="21"/>
        </w:rPr>
        <w:lastRenderedPageBreak/>
        <w:t>查明确实与案件无关的财物，应当在三日以内解除查封、扣押、冻结，予以退还。对被害人的合法财产，应当及时返还。</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查封、扣押、冻结涉案财物，应当为犯罪嫌疑人、被告人及其扶养的家属保留必需的生活费用和物品。</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第四十三条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对下列财产，经县级以上公安机关、人民检察院或者人民法院主要负责人批准，可以依法先行出售、变现或者变卖、拍卖，所得价款由扣押、冻结机关保管，并及时告知犯罪嫌疑人、被告人或者其近亲属：</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（一）易损毁、灭失、变质等不宜长期保存的物品；</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（二）有效期即将届满的汇票、本票、支票等；</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（三）债券、股票、基金份额等财产，经权利人申请，出售不损害国家利益、被害人利益，不影响诉讼正常进行的。</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第四十四条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公安机关、人民检察院应当对涉案财产审查甄别。在移送审查起诉、提起公诉时，应当对涉案财产提出处理意见。</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在审理有组织犯罪案件过程中，应当对与涉案财产的性质、权属有关的事实、证据进行法庭调查、辩论。人民法院应当依法作出判决，对涉案财产作出处理。</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第四十五条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有组织犯罪组织及其成员违法所得的一切财物及其孳息、收益，违禁品和供犯罪所用的本人财物，应当依法予以追缴、没收或者责令退赔。</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依法应当追缴、没收的涉案财产无法找到、灭失或者与其他合法财产混合且不可分割的，可以追缴、没收其他等值财产或者混合财产中的等值部分。</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被告人实施黑社会性质组织犯罪的定罪量刑事实已经查清，有证据证明其在犯罪期间获得的财产高度可能属于黑社会性质组织犯罪的违法所得及其孳息、收益，被告人不能说明财产合法来源的，应当依法予以追缴、没收。</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第四十六条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涉案财产符合下列情形之一的，应当依法予以追缴、没收：</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（一）为支持或者资助有组织犯罪活动而提供给有组织犯罪组织及其成员的财产；</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lastRenderedPageBreak/>
        <w:t>（二）有组织犯罪组织成员的家庭财产中实际用于支持有组织犯罪活动的部分；</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（三）利用有组织犯罪组织及其成员的违法犯罪活动获得的财产及其孳息、收益。</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第四十七条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黑社会性质组织犯罪案件的犯罪嫌疑人、被告人逃匿，在通缉一年后不能到案，或者犯罪嫌疑人、被告人死亡，依照《中华人民共和国刑法》规定应当追缴其违法所得及其他涉案财产的，依照《中华人民共和国刑事诉讼法》有关犯罪嫌疑人、被告人逃匿、死亡案件违法所得的没收程序的规定办理。</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第四十八条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监察机关、公安机关、人民检察院发现与有组织犯罪相关的洗钱以及掩饰、隐瞒犯罪所得、犯罪所得收益等犯罪的，应当依法查处。</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第四十九条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利害关系人对查封、扣押、冻结、处置涉案财物提出异议的，公安机关、人民检察院、人民法院应当及时予以核实，听取其意见，依法作出处理。</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公安机关、人民检察院、人民法院对涉案财物作出处理后，利害关系人对处理不服的，可以提出申诉或者控告。</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第五章</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国家工作人员</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涉有组织犯罪的处理</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第五十条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国家工作人员有下列行为的，应当全面调查，依法作出处理：</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（一）组织、领导、参加有组织犯罪活动的；</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（二）为有组织犯罪组织及其犯罪活动提供帮助的；</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（三）包庇有组织犯罪组织、纵容有组织犯罪活动的；</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（四）在查办有组织犯罪案件工作中失职渎职的；</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（五）利用职权或者职务上的影响干预反有组织犯罪工作的；</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（六）其他涉有组织犯罪的违法犯罪行为。</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lastRenderedPageBreak/>
        <w:t>国家工作人员组织、领导、参加有组织犯罪的，应当依法从重处罚。</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第五十一条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监察机关、人民法院、人民检察院、公安机关、司法行政机关应当加强协作配合，建立线索办理沟通机制，发现国家工作人员涉嫌本法第五十条规定的违法犯罪的线索，应当依法处理或者及时移送主管机关处理。</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任何单位和个人发现国家工作人员与有组织犯罪有关的违法犯罪行为，有权向监察机关、人民检察院、公安机关等部门报案、控告、举报。有关部门接到报案、控告、举报后，应当及时处理。</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第五十二条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依法查办有组织犯罪案件或者依照职责支持、协助查办有组织犯罪案件的国家工作人员，不得有下列行为：</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（一）接到报案、控告、举报不受理，发现犯罪信息、线索隐瞒不报、不如实报告，或者未经批准、授权擅自处置、不移送犯罪线索、涉案材料；</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（二）向违法犯罪人员通风报信，阻碍案件查处；</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（三）违背事实和法律处理案件；</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（四）违反规定查封、扣押、冻结、处置涉案财物；</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（五）其他滥用职权、玩忽职守、徇私舞弊的行为。</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第五十三条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有关机关接到对从事反有组织犯罪工作的执法、司法工作人员的举报后，应当依法处理，防止犯罪嫌疑人、被告人等利用举报干扰办案、打击报复。</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对利用举报等方式歪曲捏造事实，诬告陷害从事反有组织犯罪工作的执法、司法工作人员的，应当依法追究责任；造成不良影响的，应当按照规定及时澄清事实，恢复名誉，消除不良影响。</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第六章</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国际合作</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第五十四条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中华人民共和国根据缔结或者参加的国际条约，或者按照平等互惠原则，与其他国家、地区、国际组织开展反有组织犯罪合作。</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lastRenderedPageBreak/>
        <w:t>第五十五条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国务院有关部门根据国务院授权，代表中国政府与外国政府和有关国际组织开展反有组织犯罪情报信息交流和执法合作。</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国务院公安部门应当加强跨境反有组织犯罪警务合作，推动与有关国家和地区建立警务合作机制。经国务院公安部门批准，边境地区公安机关可以与相邻国家或者地区执法机构建立跨境有组织犯罪情报信息交流和警务合作机制。</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第五十六条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涉及有组织犯罪的刑事司法协助、引渡，依照有关法律的规定办理。</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第五十七条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通过反有组织犯罪国际合作取得的材料可以在行政处罚、刑事诉讼中作为证据使用，但依据条约规定或者我方承诺不作为证据使用的除外。</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第七章</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保障措施</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第五十八条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国家为反有组织犯罪工作提供必要的组织保障、制度保障和物质保障。</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第五十九条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公安机关和有关部门应当依照职责，建立健全反有组织犯罪专业力量，加强人才队伍建设和专业训练，提升反有组织犯罪工作能力。</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第六十条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国务院和县级以上地方各级人民政府应当按照事权划分，将反有组织犯罪工作经费列入本级财政预算。</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第六十一条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因举报、控告和制止有组织犯罪活动，在有组织犯罪案件中作证，本人或者其近亲属的人身安全面临危险的，公安机关、人民检察院、人民法院应当按照有关规定，采取下列一项或者多项保护措施：</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（一）不公开真实姓名、住址和工作单位等个人信息；</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（二）采取不暴露外貌、真实声音等出庭作证措施；</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（三）禁止特定的人接触被保护人员；</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（四）对人身和住宅采取专门性保护措施；</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（五）变更被保护人员的身份，重新安排住所和工作单位；</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lastRenderedPageBreak/>
        <w:t>（六）其他必要的保护措施。</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第六十二条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采取本法第六十一条第三项、第四项规定的保护措施，由公安机关执行。根据本法第六十一条第五项规定，变更被保护人员身份的，由国务院公安部门批准和组织实施。</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公安机关、人民检察院、人民法院依法采取保护措施，有关单位和个人应当配合。</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第六十三条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实施有组织犯罪的人员配合侦查、起诉、审判等工作，对侦破案件或者查明案件事实起到重要作用的，可以参照证人保护的规定执行。</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第六十四条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对办理有组织犯罪案件的执法、司法工作人员及其近亲属，可以采取人身保护、禁止特定的人接触等保护措施。</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第六十五条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对因履行反有组织犯罪工作职责或者协助、配合有关部门开展反有组织犯罪工作导致伤残或者死亡的人员，按照国家有关规定给予相应的待遇。</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第八章</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法律责任</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第六十六条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组织、领导、参加黑社会性质组织，国家机关工作人员包庇、纵容黑社会性质组织，以及黑社会性质组织、恶势力组织实施犯罪的，依法追究刑事责任。</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境外的黑社会组织的人员到中华人民共和国境内发展组织成员、实施犯罪，以及在境外对中华人民共和国国家或者公民犯罪的，依法追究刑事责任。</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第六十七条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发展未成年人参加黑社会性质组织、境外的黑社会组织，教唆、诱骗未成年人实施有组织犯罪，或者实施有组织犯罪侵害未成年人合法权益的，依法从重追究刑事责任。</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第六十八条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对有组织犯罪的罪犯，人民法院可以依照《中华人民共和国刑法》有关从业禁止的规定，禁止其从事相关职业，并通报相关行业主管部门。</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第六十九条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有下列情形之一，尚不构成犯罪的，由公安机关处五日以上十日以下拘留，可以并处一万元以下罚款；情节较重的，处十日以上十五日以下拘留，并处一万元以上三万元以下罚款；有违法所得的，除依法应当返还被害人的以外，应当予以没收：</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（一）参加境外的黑社会组织的；</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（二）积极参加恶势力组织的；</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lastRenderedPageBreak/>
        <w:t>（三）教唆、诱骗他人参加有组织犯罪组织，或者阻止他人退出有组织犯罪组织的；</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（四）为有组织犯罪活动提供资金、场所等支持、协助、便利的；</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（五）阻止他人检举揭发有组织犯罪、提供有组织犯罪证据，或者明知他人有有组织犯罪行为，在司法机关向其调查有关情况、收集有关证据时拒绝提供的。</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教唆、诱骗未成年人参加有组织犯罪组织或者阻止未成年人退出有组织犯罪组织，尚不构成犯罪的，依照前款规定从重处罚。</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第七十条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违反本法第十九条规定，不按照公安机关的决定如实报告个人财产及日常活动的，由公安机关给予警告，并责令改正；拒不改正的，处五日以上十日以下拘留，并处三万元以下罚款。</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第七十一条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金融机构等相关单位未依照本法第二十七条规定协助公安机关采取紧急止付、临时冻结措施的，由公安机关责令改正；拒不改正的，由公安机关处五万元以上二十万元以下罚款，并对直接负责的主管人员和其他直接责任人员处五万元以下罚款；情节严重的，公安机关可以建议有关主管部门对直接负责的主管人员和其他直接责任人员依法给予处分。</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第七十二条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电信业务经营者、互联网服务提供者有下列情形之一的，由有关主管部门责令改正；拒不改正或者情节严重的，由有关主管部门依照《中华人民共和国网络安全法》的有关规定给予处罚：</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（一）拒不为侦查有组织犯罪提供技术支持和协助的；</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（二）不按照主管部门的要求对含有宣扬、诱导有组织犯罪内容的信息停止传输、采取消除等处置措施、保存相关记录的。</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第七十三条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有关国家机关、行业主管部门拒不履行或者拖延履行反有组织犯罪法定职责，或者拒不配合反有组织犯罪调查取证，或者在其他工作中滥用反有组织犯罪工作有关措施的，由其上级机关责令改正；情节严重的，对负有责任的领导人员和直接责任人员，依法给予处分；构成犯罪的，依法追究刑事责任。</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第七十四条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有关部门和单位、个人应当对在反有组织犯罪工作过程中知悉的国家秘密、商业秘密和个人隐私予以保密。违反规定泄露国家秘密、商业秘密和个人隐私的，依法追究法律责任。</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lastRenderedPageBreak/>
        <w:t>第七十五条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国家工作人员有本法第五十条、第五十二条规定的行为，构成犯罪的，依法追究刑事责任；尚不构成犯罪的，依法给予处分。</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第七十六条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有关单位和个人对依照本法作出的行政处罚和行政强制措施决定不服的，可以依法申请行政复议或者提起行政诉讼。</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第九章</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附则</w:t>
      </w:r>
    </w:p>
    <w:p w:rsidR="00BC442E" w:rsidRPr="00BC442E" w:rsidRDefault="00BC442E" w:rsidP="00BC442E">
      <w:pPr>
        <w:adjustRightInd/>
        <w:snapToGrid/>
        <w:spacing w:before="510" w:after="510" w:line="300" w:lineRule="exact"/>
        <w:jc w:val="both"/>
        <w:rPr>
          <w:rFonts w:ascii="Arial" w:eastAsia="宋体" w:hAnsi="Arial" w:cs="Arial"/>
          <w:color w:val="404040"/>
          <w:sz w:val="21"/>
          <w:szCs w:val="21"/>
        </w:rPr>
      </w:pPr>
      <w:r w:rsidRPr="00BC442E">
        <w:rPr>
          <w:rFonts w:ascii="Arial" w:eastAsia="宋体" w:hAnsi="Arial" w:cs="Arial"/>
          <w:color w:val="404040"/>
          <w:sz w:val="21"/>
          <w:szCs w:val="21"/>
        </w:rPr>
        <w:t>第七十七条</w:t>
      </w:r>
      <w:r w:rsidRPr="00BC442E">
        <w:rPr>
          <w:rFonts w:ascii="Arial" w:eastAsia="宋体" w:hAnsi="Arial" w:cs="Arial"/>
          <w:color w:val="404040"/>
          <w:sz w:val="21"/>
          <w:szCs w:val="21"/>
        </w:rPr>
        <w:t xml:space="preserve"> </w:t>
      </w:r>
      <w:r w:rsidRPr="00BC442E">
        <w:rPr>
          <w:rFonts w:ascii="Arial" w:eastAsia="宋体" w:hAnsi="Arial" w:cs="Arial"/>
          <w:color w:val="404040"/>
          <w:sz w:val="21"/>
          <w:szCs w:val="21"/>
        </w:rPr>
        <w:t>本法自</w:t>
      </w:r>
      <w:r w:rsidRPr="00BC442E">
        <w:rPr>
          <w:rFonts w:ascii="Arial" w:eastAsia="宋体" w:hAnsi="Arial" w:cs="Arial"/>
          <w:color w:val="404040"/>
          <w:sz w:val="21"/>
          <w:szCs w:val="21"/>
        </w:rPr>
        <w:t>2022</w:t>
      </w:r>
      <w:r w:rsidRPr="00BC442E">
        <w:rPr>
          <w:rFonts w:ascii="Arial" w:eastAsia="宋体" w:hAnsi="Arial" w:cs="Arial"/>
          <w:color w:val="404040"/>
          <w:sz w:val="21"/>
          <w:szCs w:val="21"/>
        </w:rPr>
        <w:t>年</w:t>
      </w:r>
      <w:r w:rsidRPr="00BC442E">
        <w:rPr>
          <w:rFonts w:ascii="Arial" w:eastAsia="宋体" w:hAnsi="Arial" w:cs="Arial"/>
          <w:color w:val="404040"/>
          <w:sz w:val="21"/>
          <w:szCs w:val="21"/>
        </w:rPr>
        <w:t>5</w:t>
      </w:r>
      <w:r w:rsidRPr="00BC442E">
        <w:rPr>
          <w:rFonts w:ascii="Arial" w:eastAsia="宋体" w:hAnsi="Arial" w:cs="Arial"/>
          <w:color w:val="404040"/>
          <w:sz w:val="21"/>
          <w:szCs w:val="21"/>
        </w:rPr>
        <w:t>月</w:t>
      </w:r>
      <w:r w:rsidRPr="00BC442E">
        <w:rPr>
          <w:rFonts w:ascii="Arial" w:eastAsia="宋体" w:hAnsi="Arial" w:cs="Arial"/>
          <w:color w:val="404040"/>
          <w:sz w:val="21"/>
          <w:szCs w:val="21"/>
        </w:rPr>
        <w:t>1</w:t>
      </w:r>
      <w:r w:rsidRPr="00BC442E">
        <w:rPr>
          <w:rFonts w:ascii="Arial" w:eastAsia="宋体" w:hAnsi="Arial" w:cs="Arial"/>
          <w:color w:val="404040"/>
          <w:sz w:val="21"/>
          <w:szCs w:val="21"/>
        </w:rPr>
        <w:t>日起施行。</w:t>
      </w:r>
    </w:p>
    <w:p w:rsidR="004358AB" w:rsidRDefault="004358AB" w:rsidP="00D31D50">
      <w:pPr>
        <w:spacing w:line="220" w:lineRule="atLeast"/>
      </w:pPr>
    </w:p>
    <w:sectPr w:rsidR="004358AB" w:rsidSect="004358AB">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720"/>
  <w:characterSpacingControl w:val="doNotCompress"/>
  <w:compat>
    <w:useFELayout/>
  </w:compat>
  <w:rsids>
    <w:rsidRoot w:val="00D31D50"/>
    <w:rsid w:val="00323B43"/>
    <w:rsid w:val="003D37D8"/>
    <w:rsid w:val="00426133"/>
    <w:rsid w:val="004358AB"/>
    <w:rsid w:val="006257E4"/>
    <w:rsid w:val="008B7726"/>
    <w:rsid w:val="00BC442E"/>
    <w:rsid w:val="00D31D5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B43"/>
    <w:pPr>
      <w:adjustRightInd w:val="0"/>
      <w:snapToGrid w:val="0"/>
      <w:spacing w:line="240" w:lineRule="auto"/>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BC442E"/>
    <w:rPr>
      <w:b/>
      <w:bCs/>
    </w:rPr>
  </w:style>
</w:styles>
</file>

<file path=word/webSettings.xml><?xml version="1.0" encoding="utf-8"?>
<w:webSettings xmlns:r="http://schemas.openxmlformats.org/officeDocument/2006/relationships" xmlns:w="http://schemas.openxmlformats.org/wordprocessingml/2006/main">
  <w:divs>
    <w:div w:id="1628589351">
      <w:bodyDiv w:val="1"/>
      <w:marLeft w:val="0"/>
      <w:marRight w:val="0"/>
      <w:marTop w:val="0"/>
      <w:marBottom w:val="0"/>
      <w:divBdr>
        <w:top w:val="none" w:sz="0" w:space="0" w:color="auto"/>
        <w:left w:val="none" w:sz="0" w:space="0" w:color="auto"/>
        <w:bottom w:val="none" w:sz="0" w:space="0" w:color="auto"/>
        <w:right w:val="none" w:sz="0" w:space="0" w:color="auto"/>
      </w:divBdr>
      <w:divsChild>
        <w:div w:id="684284900">
          <w:marLeft w:val="0"/>
          <w:marRight w:val="0"/>
          <w:marTop w:val="0"/>
          <w:marBottom w:val="0"/>
          <w:divBdr>
            <w:top w:val="none" w:sz="0" w:space="0" w:color="auto"/>
            <w:left w:val="none" w:sz="0" w:space="0" w:color="auto"/>
            <w:bottom w:val="none" w:sz="0" w:space="0" w:color="auto"/>
            <w:right w:val="none" w:sz="0" w:space="0" w:color="auto"/>
          </w:divBdr>
          <w:divsChild>
            <w:div w:id="1845392683">
              <w:marLeft w:val="0"/>
              <w:marRight w:val="0"/>
              <w:marTop w:val="0"/>
              <w:marBottom w:val="0"/>
              <w:divBdr>
                <w:top w:val="none" w:sz="0" w:space="0" w:color="auto"/>
                <w:left w:val="none" w:sz="0" w:space="0" w:color="auto"/>
                <w:bottom w:val="none" w:sz="0" w:space="0" w:color="auto"/>
                <w:right w:val="none" w:sz="0" w:space="0" w:color="auto"/>
              </w:divBdr>
              <w:divsChild>
                <w:div w:id="2103601496">
                  <w:marLeft w:val="0"/>
                  <w:marRight w:val="0"/>
                  <w:marTop w:val="420"/>
                  <w:marBottom w:val="0"/>
                  <w:divBdr>
                    <w:top w:val="single" w:sz="6" w:space="0" w:color="EEEEEE"/>
                    <w:left w:val="none" w:sz="0" w:space="0" w:color="auto"/>
                    <w:bottom w:val="none" w:sz="0" w:space="0" w:color="auto"/>
                    <w:right w:val="none" w:sz="0" w:space="0" w:color="auto"/>
                  </w:divBdr>
                  <w:divsChild>
                    <w:div w:id="2003772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1430</Words>
  <Characters>8154</Characters>
  <Application>Microsoft Office Word</Application>
  <DocSecurity>0</DocSecurity>
  <Lines>67</Lines>
  <Paragraphs>19</Paragraphs>
  <ScaleCrop>false</ScaleCrop>
  <Company/>
  <LinksUpToDate>false</LinksUpToDate>
  <CharactersWithSpaces>9565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cp:revision>
  <dcterms:created xsi:type="dcterms:W3CDTF">2008-09-11T17:20:00Z</dcterms:created>
  <dcterms:modified xsi:type="dcterms:W3CDTF">2022-01-12T02:17:00Z</dcterms:modified>
</cp:coreProperties>
</file>