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 w:cs="Times New Roman"/>
          <w:b/>
          <w:bCs/>
          <w:color w:val="000000"/>
          <w:lang w:val="en-US" w:eastAsia="zh-CN"/>
        </w:rPr>
      </w:pPr>
      <w:bookmarkStart w:id="0" w:name="_GoBack"/>
      <w:bookmarkEnd w:id="0"/>
      <w:r>
        <w:rPr>
          <w:rFonts w:hint="eastAsia" w:ascii="黑体" w:eastAsia="黑体" w:cs="Times New Roman"/>
          <w:b/>
          <w:bCs/>
          <w:color w:val="000000"/>
          <w:lang w:val="en-US" w:eastAsia="zh-CN"/>
        </w:rPr>
        <w:t xml:space="preserve"> </w:t>
      </w:r>
    </w:p>
    <w:p>
      <w:pPr>
        <w:jc w:val="center"/>
        <w:rPr>
          <w:rFonts w:ascii="黑体" w:eastAsia="黑体" w:cs="Times New Roman"/>
          <w:b/>
          <w:bCs/>
          <w:color w:val="000000"/>
        </w:rPr>
      </w:pPr>
    </w:p>
    <w:p>
      <w:pPr>
        <w:jc w:val="center"/>
        <w:rPr>
          <w:rFonts w:ascii="黑体" w:eastAsia="黑体" w:cs="Times New Roman"/>
          <w:b/>
          <w:bCs/>
          <w:color w:val="000000"/>
        </w:rPr>
      </w:pPr>
    </w:p>
    <w:p>
      <w:pPr>
        <w:spacing w:line="440" w:lineRule="exact"/>
        <w:jc w:val="center"/>
        <w:rPr>
          <w:rFonts w:ascii="黑体" w:eastAsia="黑体" w:cs="Times New Roman"/>
          <w:b/>
          <w:bCs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ascii="黑体" w:eastAsia="黑体" w:cs="Times New Roman"/>
          <w:b/>
          <w:bCs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ascii="黑体" w:eastAsia="黑体" w:cs="Times New Roman"/>
          <w:b/>
          <w:bCs/>
          <w:color w:val="0000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381000</wp:posOffset>
                </wp:positionV>
                <wp:extent cx="914400" cy="693420"/>
                <wp:effectExtent l="4445" t="4445" r="14605" b="6985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351pt;margin-top:30pt;height:54.6pt;width:72pt;z-index:251659264;mso-width-relative:page;mso-height-relative:page;" fillcolor="#FFFFFF" filled="t" stroked="t" coordsize="21600,21600" o:gfxdata="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Iy15V2AAAAAoBAAAPAAAAAAAAAAEAIAAAACIAAABkcnMvZG93bnJldi54bWxQ&#10;SwECFAAUAAAACACHTuJAAagfVvcBAAA0BAAADgAAAAAAAAABACAAAAAnAQAAZHJzL2Uyb0RvYy54&#10;bWxQSwUGAAAAAAYABgBZAQAAkAUAAAAA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900" w:lineRule="exact"/>
        <w:jc w:val="both"/>
        <w:rPr>
          <w:rFonts w:ascii="黑体" w:eastAsia="黑体" w:cs="Times New Roman"/>
          <w:color w:val="000000"/>
          <w:sz w:val="36"/>
          <w:szCs w:val="36"/>
        </w:rPr>
      </w:pPr>
    </w:p>
    <w:p>
      <w:pPr>
        <w:widowControl/>
        <w:spacing w:line="900" w:lineRule="exact"/>
        <w:jc w:val="center"/>
        <w:rPr>
          <w:rFonts w:ascii="仿宋_GB2312" w:eastAsia="仿宋_GB2312" w:cs="Times New Roman"/>
          <w:b/>
          <w:bCs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  <w:lang w:eastAsia="zh-CN"/>
        </w:rPr>
        <w:t>涞</w:t>
      </w: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</w:rPr>
        <w:t>民</w:t>
      </w: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  <w:lang w:eastAsia="zh-CN"/>
        </w:rPr>
        <w:t>字</w:t>
      </w: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</w:rPr>
        <w:t>〔</w:t>
      </w:r>
      <w:r>
        <w:rPr>
          <w:rFonts w:ascii="仿宋_GB2312" w:eastAsia="仿宋_GB2312" w:cs="仿宋_GB2312"/>
          <w:b/>
          <w:bCs/>
          <w:color w:val="000000"/>
          <w:sz w:val="32"/>
          <w:szCs w:val="32"/>
        </w:rPr>
        <w:t>20</w:t>
      </w: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</w:rPr>
        <w:t>2</w:t>
      </w: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</w:rPr>
        <w:t>〕</w:t>
      </w: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cs="仿宋_GB2312"/>
          <w:b/>
          <w:bCs/>
          <w:color w:val="000000"/>
          <w:sz w:val="32"/>
          <w:szCs w:val="32"/>
        </w:rPr>
        <w:t>号</w:t>
      </w:r>
    </w:p>
    <w:p>
      <w:pPr>
        <w:spacing w:line="580" w:lineRule="exact"/>
        <w:jc w:val="both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</w:p>
    <w:p>
      <w:pPr>
        <w:spacing w:line="620" w:lineRule="exact"/>
        <w:jc w:val="center"/>
        <w:rPr>
          <w:rFonts w:hint="eastAsia" w:ascii="宋体" w:hAnsi="宋体" w:eastAsia="宋体"/>
          <w:b/>
          <w:sz w:val="44"/>
          <w:szCs w:val="44"/>
          <w:lang w:eastAsia="zh-CN"/>
        </w:rPr>
      </w:pPr>
      <w:r>
        <w:rPr>
          <w:rFonts w:hint="eastAsia" w:ascii="宋体" w:hAnsi="宋体" w:eastAsia="宋体"/>
          <w:b/>
          <w:sz w:val="44"/>
          <w:szCs w:val="44"/>
        </w:rPr>
        <w:t>涞源县</w:t>
      </w:r>
      <w:r>
        <w:rPr>
          <w:rFonts w:hint="eastAsia" w:ascii="宋体" w:hAnsi="宋体" w:eastAsia="宋体"/>
          <w:b/>
          <w:sz w:val="44"/>
          <w:szCs w:val="44"/>
          <w:lang w:eastAsia="zh-CN"/>
        </w:rPr>
        <w:t>民政局</w:t>
      </w:r>
    </w:p>
    <w:p>
      <w:pPr>
        <w:spacing w:line="620" w:lineRule="exact"/>
        <w:jc w:val="center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“双随机、一公开”监管工作实施方案</w:t>
      </w:r>
    </w:p>
    <w:p>
      <w:pPr>
        <w:spacing w:line="620" w:lineRule="exact"/>
        <w:rPr>
          <w:rFonts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涞源县</w:t>
      </w: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2023年度全县“双随机、一公开”监管工作实施方案</w:t>
      </w:r>
      <w:r>
        <w:rPr>
          <w:rFonts w:hint="eastAsia" w:ascii="仿宋_GB2312" w:hAnsi="仿宋_GB2312" w:eastAsia="仿宋_GB2312" w:cs="仿宋_GB2312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文件要求</w:t>
      </w:r>
      <w:r>
        <w:rPr>
          <w:rFonts w:hint="eastAsia" w:ascii="仿宋_GB2312" w:hAnsi="仿宋_GB2312" w:eastAsia="仿宋_GB2312" w:cs="仿宋_GB2312"/>
          <w:sz w:val="32"/>
          <w:szCs w:val="32"/>
        </w:rPr>
        <w:t>，结合我局实际，制定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sz w:val="32"/>
          <w:szCs w:val="32"/>
        </w:rPr>
        <w:t>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一、指导思想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认真贯彻落实党的十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九</w:t>
      </w:r>
      <w:r>
        <w:rPr>
          <w:rFonts w:hint="eastAsia" w:ascii="仿宋_GB2312" w:hAnsi="仿宋_GB2312" w:eastAsia="仿宋_GB2312" w:cs="仿宋_GB2312"/>
          <w:sz w:val="32"/>
          <w:szCs w:val="32"/>
        </w:rPr>
        <w:t>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会议</w:t>
      </w:r>
      <w:r>
        <w:rPr>
          <w:rFonts w:hint="eastAsia" w:ascii="仿宋_GB2312" w:hAnsi="仿宋_GB2312" w:eastAsia="仿宋_GB2312" w:cs="仿宋_GB2312"/>
          <w:sz w:val="32"/>
          <w:szCs w:val="32"/>
        </w:rPr>
        <w:t>精神，按照国务院、省、市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、县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简政放权、放管结合有关文件的要求，大力推广“随机抽取检查对象、随机选派检查人员”的“双随机”抽查机制，严格限制部门自由裁量权，创新管理方式，着力解决群众反映强烈的突出问题，提高行政效能，激发市场活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二、目标任务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(一)规范监管。严格依据有关法律、法规和规章，规范事中事后监管，确保“两随机”抽查依法有序进行。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(二)公正高效。坚持公正、公平、文明执法，提升监管效能，减轻市场主体负担，优化市场环境。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(三)公开透明。公开“两随机、一公开”各项规定和工作制度，实行阳光执法，接受社会监督。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(四)协同推进。探索跨部门、跨行业联合随机抽查，建立健全纵向联通、横向协调的监管体系。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三、实施步骤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(一)建立健全“两库一单”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1.建立检查对象名录库。民政局以行政审批大厅提供的信息数据为基础，立足职能建立本部门的检查对象名录库。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2.建立完善执法检查人员名录库。民政局以政府法制办行政执法人员数据库为基础，建立检查人员名录库。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3.建立“双随机”抽查事项清单。我局要依照法律法规的规定，结合日常工作的管理需要，制定“双随机”抽查事项清单，明确抽查依据、抽查主体、抽查内容和抽查方式等，并及时向社会公布。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4.实行动态管理。对检查对象名录库、执法检查人员名录库及“双随机”抽查事项清单实行动态管理，及时录入、更新相关信息，确保监管对象齐全、监管人员合格、监管事项合法。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(二)规范执法检查流程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1.积极探索开展联合检查。整合部门检查事项，防止检查过多和执法扰民。要结合实际，协调组织相关部门开展联合抽查。要按照“双随机”要求，制定并实施联合抽查计划，提高执法效能。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2.合理选择检查方式。抽查可以采用实地检查、书面检查和网络监测等方式，注重运用云计算和大数据等信息化手段。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3.如实记录检查情况。依法对被抽查市场主体实施检查，要如实填写检查记录表，做到全程记录，并逐步推广运用电子化手段，实现责任可追溯。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4.依法处理违法违规行为。对抽查发现的违法违规行为，我局要依法依规处理，形成有效震慑，增强市场主体守法的自觉性。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5.及时公示抽查及处理结果。监管部门要对抽查结果的合法性、准确性和及时性负责，将抽查情况及查处结果录入在被抽查市场主体的公示信息中，向社会公示，接受社会监督。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(一)加强组织领导。成立分管领导为组长的领导小组，加强随机抽查监管工作的统筹协调，建立健全相应工作机制，加强跨部门协调配合，不断提高检查水平，切实把“双随机”抽查监管落到实处。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(二)严格落实责任。要进一步增强责任意识，大力推广“双随机”抽查，公平、有效、透明地进行事中事后监管，切实履行法定监管职责。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(三)严格抽查纪律。我局在抽查时不得谋取其他利益，对抽查监管工作中失职渎职和违纪的，要依法依纪严肃处理。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(四)加强宣传培训。“双随机”抽查是事中事后监管方式的探索和创新，我们要积极与上级部门沟通，加大宣传力度，加强执法人员培训，转变执法理念，探索完善“双随机”抽查监管办法，不断提高执法能力。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涞源县民政局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righ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2023年4月18日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OGRiY2NhMzZhNmM4MjQxYzE0NTAwOTA2OTlhYmMifQ=="/>
  </w:docVars>
  <w:rsids>
    <w:rsidRoot w:val="125F4954"/>
    <w:rsid w:val="07BE007D"/>
    <w:rsid w:val="089A4646"/>
    <w:rsid w:val="0B1306DF"/>
    <w:rsid w:val="0E6F2156"/>
    <w:rsid w:val="125F4954"/>
    <w:rsid w:val="14033F38"/>
    <w:rsid w:val="448542FC"/>
    <w:rsid w:val="44937BC0"/>
    <w:rsid w:val="457854B3"/>
    <w:rsid w:val="482C6361"/>
    <w:rsid w:val="64E2007C"/>
    <w:rsid w:val="675B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1337</Words>
  <Characters>1356</Characters>
  <Lines>0</Lines>
  <Paragraphs>0</Paragraphs>
  <TotalTime>11</TotalTime>
  <ScaleCrop>false</ScaleCrop>
  <LinksUpToDate>false</LinksUpToDate>
  <CharactersWithSpaces>1358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2022-03-09T06:33:00Z</dcterms:created>
  <dc:creator>lenovo</dc:creator>
  <cp:lastModifiedBy>Administrator</cp:lastModifiedBy>
  <cp:lastPrinted>2023-04-21T01:54:00Z</cp:lastPrinted>
  <dcterms:modified xsi:type="dcterms:W3CDTF">2023-05-16T08:46:01Z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5CA4273116994800B51AFB0EB561FC7E_13</vt:lpwstr>
  </property>
</Properties>
</file>