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pStyle w:val="3"/>
        <w:rPr>
          <w:sz w:val="15"/>
          <w:szCs w:val="15"/>
        </w:rPr>
      </w:pPr>
    </w:p>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pStyle w:val="3"/>
        <w:ind w:left="0" w:leftChars="0" w:firstLine="0" w:firstLineChars="0"/>
      </w:pPr>
    </w:p>
    <w:p>
      <w:pPr>
        <w:keepNext w:val="0"/>
        <w:keepLines w:val="0"/>
        <w:pageBreakBefore w:val="0"/>
        <w:widowControl w:val="0"/>
        <w:kinsoku/>
        <w:wordWrap/>
        <w:overflowPunct/>
        <w:topLinePunct w:val="0"/>
        <w:bidi w:val="0"/>
        <w:adjustRightInd/>
        <w:snapToGrid/>
        <w:spacing w:line="240" w:lineRule="auto"/>
        <w:ind w:firstLine="640"/>
        <w:jc w:val="both"/>
        <w:textAlignment w:val="auto"/>
        <w:rPr>
          <w:rFonts w:ascii="仿宋_GB2312" w:hAnsi="仿宋_GB2312" w:eastAsia="仿宋_GB2312" w:cs="仿宋_GB2312"/>
          <w:sz w:val="32"/>
          <w:szCs w:val="40"/>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cs="仿宋_GB2312"/>
          <w:sz w:val="32"/>
          <w:szCs w:val="40"/>
          <w:lang w:val="en-US" w:eastAsia="zh-CN"/>
        </w:rPr>
      </w:pPr>
      <w:r>
        <w:rPr>
          <w:rFonts w:hint="eastAsia" w:ascii="仿宋_GB2312" w:hAnsi="仿宋_GB2312" w:eastAsia="仿宋_GB2312" w:cs="仿宋_GB2312"/>
          <w:sz w:val="32"/>
          <w:szCs w:val="40"/>
        </w:rPr>
        <w:t>涞</w:t>
      </w:r>
      <w:r>
        <w:rPr>
          <w:rFonts w:hint="eastAsia" w:cs="仿宋_GB2312"/>
          <w:sz w:val="32"/>
          <w:szCs w:val="40"/>
          <w:lang w:eastAsia="zh-CN"/>
        </w:rPr>
        <w:t>巩固拓展</w:t>
      </w:r>
      <w:r>
        <w:rPr>
          <w:rFonts w:hint="eastAsia" w:ascii="仿宋_GB2312" w:hAnsi="仿宋_GB2312" w:eastAsia="仿宋_GB2312" w:cs="仿宋_GB2312"/>
          <w:sz w:val="32"/>
          <w:szCs w:val="32"/>
        </w:rPr>
        <w:t>〔202</w:t>
      </w:r>
      <w:r>
        <w:rPr>
          <w:rFonts w:hint="eastAsia" w:cs="仿宋_GB2312"/>
          <w:sz w:val="32"/>
          <w:szCs w:val="32"/>
          <w:lang w:val="en-US" w:eastAsia="zh-CN"/>
        </w:rPr>
        <w:t>3</w:t>
      </w:r>
      <w:r>
        <w:rPr>
          <w:rFonts w:hint="eastAsia" w:ascii="仿宋_GB2312" w:hAnsi="仿宋_GB2312" w:eastAsia="仿宋_GB2312" w:cs="仿宋_GB2312"/>
          <w:sz w:val="32"/>
          <w:szCs w:val="32"/>
        </w:rPr>
        <w:t>〕</w:t>
      </w:r>
      <w:r>
        <w:rPr>
          <w:rFonts w:hint="eastAsia" w:cs="仿宋_GB2312"/>
          <w:sz w:val="32"/>
          <w:szCs w:val="32"/>
          <w:lang w:val="en-US" w:eastAsia="zh-CN"/>
        </w:rPr>
        <w:t>5</w:t>
      </w:r>
      <w:r>
        <w:rPr>
          <w:rFonts w:hint="eastAsia" w:ascii="仿宋_GB2312" w:hAnsi="仿宋_GB2312" w:eastAsia="仿宋_GB2312" w:cs="仿宋_GB2312"/>
          <w:sz w:val="32"/>
          <w:szCs w:val="32"/>
        </w:rPr>
        <w:t>号</w:t>
      </w:r>
    </w:p>
    <w:p>
      <w:pPr>
        <w:pStyle w:val="2"/>
        <w:keepNext w:val="0"/>
        <w:keepLines w:val="0"/>
        <w:pageBreakBefore w:val="0"/>
        <w:widowControl w:val="0"/>
        <w:kinsoku/>
        <w:wordWrap/>
        <w:overflowPunct/>
        <w:topLinePunct w:val="0"/>
        <w:autoSpaceDE w:val="0"/>
        <w:autoSpaceDN w:val="0"/>
        <w:bidi w:val="0"/>
        <w:adjustRightInd/>
        <w:snapToGrid/>
        <w:spacing w:line="280" w:lineRule="exact"/>
        <w:jc w:val="both"/>
        <w:textAlignment w:val="auto"/>
        <w:rPr>
          <w:rFonts w:hint="eastAsia"/>
          <w:lang w:eastAsia="zh-CN"/>
        </w:rPr>
      </w:pPr>
    </w:p>
    <w:p>
      <w:pPr>
        <w:spacing w:line="6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0"/>
          <w:sz w:val="44"/>
          <w:szCs w:val="44"/>
          <w:lang w:val="en-US" w:eastAsia="zh-CN" w:bidi="ar"/>
        </w:rPr>
        <w:t>涞源县巩固拓展脱贫攻坚成果领导小组</w:t>
      </w:r>
    </w:p>
    <w:p>
      <w:pPr>
        <w:spacing w:line="660" w:lineRule="exact"/>
        <w:jc w:val="center"/>
        <w:rPr>
          <w:rFonts w:hint="eastAsia" w:ascii="方正小标宋简体" w:hAnsi="方正小标宋简体" w:eastAsia="方正小标宋简体" w:cs="方正小标宋简体"/>
          <w:color w:val="000000"/>
          <w:kern w:val="0"/>
          <w:sz w:val="44"/>
          <w:szCs w:val="44"/>
          <w:lang w:val="en-US" w:eastAsia="zh-CN" w:bidi="ar"/>
        </w:rPr>
      </w:pPr>
      <w:r>
        <w:rPr>
          <w:rFonts w:hint="eastAsia" w:ascii="方正小标宋简体" w:hAnsi="方正小标宋简体" w:eastAsia="方正小标宋简体" w:cs="方正小标宋简体"/>
          <w:color w:val="000000"/>
          <w:kern w:val="0"/>
          <w:sz w:val="44"/>
          <w:szCs w:val="44"/>
          <w:lang w:val="en-US" w:eastAsia="zh-CN" w:bidi="ar"/>
        </w:rPr>
        <w:t>关于印发</w:t>
      </w:r>
      <w:r>
        <w:rPr>
          <w:rFonts w:hint="eastAsia" w:ascii="方正小标宋简体" w:hAnsi="方正小标宋简体" w:eastAsia="方正小标宋简体" w:cs="方正小标宋简体"/>
          <w:b w:val="0"/>
          <w:bCs w:val="0"/>
          <w:color w:val="000000"/>
          <w:kern w:val="0"/>
          <w:sz w:val="44"/>
          <w:szCs w:val="44"/>
          <w:lang w:val="en-US" w:eastAsia="zh-CN" w:bidi="ar"/>
        </w:rPr>
        <w:t>《涞源县巩固拓展脱贫攻坚成果领导小组2023年工作要点》</w:t>
      </w:r>
      <w:r>
        <w:rPr>
          <w:rFonts w:hint="eastAsia" w:ascii="方正小标宋简体" w:hAnsi="方正小标宋简体" w:eastAsia="方正小标宋简体" w:cs="方正小标宋简体"/>
          <w:color w:val="000000"/>
          <w:kern w:val="0"/>
          <w:sz w:val="44"/>
          <w:szCs w:val="44"/>
          <w:lang w:val="en-US" w:eastAsia="zh-CN" w:bidi="ar"/>
        </w:rPr>
        <w:t>的通知</w:t>
      </w:r>
    </w:p>
    <w:p>
      <w:pPr>
        <w:pStyle w:val="2"/>
        <w:rPr>
          <w:rFonts w:hint="eastAsia"/>
          <w:lang w:val="en-US" w:eastAsia="zh-CN"/>
        </w:rPr>
      </w:pPr>
    </w:p>
    <w:p>
      <w:pPr>
        <w:keepNext w:val="0"/>
        <w:keepLines w:val="0"/>
        <w:pageBreakBefore w:val="0"/>
        <w:kinsoku/>
        <w:wordWrap/>
        <w:overflowPunct/>
        <w:topLinePunct w:val="0"/>
        <w:bidi w:val="0"/>
        <w:adjustRightInd/>
        <w:snapToGrid/>
        <w:spacing w:line="260" w:lineRule="atLeast"/>
        <w:jc w:val="both"/>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领导小组各成员单位</w:t>
      </w:r>
      <w:r>
        <w:rPr>
          <w:rFonts w:hint="eastAsia" w:ascii="方正仿宋_GB2312" w:hAnsi="方正仿宋_GB2312" w:eastAsia="方正仿宋_GB2312" w:cs="方正仿宋_GB2312"/>
          <w:sz w:val="32"/>
          <w:szCs w:val="32"/>
        </w:rPr>
        <w:t>：</w:t>
      </w:r>
    </w:p>
    <w:p>
      <w:pPr>
        <w:keepNext w:val="0"/>
        <w:keepLines w:val="0"/>
        <w:pageBreakBefore w:val="0"/>
        <w:kinsoku/>
        <w:wordWrap/>
        <w:overflowPunct/>
        <w:topLinePunct w:val="0"/>
        <w:bidi w:val="0"/>
        <w:adjustRightInd/>
        <w:snapToGrid/>
        <w:spacing w:line="260" w:lineRule="atLeast"/>
        <w:ind w:firstLine="640" w:firstLineChars="200"/>
        <w:jc w:val="both"/>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涞源县</w:t>
      </w:r>
      <w:r>
        <w:rPr>
          <w:rFonts w:hint="eastAsia" w:ascii="方正仿宋_GB2312" w:hAnsi="方正仿宋_GB2312" w:eastAsia="方正仿宋_GB2312" w:cs="方正仿宋_GB2312"/>
          <w:sz w:val="32"/>
          <w:szCs w:val="32"/>
        </w:rPr>
        <w:t>巩固拓展脱贫攻坚成果领导小组2023年工作要点已经领导小组全体会议审议通过，现予印发，请认真抓好贯彻落实。</w:t>
      </w:r>
    </w:p>
    <w:p>
      <w:pPr>
        <w:keepNext w:val="0"/>
        <w:keepLines w:val="0"/>
        <w:pageBreakBefore w:val="0"/>
        <w:widowControl/>
        <w:suppressLineNumbers w:val="0"/>
        <w:kinsoku/>
        <w:wordWrap/>
        <w:overflowPunct/>
        <w:topLinePunct w:val="0"/>
        <w:autoSpaceDE/>
        <w:autoSpaceDN/>
        <w:bidi w:val="0"/>
        <w:adjustRightInd/>
        <w:snapToGrid/>
        <w:spacing w:line="260" w:lineRule="atLeast"/>
        <w:jc w:val="both"/>
        <w:textAlignment w:val="auto"/>
        <w:rPr>
          <w:rFonts w:hint="eastAsia" w:ascii="方正小标宋_GBK" w:hAnsi="方正小标宋_GBK" w:eastAsia="方正小标宋_GBK" w:cs="方正小标宋_GBK"/>
          <w:color w:val="000000"/>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60" w:lineRule="atLeast"/>
        <w:jc w:val="both"/>
        <w:textAlignment w:val="auto"/>
        <w:rPr>
          <w:rFonts w:hint="eastAsia" w:ascii="方正小标宋_GBK" w:hAnsi="方正小标宋_GBK" w:eastAsia="方正小标宋_GBK" w:cs="方正小标宋_GBK"/>
          <w:color w:val="000000"/>
          <w:kern w:val="0"/>
          <w:sz w:val="44"/>
          <w:szCs w:val="44"/>
          <w:lang w:val="en-US" w:eastAsia="zh-CN" w:bidi="ar"/>
        </w:rPr>
      </w:pPr>
    </w:p>
    <w:p>
      <w:pPr>
        <w:keepNext w:val="0"/>
        <w:keepLines w:val="0"/>
        <w:pageBreakBefore w:val="0"/>
        <w:widowControl w:val="0"/>
        <w:numPr>
          <w:ilvl w:val="0"/>
          <w:numId w:val="0"/>
        </w:numPr>
        <w:pBdr>
          <w:bottom w:val="single" w:color="FFFFFF" w:sz="4" w:space="17"/>
        </w:pBdr>
        <w:shd w:val="clear" w:color="auto" w:fill="auto"/>
        <w:kinsoku/>
        <w:wordWrap/>
        <w:overflowPunct/>
        <w:topLinePunct w:val="0"/>
        <w:autoSpaceDE/>
        <w:autoSpaceDN/>
        <w:bidi w:val="0"/>
        <w:adjustRightInd w:val="0"/>
        <w:snapToGrid w:val="0"/>
        <w:spacing w:line="600" w:lineRule="exact"/>
        <w:ind w:right="0" w:rightChars="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涞源县巩固拓展脱贫攻坚成果领导小组</w:t>
      </w:r>
    </w:p>
    <w:p>
      <w:pPr>
        <w:keepNext w:val="0"/>
        <w:keepLines w:val="0"/>
        <w:pageBreakBefore w:val="0"/>
        <w:widowControl w:val="0"/>
        <w:numPr>
          <w:ilvl w:val="0"/>
          <w:numId w:val="0"/>
        </w:numPr>
        <w:pBdr>
          <w:bottom w:val="single" w:color="FFFFFF" w:sz="4" w:space="17"/>
        </w:pBdr>
        <w:shd w:val="clear" w:color="auto" w:fill="auto"/>
        <w:kinsoku/>
        <w:wordWrap/>
        <w:overflowPunct/>
        <w:topLinePunct w:val="0"/>
        <w:autoSpaceDE/>
        <w:autoSpaceDN/>
        <w:bidi w:val="0"/>
        <w:adjustRightInd w:val="0"/>
        <w:snapToGrid w:val="0"/>
        <w:spacing w:line="600" w:lineRule="exact"/>
        <w:ind w:right="0" w:rightChars="0" w:firstLine="4160" w:firstLineChars="1300"/>
        <w:jc w:val="both"/>
        <w:textAlignment w:val="auto"/>
        <w:rPr>
          <w:rFonts w:hint="eastAsia" w:ascii="方正小标宋_GBK" w:hAnsi="方正小标宋_GBK" w:eastAsia="方正小标宋_GBK" w:cs="方正小标宋_GBK"/>
          <w:color w:val="000000"/>
          <w:kern w:val="0"/>
          <w:sz w:val="44"/>
          <w:szCs w:val="44"/>
          <w:lang w:val="en-US" w:eastAsia="zh-CN" w:bidi="ar"/>
        </w:rPr>
      </w:pPr>
      <w:r>
        <w:rPr>
          <w:rFonts w:hint="eastAsia" w:ascii="仿宋_GB2312" w:hAnsi="仿宋_GB2312" w:eastAsia="仿宋_GB2312" w:cs="仿宋_GB2312"/>
          <w:sz w:val="32"/>
          <w:szCs w:val="32"/>
          <w:lang w:val="en-US" w:eastAsia="zh-CN"/>
        </w:rPr>
        <w:t>202</w:t>
      </w:r>
      <w:r>
        <w:rPr>
          <w:rFonts w:hint="eastAsia" w:cs="仿宋_GB2312"/>
          <w:sz w:val="32"/>
          <w:szCs w:val="32"/>
          <w:lang w:val="en-US" w:eastAsia="zh-CN"/>
        </w:rPr>
        <w:t>3</w:t>
      </w:r>
      <w:r>
        <w:rPr>
          <w:rFonts w:hint="eastAsia" w:ascii="仿宋_GB2312" w:hAnsi="仿宋_GB2312" w:eastAsia="仿宋_GB2312" w:cs="仿宋_GB2312"/>
          <w:sz w:val="32"/>
          <w:szCs w:val="32"/>
          <w:lang w:val="en-US" w:eastAsia="zh-CN"/>
        </w:rPr>
        <w:t>年</w:t>
      </w:r>
      <w:r>
        <w:rPr>
          <w:rFonts w:hint="eastAsia" w:cs="仿宋_GB2312"/>
          <w:sz w:val="32"/>
          <w:szCs w:val="32"/>
          <w:lang w:val="en-US" w:eastAsia="zh-CN"/>
        </w:rPr>
        <w:t>3</w:t>
      </w:r>
      <w:r>
        <w:rPr>
          <w:rFonts w:hint="eastAsia" w:ascii="仿宋_GB2312" w:hAnsi="仿宋_GB2312" w:eastAsia="仿宋_GB2312" w:cs="仿宋_GB2312"/>
          <w:sz w:val="32"/>
          <w:szCs w:val="32"/>
          <w:lang w:val="en-US" w:eastAsia="zh-CN"/>
        </w:rPr>
        <w:t>月</w:t>
      </w:r>
      <w:r>
        <w:rPr>
          <w:rFonts w:hint="eastAsia" w:cs="仿宋_GB2312"/>
          <w:sz w:val="32"/>
          <w:szCs w:val="32"/>
          <w:lang w:val="en-US" w:eastAsia="zh-CN"/>
        </w:rPr>
        <w:t>30</w:t>
      </w:r>
      <w:r>
        <w:rPr>
          <w:rFonts w:hint="eastAsia" w:ascii="仿宋_GB2312" w:hAnsi="仿宋_GB2312" w:eastAsia="仿宋_GB2312" w:cs="仿宋_GB2312"/>
          <w:sz w:val="32"/>
          <w:szCs w:val="32"/>
          <w:lang w:val="en-US" w:eastAsia="zh-CN"/>
        </w:rPr>
        <w:t>日</w:t>
      </w:r>
    </w:p>
    <w:p>
      <w:pPr>
        <w:keepNext w:val="0"/>
        <w:keepLines w:val="0"/>
        <w:pageBreakBefore w:val="0"/>
        <w:widowControl/>
        <w:suppressLineNumbers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color w:val="000000"/>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color w:val="000000"/>
          <w:kern w:val="0"/>
          <w:sz w:val="44"/>
          <w:szCs w:val="44"/>
          <w:lang w:val="en-US" w:eastAsia="zh-CN" w:bidi="ar"/>
        </w:rPr>
        <w:t>涞源县巩固拓展脱贫攻坚成果领导小组</w:t>
      </w:r>
    </w:p>
    <w:p>
      <w:pPr>
        <w:keepNext w:val="0"/>
        <w:keepLines w:val="0"/>
        <w:pageBreakBefore w:val="0"/>
        <w:widowControl/>
        <w:suppressLineNumbers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color w:val="000000"/>
          <w:kern w:val="0"/>
          <w:sz w:val="44"/>
          <w:szCs w:val="44"/>
          <w:lang w:val="en-US" w:eastAsia="zh-CN" w:bidi="ar"/>
        </w:rPr>
      </w:pPr>
      <w:r>
        <w:rPr>
          <w:rFonts w:hint="eastAsia" w:ascii="方正小标宋_GBK" w:hAnsi="方正小标宋_GBK" w:eastAsia="方正小标宋_GBK" w:cs="方正小标宋_GBK"/>
          <w:color w:val="000000"/>
          <w:kern w:val="0"/>
          <w:sz w:val="44"/>
          <w:szCs w:val="44"/>
          <w:lang w:val="en-US" w:eastAsia="zh-CN" w:bidi="ar"/>
        </w:rPr>
        <w:t>2023年工作</w:t>
      </w:r>
      <w:bookmarkStart w:id="0" w:name="_GoBack"/>
      <w:bookmarkEnd w:id="0"/>
      <w:r>
        <w:rPr>
          <w:rFonts w:hint="eastAsia" w:ascii="方正小标宋_GBK" w:hAnsi="方正小标宋_GBK" w:eastAsia="方正小标宋_GBK" w:cs="方正小标宋_GBK"/>
          <w:color w:val="000000"/>
          <w:kern w:val="0"/>
          <w:sz w:val="44"/>
          <w:szCs w:val="44"/>
          <w:lang w:val="en-US" w:eastAsia="zh-CN" w:bidi="ar"/>
        </w:rPr>
        <w:t>要点</w:t>
      </w:r>
    </w:p>
    <w:p>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color w:val="000000"/>
          <w:kern w:val="0"/>
          <w:sz w:val="13"/>
          <w:szCs w:val="1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2023年是深入学习宣传贯彻党的二十大精神的开局之年，是巩固拓展脱贫攻坚成果同乡村振兴有效衔接的关键之年。今年工作的总体思路是，以习近平新时代中国特色社会主义思想为指导，深入学习贯彻党的二十大精神，全面落实中央经济工作会议、中央农村工作会议精神和省委十届三次全会、省市县委农村工作会议部署，坚持稳中求进工作总基调，把巩固拓展脱贫攻坚成果放在突出位置，牢牢守住不发生规模性返贫的底线，持续推进脱贫人口增收、推动全县经济社会发展，为加快建设新时代经济强县品质涞源提供有力支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color w:val="000000"/>
          <w:kern w:val="0"/>
          <w:sz w:val="32"/>
          <w:szCs w:val="32"/>
          <w:lang w:val="en-US" w:eastAsia="zh-CN" w:bidi="ar"/>
        </w:rPr>
        <w:t>一、坚决守住不发生规模性返贫底线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w w:val="100"/>
          <w:sz w:val="32"/>
          <w:szCs w:val="32"/>
        </w:rPr>
      </w:pPr>
      <w:r>
        <w:rPr>
          <w:rFonts w:hint="eastAsia" w:ascii="华文楷体" w:hAnsi="华文楷体" w:eastAsia="华文楷体" w:cs="华文楷体"/>
          <w:b w:val="0"/>
          <w:bCs w:val="0"/>
          <w:color w:val="000000"/>
          <w:kern w:val="0"/>
          <w:sz w:val="32"/>
          <w:szCs w:val="32"/>
          <w:lang w:val="en-US" w:eastAsia="zh-CN" w:bidi="ar"/>
        </w:rPr>
        <w:t>1.优化规范防止返贫监测。</w:t>
      </w:r>
      <w:r>
        <w:rPr>
          <w:rFonts w:hint="eastAsia" w:ascii="仿宋_GB2312" w:hAnsi="仿宋_GB2312" w:eastAsia="仿宋_GB2312" w:cs="仿宋_GB2312"/>
          <w:color w:val="000000"/>
          <w:kern w:val="0"/>
          <w:sz w:val="32"/>
          <w:szCs w:val="32"/>
          <w:lang w:val="en-US" w:eastAsia="zh-CN" w:bidi="ar"/>
        </w:rPr>
        <w:t>坚持“早宽简实”要求，认真贯彻落实《河北省防止返贫动态监测帮扶工作规程》(试行)，统一申报流程、申报方式和程序，加强防止返贫政策宣传，提高政策知晓度。统筹农户自主申报、乡村干部排查、部门筛查预警等监测方式，用好村级党群服务中心、全省统一自主申报二维码、建设银行“裕农通”APP、12345热线电话、防止返贫监测和乡村振兴咨询服务平台等申报渠道，及时核实处置群众反映的问题线索，做到不漏一户一人。</w:t>
      </w:r>
      <w:r>
        <w:rPr>
          <w:rFonts w:hint="eastAsia" w:ascii="华文楷体" w:hAnsi="华文楷体" w:eastAsia="华文楷体" w:cs="华文楷体"/>
          <w:color w:val="000000"/>
          <w:w w:val="100"/>
          <w:kern w:val="0"/>
          <w:sz w:val="32"/>
          <w:szCs w:val="32"/>
          <w:lang w:val="en-US" w:eastAsia="zh-CN" w:bidi="ar"/>
        </w:rPr>
        <w:t>(牵头单位：县乡村振兴局，责任单位：县民政局、县教体局、县卫健局、县医保局、县住建局、县人社局、县水利局、县农业农村局、县残联、县应急局、县公安局等，各乡镇党委、政府)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sz w:val="32"/>
          <w:szCs w:val="32"/>
        </w:rPr>
      </w:pPr>
      <w:r>
        <w:rPr>
          <w:rFonts w:hint="eastAsia" w:ascii="华文楷体" w:hAnsi="华文楷体" w:eastAsia="华文楷体" w:cs="华文楷体"/>
          <w:b w:val="0"/>
          <w:bCs w:val="0"/>
          <w:color w:val="000000"/>
          <w:kern w:val="0"/>
          <w:sz w:val="32"/>
          <w:szCs w:val="32"/>
          <w:lang w:val="en-US" w:eastAsia="zh-CN" w:bidi="ar"/>
        </w:rPr>
        <w:t>2.健全数据分析和信息共享机制。</w:t>
      </w:r>
      <w:r>
        <w:rPr>
          <w:rFonts w:hint="eastAsia" w:ascii="仿宋_GB2312" w:hAnsi="仿宋_GB2312" w:eastAsia="仿宋_GB2312" w:cs="仿宋_GB2312"/>
          <w:color w:val="000000"/>
          <w:kern w:val="0"/>
          <w:sz w:val="32"/>
          <w:szCs w:val="32"/>
          <w:lang w:val="en-US" w:eastAsia="zh-CN" w:bidi="ar"/>
        </w:rPr>
        <w:t>依托全国防止返贫监测和衔接推进乡村振兴信息系统和省级系统，精准分析收入结构、“两不愁三保障”和饮水安全、返贫致贫风险隐患、影响持续增收因素，及时发现和研究解决问题，有针对性开展帮扶。管理运行好全省防止返贫监测和帮扶工作信息系统，做好预警信息线上受理反馈，有效解决预警信息重复推送问题。健全跨部门工作会商和信息互通机制，推动防止返贫监测和低收入人口动态监测信息平台数据共享。</w:t>
      </w:r>
      <w:r>
        <w:rPr>
          <w:rFonts w:hint="eastAsia" w:ascii="华文楷体" w:hAnsi="华文楷体" w:eastAsia="华文楷体" w:cs="华文楷体"/>
          <w:color w:val="000000"/>
          <w:kern w:val="0"/>
          <w:sz w:val="32"/>
          <w:szCs w:val="32"/>
          <w:lang w:val="en-US" w:eastAsia="zh-CN" w:bidi="ar"/>
        </w:rPr>
        <w:t>(牵头单位：县乡村振兴局，责任单位：县民政局、县教体局、县卫健局、县医保局、县住建局、县人社局、县水利局、县农业农村局、县残联、县应急局等，</w:t>
      </w:r>
      <w:r>
        <w:rPr>
          <w:rFonts w:hint="eastAsia" w:ascii="华文楷体" w:hAnsi="华文楷体" w:eastAsia="华文楷体" w:cs="华文楷体"/>
          <w:color w:val="000000"/>
          <w:w w:val="100"/>
          <w:kern w:val="0"/>
          <w:sz w:val="32"/>
          <w:szCs w:val="32"/>
          <w:lang w:val="en-US" w:eastAsia="zh-CN" w:bidi="ar"/>
        </w:rPr>
        <w:t>各乡镇党委、政府</w:t>
      </w:r>
      <w:r>
        <w:rPr>
          <w:rFonts w:hint="eastAsia" w:ascii="华文楷体" w:hAnsi="华文楷体" w:eastAsia="华文楷体" w:cs="华文楷体"/>
          <w:color w:val="000000"/>
          <w:kern w:val="0"/>
          <w:sz w:val="32"/>
          <w:szCs w:val="32"/>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3.精准落实帮扶举措。</w:t>
      </w:r>
      <w:r>
        <w:rPr>
          <w:rFonts w:hint="eastAsia" w:ascii="仿宋_GB2312" w:hAnsi="仿宋_GB2312" w:eastAsia="仿宋_GB2312" w:cs="仿宋_GB2312"/>
          <w:color w:val="000000"/>
          <w:kern w:val="0"/>
          <w:sz w:val="32"/>
          <w:szCs w:val="32"/>
          <w:lang w:val="en-US" w:eastAsia="zh-CN" w:bidi="ar"/>
        </w:rPr>
        <w:t>根据返贫致贫风险和劳动力状况精准实施帮扶救助，对家庭有劳动能力的监测户至少落实一项开发式帮扶措施，对没有劳动能力且符合条件的监测户做好兜底保障，对弱半劳力创造条件探索落实开发式帮扶措施。</w:t>
      </w:r>
      <w:r>
        <w:rPr>
          <w:rFonts w:hint="eastAsia" w:ascii="华文楷体" w:hAnsi="华文楷体" w:eastAsia="华文楷体" w:cs="华文楷体"/>
          <w:color w:val="000000"/>
          <w:kern w:val="0"/>
          <w:sz w:val="32"/>
          <w:szCs w:val="32"/>
          <w:lang w:val="en-US" w:eastAsia="zh-CN" w:bidi="ar"/>
        </w:rPr>
        <w:t>(牵头单位：县乡村振兴局，责任单位：县民政局、县教体局、县卫健局、县医保局、县住建局、县水利局、县人社局、县农业农村局、县人保财险、县金融办、县发改局、县残联、县科技局、县商务局等，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sz w:val="32"/>
          <w:szCs w:val="32"/>
        </w:rPr>
      </w:pPr>
      <w:r>
        <w:rPr>
          <w:rFonts w:hint="eastAsia" w:ascii="华文楷体" w:hAnsi="华文楷体" w:eastAsia="华文楷体" w:cs="华文楷体"/>
          <w:b w:val="0"/>
          <w:bCs w:val="0"/>
          <w:color w:val="000000"/>
          <w:kern w:val="0"/>
          <w:sz w:val="32"/>
          <w:szCs w:val="32"/>
          <w:lang w:val="en-US" w:eastAsia="zh-CN" w:bidi="ar"/>
        </w:rPr>
        <w:t>4.防范化解风险隐患。</w:t>
      </w:r>
      <w:r>
        <w:rPr>
          <w:rFonts w:hint="eastAsia" w:ascii="仿宋_GB2312" w:hAnsi="仿宋_GB2312" w:eastAsia="仿宋_GB2312" w:cs="仿宋_GB2312"/>
          <w:color w:val="000000"/>
          <w:kern w:val="0"/>
          <w:sz w:val="32"/>
          <w:szCs w:val="32"/>
          <w:lang w:val="en-US" w:eastAsia="zh-CN" w:bidi="ar"/>
        </w:rPr>
        <w:t>按照国家和省统一部署，第二季度在全县开展防止返贫监测帮扶集中排查，及时发现和化解存在的风险。持续紧盯防止返贫监测帮扶、帮扶产业发展、稳岗就业、易地扶贫搬迁后续扶持、自然灾害、社会稳定、涉贫舆情风险，对问题线索进行“大起底”和“回头看”，全方位梳理排查风险点抓实抓细各项帮扶措施落实，发现问题及时动态清零，做到防患于未然。建立健全风险防控信息共享、风险防控会商、风险快速应对机制，形成齐抓共管防风险保稳定的工作合力。</w:t>
      </w:r>
      <w:r>
        <w:rPr>
          <w:rFonts w:hint="eastAsia" w:ascii="华文楷体" w:hAnsi="华文楷体" w:eastAsia="华文楷体" w:cs="华文楷体"/>
          <w:color w:val="000000"/>
          <w:kern w:val="0"/>
          <w:sz w:val="32"/>
          <w:szCs w:val="32"/>
          <w:lang w:val="en-US" w:eastAsia="zh-CN" w:bidi="ar"/>
        </w:rPr>
        <w:t>(牵头单位：县乡村振兴局，责任单位：领导小组县直各成员单位，各乡镇党委、政府)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二、巩固提升“两不愁三保障”成果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5.狠抓教育帮扶政策落实。</w:t>
      </w:r>
      <w:r>
        <w:rPr>
          <w:rFonts w:hint="eastAsia" w:ascii="仿宋_GB2312" w:hAnsi="仿宋_GB2312" w:eastAsia="仿宋_GB2312" w:cs="仿宋_GB2312"/>
          <w:color w:val="000000"/>
          <w:kern w:val="0"/>
          <w:sz w:val="32"/>
          <w:szCs w:val="32"/>
          <w:lang w:val="en-US" w:eastAsia="zh-CN" w:bidi="ar"/>
        </w:rPr>
        <w:t>健全控辍保学长效机制，确保除身体原因不具备学习条件外脱贫家庭义务教育阶段适龄儿童少年不失学辍学。精准资助农村家庭经济困难学生，严格落实各阶段教育资助政策。继续实施农村义务教育学生营养改善计划。持续改善义务教育办学条件。加强乡村教师队伍建设。</w:t>
      </w:r>
      <w:r>
        <w:rPr>
          <w:rFonts w:hint="eastAsia" w:ascii="华文楷体" w:hAnsi="华文楷体" w:eastAsia="华文楷体" w:cs="华文楷体"/>
          <w:color w:val="000000"/>
          <w:kern w:val="0"/>
          <w:sz w:val="32"/>
          <w:szCs w:val="32"/>
          <w:lang w:val="en-US" w:eastAsia="zh-CN" w:bidi="ar"/>
        </w:rPr>
        <w:t>(牵头单位：县教体局，责任单位：各乡镇党委、政府)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sz w:val="32"/>
          <w:szCs w:val="32"/>
        </w:rPr>
      </w:pPr>
      <w:r>
        <w:rPr>
          <w:rFonts w:hint="eastAsia" w:ascii="华文楷体" w:hAnsi="华文楷体" w:eastAsia="华文楷体" w:cs="华文楷体"/>
          <w:b w:val="0"/>
          <w:bCs w:val="0"/>
          <w:color w:val="000000"/>
          <w:kern w:val="0"/>
          <w:sz w:val="32"/>
          <w:szCs w:val="32"/>
          <w:lang w:val="en-US" w:eastAsia="zh-CN" w:bidi="ar"/>
        </w:rPr>
        <w:t>6.狠抓健康帮扶政策落实。</w:t>
      </w:r>
      <w:r>
        <w:rPr>
          <w:rFonts w:hint="eastAsia" w:ascii="仿宋_GB2312" w:hAnsi="仿宋_GB2312" w:eastAsia="仿宋_GB2312" w:cs="仿宋_GB2312"/>
          <w:color w:val="000000"/>
          <w:kern w:val="0"/>
          <w:sz w:val="32"/>
          <w:szCs w:val="32"/>
          <w:lang w:val="en-US" w:eastAsia="zh-CN" w:bidi="ar"/>
        </w:rPr>
        <w:t>保持主要政策连续稳定，确保大病救治、慢病签约服务、先诊疗后付费等政策落实到位。健全防止因病返贫动态监测和帮扶机制，每半月向乡村振兴部门推送一次同省推送信息比对筛重后新增大病人员信息，及时落实健康帮扶措施。提升医疗卫生服务能力，实施县医院提质行动，推进乡村医疗卫生机构标准化建设，补齐乡村、易地扶贫搬迁集中安置区医疗卫生服务短板。加快推进紧密型县域医疗卫生共同体建设，开展三级医院对口帮扶，不断提升医疗卫生服务能力。巩固乡村一体化管理成果，稳定乡村医生队伍，持续实现乡村医疗卫生机构和人员“空白点”动态清零。全面做好分类资助参保工作，确保脱贫人口和农村低收入人口参保率稳定在99%以上。健全完善防范化解因病返贫致贫长效机制，坚决守住因病规模性返贫底线。</w:t>
      </w:r>
      <w:r>
        <w:rPr>
          <w:rFonts w:hint="eastAsia" w:ascii="华文楷体" w:hAnsi="华文楷体" w:eastAsia="华文楷体" w:cs="华文楷体"/>
          <w:color w:val="000000"/>
          <w:kern w:val="0"/>
          <w:sz w:val="32"/>
          <w:szCs w:val="32"/>
          <w:lang w:val="en-US" w:eastAsia="zh-CN" w:bidi="ar"/>
        </w:rPr>
        <w:t>(牵头单位：县卫健局、县医保局，责任单位：各乡镇党委、政府)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sz w:val="32"/>
          <w:szCs w:val="32"/>
        </w:rPr>
      </w:pPr>
      <w:r>
        <w:rPr>
          <w:rFonts w:hint="eastAsia" w:ascii="华文楷体" w:hAnsi="华文楷体" w:eastAsia="华文楷体" w:cs="华文楷体"/>
          <w:b w:val="0"/>
          <w:bCs w:val="0"/>
          <w:color w:val="000000"/>
          <w:kern w:val="0"/>
          <w:sz w:val="32"/>
          <w:szCs w:val="32"/>
          <w:lang w:val="en-US" w:eastAsia="zh-CN" w:bidi="ar"/>
        </w:rPr>
        <w:t>7.狠抓住房安全保障政策落实。</w:t>
      </w:r>
      <w:r>
        <w:rPr>
          <w:rFonts w:hint="eastAsia" w:ascii="仿宋_GB2312" w:hAnsi="仿宋_GB2312" w:eastAsia="仿宋_GB2312" w:cs="仿宋_GB2312"/>
          <w:color w:val="000000"/>
          <w:kern w:val="0"/>
          <w:sz w:val="32"/>
          <w:szCs w:val="32"/>
          <w:lang w:val="en-US" w:eastAsia="zh-CN" w:bidi="ar"/>
        </w:rPr>
        <w:t>建立健全农村住房安全保障长效机制，加强住房安全动态排查监测，对动态新增农村低收入群体住房安全问题，统筹分类施策，指导通过危房改造等途径加以解决，确保农村低收入群体等重点对象住房安全有保障。</w:t>
      </w:r>
      <w:r>
        <w:rPr>
          <w:rFonts w:hint="eastAsia" w:ascii="华文楷体" w:hAnsi="华文楷体" w:eastAsia="华文楷体" w:cs="华文楷体"/>
          <w:color w:val="000000"/>
          <w:kern w:val="0"/>
          <w:sz w:val="32"/>
          <w:szCs w:val="32"/>
          <w:lang w:val="en-US" w:eastAsia="zh-CN" w:bidi="ar"/>
        </w:rPr>
        <w:t>(牵头单位：县住建局，责任单位：各乡镇党委、政府)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8.狠抓饮水安全政策落实。</w:t>
      </w:r>
      <w:r>
        <w:rPr>
          <w:rFonts w:hint="eastAsia" w:ascii="仿宋_GB2312" w:hAnsi="仿宋_GB2312" w:eastAsia="仿宋_GB2312" w:cs="仿宋_GB2312"/>
          <w:color w:val="000000"/>
          <w:kern w:val="0"/>
          <w:sz w:val="32"/>
          <w:szCs w:val="32"/>
          <w:lang w:val="en-US" w:eastAsia="zh-CN" w:bidi="ar"/>
        </w:rPr>
        <w:t>持续对农村饮水安全进行监测，做到问题早发现、早处理、动态清零。组织开展饮水安全全覆盖排查，畅通饮水监督服务热线，扎实做好各类问题整改。积极推行农村饮水工程集中统一专业化管护，加强水质检测，不断提升工程管护水平。完善县级农村供水应急预案，配备必要的工作设备和物资，加强应急供水队伍演练，确保发生突发事件时能够保障群众生活用水需求，不出现规模性饮水安全问题。</w:t>
      </w:r>
      <w:r>
        <w:rPr>
          <w:rFonts w:hint="eastAsia" w:ascii="华文楷体" w:hAnsi="华文楷体" w:eastAsia="华文楷体" w:cs="华文楷体"/>
          <w:color w:val="000000"/>
          <w:kern w:val="0"/>
          <w:sz w:val="32"/>
          <w:szCs w:val="32"/>
          <w:lang w:val="en-US" w:eastAsia="zh-CN" w:bidi="ar"/>
        </w:rPr>
        <w:t>(牵头单位：县水利局，责任单位：各乡镇党委、政府)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9.狠抓兜底保障政策落实。</w:t>
      </w:r>
      <w:r>
        <w:rPr>
          <w:rFonts w:hint="eastAsia" w:ascii="仿宋_GB2312" w:hAnsi="仿宋_GB2312" w:eastAsia="仿宋_GB2312" w:cs="仿宋_GB2312"/>
          <w:color w:val="000000"/>
          <w:kern w:val="0"/>
          <w:sz w:val="32"/>
          <w:szCs w:val="32"/>
          <w:lang w:val="en-US" w:eastAsia="zh-CN" w:bidi="ar"/>
        </w:rPr>
        <w:t>落实低保标准动态调整机制，适时提高兜底保障水平，健全分层分类的社会救助体系，加强防返贫监测和农村低收入人口监测信息平台数据共享。</w:t>
      </w:r>
      <w:r>
        <w:rPr>
          <w:rFonts w:hint="eastAsia" w:ascii="华文楷体" w:hAnsi="华文楷体" w:eastAsia="华文楷体" w:cs="华文楷体"/>
          <w:color w:val="000000"/>
          <w:kern w:val="0"/>
          <w:sz w:val="32"/>
          <w:szCs w:val="32"/>
          <w:lang w:val="en-US" w:eastAsia="zh-CN" w:bidi="ar"/>
        </w:rPr>
        <w:t>(牵头单位县民政局，责任单位：各乡镇党委、政府)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三、增强脱贫村和脱贫群众内生发展动力</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10.聚焦易地扶贫搬迁集中安置点。</w:t>
      </w:r>
      <w:r>
        <w:rPr>
          <w:rFonts w:hint="eastAsia" w:ascii="仿宋_GB2312" w:hAnsi="仿宋_GB2312" w:eastAsia="仿宋_GB2312" w:cs="仿宋_GB2312"/>
          <w:color w:val="000000"/>
          <w:kern w:val="0"/>
          <w:sz w:val="32"/>
          <w:szCs w:val="32"/>
          <w:lang w:val="en-US" w:eastAsia="zh-CN" w:bidi="ar"/>
        </w:rPr>
        <w:t>深入开展巩固易地搬迁脱贫成果专项行动和搬迁群众就业帮扶专项行动。发挥财政衔接推进乡村振兴补助资金的作用，支持实施符合规定的易地扶贫搬迁后续扶持项目。加强对易地搬迁安置区配套设施、就业等资金使用方面的检查指导，确保资金投入精准，真正发挥效益。完善安置区配套设施和公共服务，加大产业培育力度，落实搬迁群众户籍管理、合法权益保障、社会融入等工作举措，提升安置社区治理水平，确保搬迁群众稳得住、能融入、逐步能致富。持续跟踪监测搬迁脱贫群众的生产生活情况。推动解决搬迁人口新增住房需求等现实问题。</w:t>
      </w:r>
      <w:r>
        <w:rPr>
          <w:rFonts w:hint="eastAsia" w:ascii="华文楷体" w:hAnsi="华文楷体" w:eastAsia="华文楷体" w:cs="华文楷体"/>
          <w:color w:val="000000"/>
          <w:kern w:val="0"/>
          <w:sz w:val="32"/>
          <w:szCs w:val="32"/>
          <w:lang w:val="en-US" w:eastAsia="zh-CN" w:bidi="ar"/>
        </w:rPr>
        <w:t>(牵头单位：县发改局，责任单位：领导小组各相关成员单位，福恩惠党委、居民服务中心，各乡镇党委、政府)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11.培育壮大产业。</w:t>
      </w:r>
      <w:r>
        <w:rPr>
          <w:rFonts w:hint="eastAsia" w:ascii="仿宋_GB2312" w:hAnsi="仿宋_GB2312" w:eastAsia="仿宋_GB2312" w:cs="仿宋_GB2312"/>
          <w:color w:val="000000"/>
          <w:kern w:val="0"/>
          <w:sz w:val="32"/>
          <w:szCs w:val="32"/>
          <w:lang w:val="en-US" w:eastAsia="zh-CN" w:bidi="ar"/>
        </w:rPr>
        <w:t>加大财政衔接资金支持产业发展力度，其中中央财政衔接资金支持比重不低于上年度且达到60%以上，中央、省、市、县四级财政衔接资金支持比重达到54%以上，重点支持补上技术、设施、营销等短板，重点支持产业基础设施建设和全产业链开发项目建设，做大做强联农带农效果好的主导产业。强化规划引领，依托特色资源，做好“土特产”文章，因地制宜培育优势主导产业，开发一批特色鲜明、品质优良的特色农副产品。健全完善帮扶项目联农带农机制，对财政资金和帮扶资金支持的经营性帮扶项目，建立工作台账，推动经营主体与农户通过订单生产、托养托管、产品代销、保护价收购、吸纳就业、资产收益等方式，使脱贫群众嵌入产业链条分享更多收益。以家庭手工业、来料加工、庭院种植等为重点，高质量发展庭院经济，推出一批先进典型，以点带面推动庭院经济发展。持续推进消费帮扶产地示范创建，支持农产品流通企业、电商、批发市场与县域特色产业精准对接。打造区域公共品牌，积极对接京津两市、中央定点帮扶单位、电商平台企业等定期组织开展消费帮扶集中行动，拓宽农产品销售渠道。</w:t>
      </w:r>
      <w:r>
        <w:rPr>
          <w:rFonts w:hint="eastAsia" w:ascii="华文楷体" w:hAnsi="华文楷体" w:eastAsia="华文楷体" w:cs="华文楷体"/>
          <w:color w:val="000000"/>
          <w:kern w:val="0"/>
          <w:sz w:val="32"/>
          <w:szCs w:val="32"/>
          <w:lang w:val="en-US" w:eastAsia="zh-CN" w:bidi="ar"/>
        </w:rPr>
        <w:t>(牵头单位：县农业农村局，责任单位：县发改局、县科技局、县商务局、县乡村振兴局、县文旅局、县林业局，各乡镇党委、政府)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12.强化稳岗就业。</w:t>
      </w:r>
      <w:r>
        <w:rPr>
          <w:rFonts w:hint="eastAsia" w:ascii="仿宋_GB2312" w:hAnsi="仿宋_GB2312" w:eastAsia="仿宋_GB2312" w:cs="仿宋_GB2312"/>
          <w:color w:val="000000"/>
          <w:kern w:val="0"/>
          <w:sz w:val="32"/>
          <w:szCs w:val="32"/>
          <w:lang w:val="en-US" w:eastAsia="zh-CN" w:bidi="ar"/>
        </w:rPr>
        <w:t>实施防止返贫就业攻坚行动，用足用好国家扩大有效投资和拉动内需各项政策，确保脱贫人口(含监测对象)就业规模稳定在</w:t>
      </w:r>
      <w:r>
        <w:rPr>
          <w:rFonts w:hint="eastAsia" w:ascii="仿宋_GB2312" w:hAnsi="仿宋_GB2312" w:eastAsia="仿宋_GB2312" w:cs="仿宋_GB2312"/>
          <w:color w:val="000000"/>
          <w:kern w:val="0"/>
          <w:sz w:val="32"/>
          <w:szCs w:val="32"/>
          <w:u w:val="none"/>
          <w:lang w:val="en-US" w:eastAsia="zh-CN" w:bidi="ar"/>
        </w:rPr>
        <w:t>1.84万人</w:t>
      </w:r>
      <w:r>
        <w:rPr>
          <w:rFonts w:hint="eastAsia" w:ascii="仿宋_GB2312" w:hAnsi="仿宋_GB2312" w:eastAsia="仿宋_GB2312" w:cs="仿宋_GB2312"/>
          <w:color w:val="000000"/>
          <w:kern w:val="0"/>
          <w:sz w:val="32"/>
          <w:szCs w:val="32"/>
          <w:lang w:val="en-US" w:eastAsia="zh-CN" w:bidi="ar"/>
        </w:rPr>
        <w:t>以上、促进就业收入稳中有增。稳定县外就业渠道，挖掘县内劳务协作和就地就近就业潜力，促进脱贫群众创新创业、自主择业，拓宽就业渠道。依托资源禀赋、文化特色、就业传统、脱贫劳动力特点，通过市场化运作、规范化培育、技能化开发、规模化输出、产业化发展，分类打造一批有地域特色、行业特征、技能特点的劳务品牌。积极引进劳动密集型、环境友好型企业，探索建立“企业+就业帮扶车间”运营机制，增强带动脱贫群众就业增收能力。充分发挥乡村公益性岗位就业保障作用。在农业农村基础设施建设领域和政府投资的重点工程项目中大力实施以工代赈，促进更多群众务工就业。有针对性开展脱贫群众技能培训，对脱贫人口生产经营和就业技能培训需求进行摸底排查，宣传有关政策，建立需求清单，确保有条件、有意愿的脱贫人口和监测对象都能接受技能培训。对脱贫家庭新成长劳动力，深入实施“雨露计划+”就业促进行动；对脱贫家庭青壮年劳动力，推进人人持证；对返乡回流人口，建立跟踪机制，提高再就业能力；对脱贫家庭务农人员，结合实际需求开展生产经营技能培训。</w:t>
      </w:r>
      <w:r>
        <w:rPr>
          <w:rFonts w:hint="eastAsia" w:ascii="华文楷体" w:hAnsi="华文楷体" w:eastAsia="华文楷体" w:cs="华文楷体"/>
          <w:color w:val="000000"/>
          <w:kern w:val="0"/>
          <w:sz w:val="32"/>
          <w:szCs w:val="32"/>
          <w:lang w:val="en-US" w:eastAsia="zh-CN" w:bidi="ar"/>
        </w:rPr>
        <w:t>(牵头单位：县人社局、县乡村振兴局，责任单位：县发改局、县教体局、县林业局、县农业农村局、县金融办、县税务局、县妇联，各乡镇党委、政府)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13.提升新型集体经济发展水平。</w:t>
      </w:r>
      <w:r>
        <w:rPr>
          <w:rFonts w:hint="eastAsia" w:ascii="仿宋_GB2312" w:hAnsi="仿宋_GB2312" w:eastAsia="仿宋_GB2312" w:cs="仿宋_GB2312"/>
          <w:color w:val="000000"/>
          <w:kern w:val="0"/>
          <w:sz w:val="32"/>
          <w:szCs w:val="32"/>
          <w:lang w:val="en-US" w:eastAsia="zh-CN" w:bidi="ar"/>
        </w:rPr>
        <w:t>统筹用好财政衔接推进乡村振兴补助资金等资源，支持农村特别是经济薄弱村培育壮大集体经济。强化确权到村的经营性扶贫项目资产运营管理，加强村级光伏扶贫电站运维管护，确保持续发挥作用。将发展新型农村集体经济项目纳入巩固拓展脱贫攻坚成果和乡村振兴项目库，通过衔接资金支持农村特别是经济薄弱村培育壮大新型农村集体经济，提升带动群众增收致富能力水平。开发利用集体土地，支持依法合理利用村集体机动地、“四荒”地、闲散果园、养殖水面以及通过土地清理、土地整理、村庄整治、宅基地盘活方式增加的资源，发展现代农业、特色产业或用于公共服务设施建设。鼓励支持农村集体经济组织以现金、实物、土地经营权、林权等入股农业企业、农民专业合作社、供销合作社等开展多种模式的股份合作，探索保底收益、按股分红等合作机制。</w:t>
      </w:r>
      <w:r>
        <w:rPr>
          <w:rFonts w:hint="eastAsia" w:ascii="华文楷体" w:hAnsi="华文楷体" w:eastAsia="华文楷体" w:cs="华文楷体"/>
          <w:color w:val="000000"/>
          <w:kern w:val="0"/>
          <w:sz w:val="32"/>
          <w:szCs w:val="32"/>
          <w:lang w:val="en-US" w:eastAsia="zh-CN" w:bidi="ar"/>
        </w:rPr>
        <w:t>(牵头单位：县农业农村局、县发改局、县自规局、县乡村振兴局、县委组织部，责任单位：各乡镇党委、政府)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四、用足用好要素资源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14.用足用好财政资金。</w:t>
      </w:r>
      <w:r>
        <w:rPr>
          <w:rFonts w:hint="eastAsia" w:ascii="仿宋_GB2312" w:hAnsi="仿宋_GB2312" w:eastAsia="仿宋_GB2312" w:cs="仿宋_GB2312"/>
          <w:color w:val="000000"/>
          <w:kern w:val="0"/>
          <w:sz w:val="32"/>
          <w:szCs w:val="32"/>
          <w:lang w:val="en-US" w:eastAsia="zh-CN" w:bidi="ar"/>
        </w:rPr>
        <w:t>强化衔接资金使用绩效管理，在全县开展资金资产风险隐患排查整改，对衔接资金使用管理情况进行解剖式调研，完善相关政策和工作机制。强化衔接资金监管，严格落实财政衔接推进乡村振兴补助资金管理办法，健全资金支出和项目实施督查机制，确保资金支出进度。完善县级巩固拓展脱贫攻坚成果和乡村振兴项目库，结合实际合理确定管理费，加大规划可研力度。完善扶贫项目资产管理办法，做好项目资产确权移交，做好与乡村公共基础设施管护工作衔接。</w:t>
      </w:r>
      <w:r>
        <w:rPr>
          <w:rFonts w:hint="eastAsia" w:ascii="华文楷体" w:hAnsi="华文楷体" w:eastAsia="华文楷体" w:cs="华文楷体"/>
          <w:color w:val="000000"/>
          <w:kern w:val="0"/>
          <w:sz w:val="32"/>
          <w:szCs w:val="32"/>
          <w:lang w:val="en-US" w:eastAsia="zh-CN" w:bidi="ar"/>
        </w:rPr>
        <w:t>(牵头单位：县乡村振兴局、县农业农村局、县财政局，责任单位：县发改局、县水利局、县交通局，各乡镇党委、政府)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15.用足用好金融资源。</w:t>
      </w:r>
      <w:r>
        <w:rPr>
          <w:rFonts w:hint="eastAsia" w:ascii="仿宋_GB2312" w:hAnsi="仿宋_GB2312" w:eastAsia="仿宋_GB2312" w:cs="仿宋_GB2312"/>
          <w:color w:val="000000"/>
          <w:kern w:val="0"/>
          <w:sz w:val="32"/>
          <w:szCs w:val="32"/>
          <w:lang w:val="en-US" w:eastAsia="zh-CN" w:bidi="ar"/>
        </w:rPr>
        <w:t>紧紧抓住国家通过政策性开发性金融扩大有效投资的政策机遇，充分调动金融和社会资本积极性加大金融支持巩固拓展脱贫攻坚成果和乡村振兴重点项目融资对接工作力度。保持信贷投放力度不减，做好脱贫人口小额信贷工作。持续做好一般农户“富农产业贷”工作。</w:t>
      </w:r>
      <w:r>
        <w:rPr>
          <w:rFonts w:hint="eastAsia" w:ascii="华文楷体" w:hAnsi="华文楷体" w:eastAsia="华文楷体" w:cs="华文楷体"/>
          <w:color w:val="000000"/>
          <w:kern w:val="0"/>
          <w:sz w:val="32"/>
          <w:szCs w:val="32"/>
          <w:lang w:val="en-US" w:eastAsia="zh-CN" w:bidi="ar"/>
        </w:rPr>
        <w:t>(牵头单位：县金融办，责任单位：县发改局、县财政局、县农业农村局、县乡村振兴局、县农发行、县农行、县邮储银行、县农信社、县保定银行，各乡镇党委、政府)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16.用足用好土地资源。</w:t>
      </w:r>
      <w:r>
        <w:rPr>
          <w:rFonts w:hint="eastAsia" w:ascii="仿宋_GB2312" w:hAnsi="仿宋_GB2312" w:eastAsia="仿宋_GB2312" w:cs="仿宋_GB2312"/>
          <w:color w:val="000000"/>
          <w:kern w:val="0"/>
          <w:sz w:val="32"/>
          <w:szCs w:val="32"/>
          <w:lang w:val="en-US" w:eastAsia="zh-CN" w:bidi="ar"/>
        </w:rPr>
        <w:t>充分利用省对原国定贫困县专项新增建设用地指标，用于巩固脱贫攻坚成果和乡村振兴用地需要。</w:t>
      </w:r>
      <w:r>
        <w:rPr>
          <w:rFonts w:hint="eastAsia" w:ascii="华文楷体" w:hAnsi="华文楷体" w:eastAsia="华文楷体" w:cs="华文楷体"/>
          <w:color w:val="000000"/>
          <w:kern w:val="0"/>
          <w:sz w:val="32"/>
          <w:szCs w:val="32"/>
          <w:lang w:val="en-US" w:eastAsia="zh-CN" w:bidi="ar"/>
        </w:rPr>
        <w:t>(牵头单位：县自规局、县农业农村局、乡村振兴局，责任单位：各乡镇党委、政府)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17.用足用好科技资源。</w:t>
      </w:r>
      <w:r>
        <w:rPr>
          <w:rFonts w:hint="eastAsia" w:ascii="仿宋_GB2312" w:hAnsi="仿宋_GB2312" w:eastAsia="仿宋_GB2312" w:cs="仿宋_GB2312"/>
          <w:color w:val="000000"/>
          <w:kern w:val="0"/>
          <w:sz w:val="32"/>
          <w:szCs w:val="32"/>
          <w:lang w:val="en-US" w:eastAsia="zh-CN" w:bidi="ar"/>
        </w:rPr>
        <w:t>积极对接高校、科研院所和农业专家团队，发挥农业创新驿站和科技特派员作用，推动科技站点向基层延伸，带动更多人才下沉、科技下乡，确保脱贫村科技帮扶全覆盖，不断提升科技创新能力。</w:t>
      </w:r>
      <w:r>
        <w:rPr>
          <w:rFonts w:hint="eastAsia" w:ascii="华文楷体" w:hAnsi="华文楷体" w:eastAsia="华文楷体" w:cs="华文楷体"/>
          <w:color w:val="000000"/>
          <w:kern w:val="0"/>
          <w:sz w:val="32"/>
          <w:szCs w:val="32"/>
          <w:lang w:val="en-US" w:eastAsia="zh-CN" w:bidi="ar"/>
        </w:rPr>
        <w:t>(牵头单位：县科技厅，责任单位：县农业农村局、县乡村振兴局，各乡镇党委、政府)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18.用足用好人才资源。</w:t>
      </w:r>
      <w:r>
        <w:rPr>
          <w:rFonts w:hint="eastAsia" w:ascii="仿宋_GB2312" w:hAnsi="仿宋_GB2312" w:eastAsia="仿宋_GB2312" w:cs="仿宋_GB2312"/>
          <w:color w:val="000000"/>
          <w:kern w:val="0"/>
          <w:sz w:val="32"/>
          <w:szCs w:val="32"/>
          <w:lang w:val="en-US" w:eastAsia="zh-CN" w:bidi="ar"/>
        </w:rPr>
        <w:t>坚持本土培养和外部引进相结合，推进乡村工匠“双百双千”培育工程。研究实施乡村振兴人才回引行动，有序引导大学毕业生到乡、能人回乡、农民工返乡、企业家入乡。建立专家教授、领导干部、基层党组织书记、“土专家”、“田秀才”等组成的师资库，培育乡村振兴人才队伍。发挥好驻村干部、科技特派员、产业顾问组在促进产业发展方面的帮扶作用。推动乡村产业振兴带头人培育“头雁”项目、高素质农民培育计划。深入开展“百校联百县兴千村”行动，充分发挥智力优势，助力乡村振兴。依托河北农业大学等高校，建设乡村振兴教育培训基地，强化干部培训、人才培养和学习研修，提升乡村振兴干部政策业务水平。</w:t>
      </w:r>
      <w:r>
        <w:rPr>
          <w:rFonts w:hint="eastAsia" w:ascii="华文楷体" w:hAnsi="华文楷体" w:eastAsia="华文楷体" w:cs="华文楷体"/>
          <w:color w:val="000000"/>
          <w:kern w:val="0"/>
          <w:sz w:val="32"/>
          <w:szCs w:val="32"/>
          <w:lang w:val="en-US" w:eastAsia="zh-CN" w:bidi="ar"/>
        </w:rPr>
        <w:t>(牵头单位：县农业农村局、县委组织部、县人社局、县乡村振兴局、县科技局，责任单位：各乡镇党委、政府)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28"/>
          <w:szCs w:val="28"/>
          <w:lang w:val="en-US" w:eastAsia="zh-CN" w:bidi="ar"/>
        </w:rPr>
        <w:t>19.</w:t>
      </w:r>
      <w:r>
        <w:rPr>
          <w:rFonts w:hint="eastAsia" w:ascii="华文楷体" w:hAnsi="华文楷体" w:eastAsia="华文楷体" w:cs="华文楷体"/>
          <w:b w:val="0"/>
          <w:bCs w:val="0"/>
          <w:color w:val="000000"/>
          <w:kern w:val="0"/>
          <w:sz w:val="32"/>
          <w:szCs w:val="32"/>
          <w:lang w:val="en-US" w:eastAsia="zh-CN" w:bidi="ar"/>
        </w:rPr>
        <w:t>用足用好智力资源。</w:t>
      </w:r>
      <w:r>
        <w:rPr>
          <w:rFonts w:hint="eastAsia" w:ascii="仿宋_GB2312" w:hAnsi="仿宋_GB2312" w:eastAsia="仿宋_GB2312" w:cs="仿宋_GB2312"/>
          <w:color w:val="000000"/>
          <w:kern w:val="0"/>
          <w:sz w:val="32"/>
          <w:szCs w:val="32"/>
          <w:lang w:val="en-US" w:eastAsia="zh-CN" w:bidi="ar"/>
        </w:rPr>
        <w:t>加强与河北农业大学合作，</w:t>
      </w:r>
      <w:r>
        <w:rPr>
          <w:rFonts w:hint="eastAsia" w:ascii="仿宋_GB2312" w:hAnsi="仿宋_GB2312" w:eastAsia="仿宋_GB2312" w:cs="仿宋_GB2312"/>
          <w:sz w:val="32"/>
          <w:szCs w:val="32"/>
        </w:rPr>
        <w:t>组建</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县乡村振兴专家顾问团，聘请河北农业大学专家教授为顾问，开展</w:t>
      </w:r>
      <w:r>
        <w:rPr>
          <w:rFonts w:hint="eastAsia" w:ascii="仿宋_GB2312" w:hAnsi="仿宋_GB2312" w:eastAsia="仿宋_GB2312" w:cs="仿宋_GB2312"/>
          <w:sz w:val="32"/>
          <w:szCs w:val="32"/>
          <w:lang w:eastAsia="zh-CN"/>
        </w:rPr>
        <w:t>农业产业技术指导、技术服务</w:t>
      </w:r>
      <w:r>
        <w:rPr>
          <w:rFonts w:hint="eastAsia" w:ascii="仿宋_GB2312" w:hAnsi="仿宋_GB2312" w:eastAsia="仿宋_GB2312" w:cs="仿宋_GB2312"/>
          <w:sz w:val="32"/>
          <w:szCs w:val="32"/>
        </w:rPr>
        <w:t>，为乡村振兴和</w:t>
      </w:r>
      <w:r>
        <w:rPr>
          <w:rFonts w:hint="eastAsia" w:ascii="仿宋_GB2312" w:hAnsi="仿宋_GB2312" w:eastAsia="仿宋_GB2312" w:cs="仿宋_GB2312"/>
          <w:sz w:val="32"/>
          <w:szCs w:val="32"/>
          <w:lang w:eastAsia="zh-CN"/>
        </w:rPr>
        <w:t>产业</w:t>
      </w:r>
      <w:r>
        <w:rPr>
          <w:rFonts w:hint="eastAsia" w:ascii="仿宋_GB2312" w:hAnsi="仿宋_GB2312" w:eastAsia="仿宋_GB2312" w:cs="仿宋_GB2312"/>
          <w:sz w:val="32"/>
          <w:szCs w:val="32"/>
        </w:rPr>
        <w:t>发展</w:t>
      </w:r>
      <w:r>
        <w:rPr>
          <w:rFonts w:hint="eastAsia" w:ascii="仿宋_GB2312" w:hAnsi="仿宋_GB2312" w:eastAsia="仿宋_GB2312" w:cs="仿宋_GB2312"/>
          <w:sz w:val="32"/>
          <w:szCs w:val="32"/>
          <w:lang w:eastAsia="zh-CN"/>
        </w:rPr>
        <w:t>汲取</w:t>
      </w:r>
      <w:r>
        <w:rPr>
          <w:rFonts w:hint="eastAsia" w:ascii="仿宋_GB2312" w:hAnsi="仿宋_GB2312" w:eastAsia="仿宋_GB2312" w:cs="仿宋_GB2312"/>
          <w:sz w:val="32"/>
          <w:szCs w:val="32"/>
        </w:rPr>
        <w:t>农大智慧</w:t>
      </w:r>
      <w:r>
        <w:rPr>
          <w:rFonts w:hint="eastAsia" w:ascii="仿宋_GB2312" w:hAnsi="仿宋_GB2312" w:eastAsia="仿宋_GB2312" w:cs="仿宋_GB2312"/>
          <w:color w:val="000000"/>
          <w:kern w:val="0"/>
          <w:sz w:val="32"/>
          <w:szCs w:val="32"/>
          <w:lang w:val="en-US" w:eastAsia="zh-CN" w:bidi="ar"/>
        </w:rPr>
        <w:t>。</w:t>
      </w:r>
      <w:r>
        <w:rPr>
          <w:rFonts w:hint="eastAsia" w:ascii="华文楷体" w:hAnsi="华文楷体" w:eastAsia="华文楷体" w:cs="华文楷体"/>
          <w:color w:val="000000"/>
          <w:kern w:val="0"/>
          <w:sz w:val="32"/>
          <w:szCs w:val="32"/>
          <w:lang w:val="en-US" w:eastAsia="zh-CN" w:bidi="ar"/>
        </w:rPr>
        <w:t>(牵头单位：县农业农村局，责任单位：各乡镇党委、政府)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20.用足用好社会帮扶资源。</w:t>
      </w:r>
      <w:r>
        <w:rPr>
          <w:rFonts w:hint="eastAsia" w:ascii="仿宋_GB2312" w:hAnsi="仿宋_GB2312" w:eastAsia="仿宋_GB2312" w:cs="仿宋_GB2312"/>
          <w:color w:val="000000"/>
          <w:kern w:val="0"/>
          <w:sz w:val="32"/>
          <w:szCs w:val="32"/>
          <w:lang w:val="en-US" w:eastAsia="zh-CN" w:bidi="ar"/>
        </w:rPr>
        <w:t>持续做好中央单位定点帮扶、省内区域性结对帮扶、“五包一”“三包一”包联帮扶工作，推动帮扶单位在助力县域发展和增强脱贫群众内生发展动力方面下功夫。抓好驻村帮扶，继续做好驻村第一书记和工作队调整轮换和培训管理等工作，突出县级统筹、日常管理，因村派人、科学组队，强化派出单位联村帮扶。深入推进“万企兴万村”行动，引导更多民营企业在涞源投资兴业、开展帮扶。加大招商引资力度，组织开展“百企联百县”行动，吸引更多企业落户涞源。开展社会组织助力乡村振兴专项行动，完善参与机制，打造社会组织助力乡村振兴的公益品牌。筹集社会资金，探索在农村开展大病体检筛查。</w:t>
      </w:r>
      <w:r>
        <w:rPr>
          <w:rFonts w:hint="eastAsia" w:ascii="华文楷体" w:hAnsi="华文楷体" w:eastAsia="华文楷体" w:cs="华文楷体"/>
          <w:color w:val="000000"/>
          <w:kern w:val="0"/>
          <w:sz w:val="32"/>
          <w:szCs w:val="32"/>
          <w:lang w:val="en-US" w:eastAsia="zh-CN" w:bidi="ar"/>
        </w:rPr>
        <w:t>(牵头单位：县乡村振兴局、县委组织部、县民政局、县卫健局、县工商联，责任单位：各乡镇党委、政府)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五、加强工作保障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华文楷体" w:hAnsi="华文楷体" w:eastAsia="华文楷体" w:cs="华文楷体"/>
          <w:b w:val="0"/>
          <w:bCs w:val="0"/>
          <w:color w:val="000000"/>
          <w:kern w:val="0"/>
          <w:sz w:val="32"/>
          <w:szCs w:val="32"/>
          <w:lang w:val="en-US" w:eastAsia="zh-CN" w:bidi="ar"/>
        </w:rPr>
        <w:t>21.压实工作责任。</w:t>
      </w:r>
      <w:r>
        <w:rPr>
          <w:rFonts w:hint="eastAsia" w:ascii="仿宋_GB2312" w:hAnsi="仿宋_GB2312" w:eastAsia="仿宋_GB2312" w:cs="仿宋_GB2312"/>
          <w:color w:val="000000"/>
          <w:kern w:val="0"/>
          <w:sz w:val="32"/>
          <w:szCs w:val="32"/>
          <w:lang w:val="en-US" w:eastAsia="zh-CN" w:bidi="ar"/>
        </w:rPr>
        <w:t>县领导小组继续与领导小组成员单位签订2023年巩固拓展脱贫攻坚成果目标责任书，延续党委政府定期研究、领导干部包联、行业部门分工负责、重点任务清单等制度，压紧压实巩固拓展脱贫攻坚成果责任，确保不松劲、不跑偏。</w:t>
      </w:r>
      <w:r>
        <w:rPr>
          <w:rFonts w:hint="eastAsia" w:ascii="华文楷体" w:hAnsi="华文楷体" w:eastAsia="华文楷体" w:cs="华文楷体"/>
          <w:color w:val="000000"/>
          <w:kern w:val="0"/>
          <w:sz w:val="32"/>
          <w:szCs w:val="32"/>
          <w:lang w:val="en-US" w:eastAsia="zh-CN" w:bidi="ar"/>
        </w:rPr>
        <w:t>(牵头单位：县乡村振兴局，责任单位：领导小组各成员单位)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22.突出党建引领。</w:t>
      </w:r>
      <w:r>
        <w:rPr>
          <w:rFonts w:hint="eastAsia" w:ascii="仿宋_GB2312" w:hAnsi="仿宋_GB2312" w:eastAsia="仿宋_GB2312" w:cs="仿宋_GB2312"/>
          <w:color w:val="000000"/>
          <w:kern w:val="0"/>
          <w:sz w:val="32"/>
          <w:szCs w:val="32"/>
          <w:lang w:val="en-US" w:eastAsia="zh-CN" w:bidi="ar"/>
        </w:rPr>
        <w:t>深入推进抓党建促乡村振兴，加强脱贫村党组织建设，充分发挥党建引领作用。深化基层干部“万人示范培训”，提升素质能力，为巩固拓展脱贫成果、乡村全面振兴提供组织保证。深化党的二十大精神学习宣传，教育引导广大脱贫群众感党恩、听党话、跟党走，增强信心动力。</w:t>
      </w:r>
      <w:r>
        <w:rPr>
          <w:rFonts w:hint="eastAsia" w:ascii="华文楷体" w:hAnsi="华文楷体" w:eastAsia="华文楷体" w:cs="华文楷体"/>
          <w:color w:val="000000"/>
          <w:kern w:val="0"/>
          <w:sz w:val="32"/>
          <w:szCs w:val="32"/>
          <w:lang w:val="en-US" w:eastAsia="zh-CN" w:bidi="ar"/>
        </w:rPr>
        <w:t>(牵头单位：县委组织部、县委宣传部、县乡村振兴局，责任单位：各乡镇党委、政府)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23.加强总结宣传。</w:t>
      </w:r>
      <w:r>
        <w:rPr>
          <w:rFonts w:hint="eastAsia" w:ascii="仿宋_GB2312" w:hAnsi="仿宋_GB2312" w:eastAsia="仿宋_GB2312" w:cs="仿宋_GB2312"/>
          <w:color w:val="000000"/>
          <w:kern w:val="0"/>
          <w:sz w:val="32"/>
          <w:szCs w:val="32"/>
          <w:lang w:val="en-US" w:eastAsia="zh-CN" w:bidi="ar"/>
        </w:rPr>
        <w:t>深入挖掘总结巩固拓展脱贫攻坚成果典型做法，持续加大对典型经验的宣传推广，充分发挥示范引领作用。强化舆情监测预警，加强涉贫涉乡村振兴舆情监测和应对处置，坚决防止发生较大负面舆情，积极营造良好的政治氛围、舆论氛围、社会氛围。</w:t>
      </w:r>
      <w:r>
        <w:rPr>
          <w:rFonts w:hint="eastAsia" w:ascii="华文楷体" w:hAnsi="华文楷体" w:eastAsia="华文楷体" w:cs="华文楷体"/>
          <w:color w:val="000000"/>
          <w:kern w:val="0"/>
          <w:sz w:val="32"/>
          <w:szCs w:val="32"/>
          <w:lang w:val="en-US" w:eastAsia="zh-CN" w:bidi="ar"/>
        </w:rPr>
        <w:t>(牵头单位：县委宣传部、县委网信办、县乡村振兴局，责任单位：各乡镇党委、政府)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华文楷体" w:hAnsi="华文楷体" w:eastAsia="华文楷体" w:cs="华文楷体"/>
          <w:color w:val="000000"/>
          <w:kern w:val="0"/>
          <w:sz w:val="32"/>
          <w:szCs w:val="32"/>
          <w:lang w:val="en-US" w:eastAsia="zh-CN" w:bidi="ar"/>
        </w:rPr>
      </w:pPr>
      <w:r>
        <w:rPr>
          <w:rFonts w:hint="eastAsia" w:ascii="华文楷体" w:hAnsi="华文楷体" w:eastAsia="华文楷体" w:cs="华文楷体"/>
          <w:b w:val="0"/>
          <w:bCs w:val="0"/>
          <w:color w:val="000000"/>
          <w:kern w:val="0"/>
          <w:sz w:val="32"/>
          <w:szCs w:val="32"/>
          <w:lang w:val="en-US" w:eastAsia="zh-CN" w:bidi="ar"/>
        </w:rPr>
        <w:t>24.强化作风能力建设。</w:t>
      </w:r>
      <w:r>
        <w:rPr>
          <w:rFonts w:hint="eastAsia" w:ascii="仿宋_GB2312" w:hAnsi="仿宋_GB2312" w:eastAsia="仿宋_GB2312" w:cs="仿宋_GB2312"/>
          <w:color w:val="000000"/>
          <w:kern w:val="0"/>
          <w:sz w:val="32"/>
          <w:szCs w:val="32"/>
          <w:lang w:val="en-US" w:eastAsia="zh-CN" w:bidi="ar"/>
        </w:rPr>
        <w:t>大力整治乡村振兴领域不正之风和腐败问题，着力纠治政策落实和工作推进中的形式主义、官僚主义问题，切实减轻基层负担。大兴调查研究之风，深入基层一线解决问题。大力弘扬脱贫攻坚精神，保持苦干实干拼命干的优良作风，加强干部能力培训，分级分类开展培训，不断提高干部队伍综合素质和政策业务水平，推动工作落地落实。</w:t>
      </w:r>
      <w:r>
        <w:rPr>
          <w:rFonts w:hint="eastAsia" w:ascii="华文楷体" w:hAnsi="华文楷体" w:eastAsia="华文楷体" w:cs="华文楷体"/>
          <w:color w:val="000000"/>
          <w:kern w:val="0"/>
          <w:sz w:val="32"/>
          <w:szCs w:val="32"/>
          <w:lang w:val="en-US" w:eastAsia="zh-CN" w:bidi="ar"/>
        </w:rPr>
        <w:t>(牵头单位：县纪委监委、县委组织部、县乡村振兴局，责任单位：各乡镇党委、政府)</w:t>
      </w:r>
    </w:p>
    <w:p>
      <w:pPr>
        <w:keepNext w:val="0"/>
        <w:keepLines w:val="0"/>
        <w:pageBreakBefore w:val="0"/>
        <w:kinsoku/>
        <w:wordWrap/>
        <w:overflowPunct/>
        <w:topLinePunct w:val="0"/>
        <w:autoSpaceDE/>
        <w:autoSpaceDN/>
        <w:bidi w:val="0"/>
        <w:adjustRightInd/>
        <w:snapToGrid/>
        <w:spacing w:line="620" w:lineRule="exact"/>
        <w:ind w:firstLine="640" w:firstLineChars="200"/>
        <w:jc w:val="both"/>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620" w:lineRule="exact"/>
        <w:ind w:firstLine="640" w:firstLineChars="200"/>
        <w:jc w:val="both"/>
        <w:textAlignment w:val="auto"/>
        <w:rPr>
          <w:rFonts w:hint="eastAsia" w:ascii="仿宋_GB2312" w:hAnsi="仿宋_GB2312" w:eastAsia="仿宋_GB2312" w:cs="仿宋_GB2312"/>
          <w:sz w:val="32"/>
          <w:szCs w:val="32"/>
        </w:rPr>
      </w:pPr>
    </w:p>
    <w:p>
      <w:pPr>
        <w:pStyle w:val="2"/>
        <w:rPr>
          <w:rFonts w:hint="eastAsia"/>
          <w:lang w:val="en-US" w:eastAsia="zh-CN"/>
        </w:rPr>
      </w:pPr>
    </w:p>
    <w:p>
      <w:pPr>
        <w:rPr>
          <w:rFonts w:hint="eastAsia"/>
          <w:lang w:val="en-US" w:eastAsia="zh-CN"/>
        </w:rPr>
      </w:pPr>
    </w:p>
    <w:p>
      <w:pPr>
        <w:adjustRightInd w:val="0"/>
        <w:snapToGrid w:val="0"/>
        <w:spacing w:line="540" w:lineRule="exact"/>
        <w:rPr>
          <w:rFonts w:hint="eastAsia"/>
          <w:lang w:val="en-US" w:eastAsia="zh-CN"/>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0" w:firstLineChars="0"/>
        <w:jc w:val="both"/>
        <w:textAlignment w:val="auto"/>
        <w:outlineLvl w:val="9"/>
        <w:rPr>
          <w:rFonts w:hint="eastAsia"/>
          <w:lang w:val="en-US" w:eastAsia="zh-CN"/>
        </w:rPr>
      </w:pPr>
      <w:r>
        <w:rPr>
          <w:rFonts w:hint="eastAsia" w:ascii="仿宋" w:hAnsi="仿宋" w:eastAsia="仿宋" w:cs="仿宋"/>
          <w:spacing w:val="-20"/>
          <w:kern w:val="0"/>
          <w:sz w:val="30"/>
          <w:szCs w:val="30"/>
          <w:u w:val="single"/>
        </w:rPr>
        <w:t>涞源县</w:t>
      </w:r>
      <w:r>
        <w:rPr>
          <w:rFonts w:hint="eastAsia" w:ascii="仿宋" w:hAnsi="仿宋" w:eastAsia="仿宋" w:cs="仿宋"/>
          <w:spacing w:val="-20"/>
          <w:kern w:val="0"/>
          <w:sz w:val="30"/>
          <w:szCs w:val="30"/>
          <w:u w:val="single"/>
          <w:lang w:eastAsia="zh-CN"/>
        </w:rPr>
        <w:t>巩固拓展脱贫攻坚成果</w:t>
      </w:r>
      <w:r>
        <w:rPr>
          <w:rFonts w:hint="eastAsia" w:ascii="仿宋" w:hAnsi="仿宋" w:eastAsia="仿宋" w:cs="仿宋"/>
          <w:spacing w:val="-20"/>
          <w:kern w:val="0"/>
          <w:sz w:val="30"/>
          <w:szCs w:val="30"/>
          <w:u w:val="single"/>
        </w:rPr>
        <w:t>领导小组</w:t>
      </w:r>
      <w:r>
        <w:rPr>
          <w:rFonts w:hint="eastAsia" w:ascii="仿宋" w:hAnsi="仿宋" w:eastAsia="仿宋" w:cs="仿宋"/>
          <w:spacing w:val="-20"/>
          <w:kern w:val="0"/>
          <w:sz w:val="30"/>
          <w:szCs w:val="30"/>
          <w:u w:val="single"/>
          <w:lang w:eastAsia="zh-CN"/>
        </w:rPr>
        <w:t>办公室</w:t>
      </w:r>
      <w:r>
        <w:rPr>
          <w:rFonts w:hint="eastAsia" w:ascii="仿宋" w:hAnsi="仿宋" w:eastAsia="仿宋" w:cs="仿宋"/>
          <w:spacing w:val="-20"/>
          <w:kern w:val="0"/>
          <w:sz w:val="30"/>
          <w:szCs w:val="30"/>
          <w:u w:val="single"/>
        </w:rPr>
        <w:t>印</w:t>
      </w:r>
      <w:r>
        <w:rPr>
          <w:rFonts w:hint="eastAsia" w:ascii="仿宋" w:hAnsi="仿宋" w:eastAsia="仿宋" w:cs="仿宋"/>
          <w:spacing w:val="-20"/>
          <w:kern w:val="0"/>
          <w:sz w:val="30"/>
          <w:szCs w:val="30"/>
          <w:u w:val="single"/>
          <w:lang w:val="en-US" w:eastAsia="zh-CN"/>
        </w:rPr>
        <w:t xml:space="preserve">       2023</w:t>
      </w:r>
      <w:r>
        <w:rPr>
          <w:rFonts w:hint="eastAsia" w:ascii="仿宋" w:hAnsi="仿宋" w:eastAsia="仿宋" w:cs="仿宋"/>
          <w:spacing w:val="-20"/>
          <w:kern w:val="0"/>
          <w:sz w:val="30"/>
          <w:szCs w:val="30"/>
          <w:u w:val="single"/>
        </w:rPr>
        <w:t>年</w:t>
      </w:r>
      <w:r>
        <w:rPr>
          <w:rFonts w:hint="eastAsia" w:ascii="仿宋" w:hAnsi="仿宋" w:eastAsia="仿宋" w:cs="仿宋"/>
          <w:spacing w:val="-20"/>
          <w:kern w:val="0"/>
          <w:sz w:val="30"/>
          <w:szCs w:val="30"/>
          <w:u w:val="single"/>
          <w:lang w:val="en-US" w:eastAsia="zh-CN"/>
        </w:rPr>
        <w:t>3</w:t>
      </w:r>
      <w:r>
        <w:rPr>
          <w:rFonts w:hint="eastAsia" w:ascii="仿宋" w:hAnsi="仿宋" w:eastAsia="仿宋" w:cs="仿宋"/>
          <w:spacing w:val="-20"/>
          <w:kern w:val="0"/>
          <w:sz w:val="30"/>
          <w:szCs w:val="30"/>
          <w:u w:val="single"/>
        </w:rPr>
        <w:t>月</w:t>
      </w:r>
      <w:r>
        <w:rPr>
          <w:rFonts w:hint="eastAsia" w:ascii="仿宋" w:hAnsi="仿宋" w:eastAsia="仿宋" w:cs="仿宋"/>
          <w:spacing w:val="-20"/>
          <w:kern w:val="0"/>
          <w:sz w:val="30"/>
          <w:szCs w:val="30"/>
          <w:u w:val="single"/>
          <w:lang w:val="en-US" w:eastAsia="zh-CN"/>
        </w:rPr>
        <w:t>30</w:t>
      </w:r>
      <w:r>
        <w:rPr>
          <w:rFonts w:hint="eastAsia" w:ascii="仿宋" w:hAnsi="仿宋" w:eastAsia="仿宋" w:cs="仿宋"/>
          <w:spacing w:val="-20"/>
          <w:kern w:val="0"/>
          <w:sz w:val="30"/>
          <w:szCs w:val="30"/>
          <w:u w:val="single"/>
        </w:rPr>
        <w:t>日</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DD444E2-88AD-48B4-9D1F-3B81BDD9059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A1026530-58DA-48C5-9755-BBC7AF53321C}"/>
  </w:font>
  <w:font w:name="仿宋_GB2312">
    <w:panose1 w:val="02010609030101010101"/>
    <w:charset w:val="86"/>
    <w:family w:val="modern"/>
    <w:pitch w:val="default"/>
    <w:sig w:usb0="00000001" w:usb1="080E0000" w:usb2="00000000" w:usb3="00000000" w:csb0="00040000" w:csb1="00000000"/>
    <w:embedRegular r:id="rId3" w:fontKey="{8282F99B-5FFE-4988-BA78-C1BEFD351670}"/>
  </w:font>
  <w:font w:name="仿宋">
    <w:panose1 w:val="02010609060101010101"/>
    <w:charset w:val="86"/>
    <w:family w:val="auto"/>
    <w:pitch w:val="default"/>
    <w:sig w:usb0="800002BF" w:usb1="38CF7CFA" w:usb2="00000016" w:usb3="00000000" w:csb0="00040001" w:csb1="00000000"/>
    <w:embedRegular r:id="rId4" w:fontKey="{6AAA16A6-70A6-4B5D-A860-6EA9630E2A4B}"/>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altName w:val="方正小标宋_GBK"/>
    <w:panose1 w:val="02000000000000000000"/>
    <w:charset w:val="86"/>
    <w:family w:val="auto"/>
    <w:pitch w:val="default"/>
    <w:sig w:usb0="A00002BF" w:usb1="38CF7CFA" w:usb2="00082016" w:usb3="00000000" w:csb0="00040001" w:csb1="00000000"/>
    <w:embedRegular r:id="rId5" w:fontKey="{8F21B3B8-66EA-4AE8-89D2-CF0E328B5BD4}"/>
  </w:font>
  <w:font w:name="华文楷体">
    <w:panose1 w:val="02010600040101010101"/>
    <w:charset w:val="86"/>
    <w:family w:val="auto"/>
    <w:pitch w:val="default"/>
    <w:sig w:usb0="00000287" w:usb1="080F0000" w:usb2="00000000" w:usb3="00000000" w:csb0="0004009F" w:csb1="DFD70000"/>
    <w:embedRegular r:id="rId6" w:fontKey="{A2AEA8CD-C5B4-4331-A526-C01B5164EA31}"/>
  </w:font>
  <w:font w:name="方正仿宋_GB2312">
    <w:panose1 w:val="02000000000000000000"/>
    <w:charset w:val="86"/>
    <w:family w:val="auto"/>
    <w:pitch w:val="default"/>
    <w:sig w:usb0="A00002BF" w:usb1="184F6CFA" w:usb2="00000012" w:usb3="00000000" w:csb0="00040001" w:csb1="00000000"/>
    <w:embedRegular r:id="rId7" w:fontKey="{7CD56E4E-E65D-47D6-AF35-912234CF62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mYzZiY2E5YTc3ZDNlZGQwZWE5NGQ5YjRiZDkyY2MifQ=="/>
  </w:docVars>
  <w:rsids>
    <w:rsidRoot w:val="59B33EB9"/>
    <w:rsid w:val="11CA26B5"/>
    <w:rsid w:val="12E0748C"/>
    <w:rsid w:val="2B397BFE"/>
    <w:rsid w:val="3F987505"/>
    <w:rsid w:val="4D14342B"/>
    <w:rsid w:val="4E8F04AD"/>
    <w:rsid w:val="511B51C5"/>
    <w:rsid w:val="52F440C8"/>
    <w:rsid w:val="59B33EB9"/>
    <w:rsid w:val="6759039D"/>
    <w:rsid w:val="6C0F6F0A"/>
    <w:rsid w:val="73742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rPr>
      <w:rFonts w:ascii="Times New Roman" w:hAnsi="Times New Roman" w:eastAsia="仿宋_GB2312" w:cs="Times New Roman"/>
      <w:sz w:val="36"/>
    </w:rPr>
  </w:style>
  <w:style w:type="paragraph" w:styleId="3">
    <w:name w:val="Normal Indent"/>
    <w:basedOn w:val="1"/>
    <w:qFormat/>
    <w:uiPriority w:val="0"/>
    <w:pPr>
      <w:spacing w:line="360" w:lineRule="auto"/>
      <w:ind w:firstLine="420" w:firstLineChars="200"/>
    </w:pPr>
    <w:rPr>
      <w:rFonts w:eastAsia="仿宋"/>
      <w:sz w:val="28"/>
      <w:szCs w:val="2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Body text|1"/>
    <w:basedOn w:val="1"/>
    <w:qFormat/>
    <w:uiPriority w:val="0"/>
    <w:pPr>
      <w:widowControl w:val="0"/>
      <w:shd w:val="clear" w:color="auto" w:fill="auto"/>
      <w:spacing w:line="451" w:lineRule="auto"/>
      <w:ind w:firstLine="400"/>
    </w:pPr>
    <w:rPr>
      <w:rFonts w:ascii="宋体" w:hAnsi="宋体" w:eastAsia="宋体" w:cs="宋体"/>
      <w:sz w:val="28"/>
      <w:szCs w:val="28"/>
      <w:u w:val="none"/>
      <w:shd w:val="clear" w:color="auto" w:fill="auto"/>
      <w:lang w:val="zh-TW" w:eastAsia="zh-TW" w:bidi="zh-TW"/>
    </w:rPr>
  </w:style>
  <w:style w:type="paragraph" w:customStyle="1" w:styleId="9">
    <w:name w:val="Body text|4"/>
    <w:basedOn w:val="1"/>
    <w:qFormat/>
    <w:uiPriority w:val="0"/>
    <w:pPr>
      <w:widowControl w:val="0"/>
      <w:shd w:val="clear" w:color="auto" w:fill="auto"/>
      <w:spacing w:line="422"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4529</Words>
  <Characters>4561</Characters>
  <Lines>0</Lines>
  <Paragraphs>0</Paragraphs>
  <TotalTime>9</TotalTime>
  <ScaleCrop>false</ScaleCrop>
  <LinksUpToDate>false</LinksUpToDate>
  <CharactersWithSpaces>4626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2022-03-14T06:24:00Z</dcterms:created>
  <dc:creator>余生。</dc:creator>
  <cp:lastModifiedBy>余生。</cp:lastModifiedBy>
  <cp:lastPrinted>2023-04-07T07:30:56Z</cp:lastPrinted>
  <dcterms:modified xsi:type="dcterms:W3CDTF">2023-04-07T07:33:19Z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61DEDB27BE744B52997A4DCFCA51E75B_13</vt:lpwstr>
  </property>
</Properties>
</file>