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E4F64A">
      <w:pPr>
        <w:pStyle w:val="2"/>
        <w:widowControl/>
        <w:shd w:val="clear" w:color="auto" w:fill="FFFFFF"/>
        <w:spacing w:beforeAutospacing="0" w:afterAutospacing="0" w:line="560" w:lineRule="exact"/>
        <w:jc w:val="center"/>
        <w:rPr>
          <w:rFonts w:hint="default" w:ascii="方正小标宋简体" w:hAnsi="方正小标宋简体" w:eastAsia="方正小标宋简体" w:cs="方正小标宋简体"/>
          <w:color w:val="333333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关于《涞源县银坊镇国土空间总体规划（2021-2035年）》批后公告</w:t>
      </w:r>
    </w:p>
    <w:p w14:paraId="0D82E4B1">
      <w:pPr>
        <w:spacing w:line="560" w:lineRule="exact"/>
        <w:rPr>
          <w:rFonts w:ascii="仿宋_GB2312" w:hAnsi="宋体" w:eastAsia="仿宋_GB2312" w:cs="仿宋_GB2312"/>
          <w:color w:val="333333"/>
          <w:sz w:val="32"/>
          <w:szCs w:val="32"/>
          <w:shd w:val="clear" w:color="auto" w:fill="FFFFFF"/>
        </w:rPr>
      </w:pPr>
    </w:p>
    <w:p w14:paraId="050901FA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《涞源县银坊镇国土空间总体规划（2021-2035年）》（以下简称《规划》），于2025年8月7日获涞源县人民政府批复（〔2025〕82号）。现根据《中共中央国务院关于建立国土空间规划体系并监督实施的若干意见》（中发〔2019〕18 号）、《中华人民共和国城乡规划法》、《河北省城乡规划条例》、《中华人民共和国政府信息公开条例》等法律法规，现对《规划》成果予以公开。</w:t>
      </w:r>
    </w:p>
    <w:p w14:paraId="2EC023F8">
      <w:pPr>
        <w:numPr>
          <w:ilvl w:val="0"/>
          <w:numId w:val="1"/>
        </w:numPr>
        <w:spacing w:line="560" w:lineRule="exact"/>
        <w:ind w:firstLine="640" w:firstLineChars="200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规划期限</w:t>
      </w:r>
    </w:p>
    <w:p w14:paraId="65B039B6">
      <w:pPr>
        <w:numPr>
          <w:numId w:val="0"/>
        </w:num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2021-2035年</w:t>
      </w:r>
    </w:p>
    <w:p w14:paraId="2BECC4C4">
      <w:pPr>
        <w:numPr>
          <w:ilvl w:val="0"/>
          <w:numId w:val="1"/>
        </w:numPr>
        <w:spacing w:line="560" w:lineRule="exact"/>
        <w:ind w:left="0" w:leftChars="0" w:firstLine="640" w:firstLineChars="200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规划范围</w:t>
      </w:r>
    </w:p>
    <w:p w14:paraId="3264DEB9">
      <w:pPr>
        <w:numPr>
          <w:numId w:val="0"/>
        </w:num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银坊镇行政管辖范围，总面积约2</w:t>
      </w:r>
      <w:r>
        <w:rPr>
          <w:rFonts w:ascii="仿宋_GB2312" w:hAnsi="仿宋_GB2312" w:eastAsia="仿宋_GB2312" w:cs="仿宋_GB2312"/>
          <w:sz w:val="32"/>
          <w:szCs w:val="32"/>
          <w:shd w:val="clear" w:color="auto" w:fill="FFFFFF"/>
        </w:rPr>
        <w:t>43.11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平方公里，辖</w:t>
      </w:r>
      <w:r>
        <w:rPr>
          <w:rFonts w:ascii="仿宋_GB2312" w:hAnsi="仿宋_GB2312" w:eastAsia="仿宋_GB2312" w:cs="仿宋_GB2312"/>
          <w:sz w:val="32"/>
          <w:szCs w:val="32"/>
          <w:shd w:val="clear" w:color="auto" w:fill="FFFFFF"/>
        </w:rPr>
        <w:t>21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个行政村；本次规划镇政府驻地位于银坊村，镇区城镇开发边界面积</w:t>
      </w:r>
      <w:r>
        <w:rPr>
          <w:rFonts w:ascii="仿宋_GB2312" w:hAnsi="仿宋_GB2312" w:eastAsia="仿宋_GB2312" w:cs="仿宋_GB2312"/>
          <w:sz w:val="32"/>
          <w:szCs w:val="32"/>
          <w:shd w:val="clear" w:color="auto" w:fill="FFFFFF"/>
        </w:rPr>
        <w:t>20.41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公顷。</w:t>
      </w:r>
    </w:p>
    <w:p w14:paraId="5776248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三、城镇定位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：</w:t>
      </w:r>
      <w:r>
        <w:rPr>
          <w:rFonts w:hint="eastAsia" w:ascii="仿宋" w:hAnsi="仿宋" w:eastAsia="仿宋" w:cs="Times New Roman"/>
          <w:sz w:val="32"/>
          <w:szCs w:val="32"/>
          <w:shd w:val="clear" w:color="auto" w:fill="FFFFFF"/>
        </w:rPr>
        <w:t>涞源县域东南门户小镇，以发展生态旅游、休闲康养为主的旅游服务特色镇。</w:t>
      </w:r>
    </w:p>
    <w:p w14:paraId="07BEA6FC">
      <w:pPr>
        <w:spacing w:line="560" w:lineRule="exact"/>
        <w:ind w:firstLine="640" w:firstLineChars="200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四、国土空间开发保护总体格局</w:t>
      </w:r>
    </w:p>
    <w:p w14:paraId="7656F474">
      <w:pPr>
        <w:pStyle w:val="5"/>
        <w:autoSpaceDE w:val="0"/>
        <w:autoSpaceDN w:val="0"/>
        <w:spacing w:before="0" w:beforeAutospacing="0" w:after="0" w:afterAutospacing="0" w:line="560" w:lineRule="exact"/>
        <w:ind w:firstLine="640" w:firstLineChars="200"/>
        <w:jc w:val="both"/>
        <w:rPr>
          <w:rFonts w:ascii="仿宋" w:hAnsi="仿宋" w:eastAsia="仿宋" w:cs="Times New Roman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Times New Roman"/>
          <w:sz w:val="32"/>
          <w:szCs w:val="32"/>
          <w:shd w:val="clear" w:color="auto" w:fill="FFFFFF"/>
        </w:rPr>
        <w:t>规划形成“一区、一心、两轴、三带、多点”的国土空间开发保护的总体格局。</w:t>
      </w:r>
    </w:p>
    <w:p w14:paraId="00ECF484">
      <w:pPr>
        <w:pStyle w:val="5"/>
        <w:autoSpaceDE w:val="0"/>
        <w:autoSpaceDN w:val="0"/>
        <w:spacing w:before="0" w:beforeAutospacing="0" w:after="0" w:afterAutospacing="0" w:line="560" w:lineRule="exact"/>
        <w:ind w:firstLine="640" w:firstLineChars="200"/>
        <w:jc w:val="both"/>
        <w:rPr>
          <w:rFonts w:ascii="仿宋" w:hAnsi="仿宋" w:eastAsia="仿宋" w:cs="Times New Roman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Times New Roman"/>
          <w:sz w:val="32"/>
          <w:szCs w:val="32"/>
          <w:shd w:val="clear" w:color="auto" w:fill="FFFFFF"/>
        </w:rPr>
        <w:t>一区——以白石山景区为依托，以镇域自然风光为底蕴，将全镇域作为旅游区。</w:t>
      </w:r>
    </w:p>
    <w:p w14:paraId="1D6D0E7F">
      <w:pPr>
        <w:pStyle w:val="5"/>
        <w:autoSpaceDE w:val="0"/>
        <w:autoSpaceDN w:val="0"/>
        <w:spacing w:before="0" w:beforeAutospacing="0" w:after="0" w:afterAutospacing="0" w:line="560" w:lineRule="exact"/>
        <w:ind w:firstLine="640" w:firstLineChars="200"/>
        <w:jc w:val="both"/>
        <w:rPr>
          <w:rFonts w:ascii="仿宋" w:hAnsi="仿宋" w:eastAsia="仿宋" w:cs="Times New Roman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Times New Roman"/>
          <w:sz w:val="32"/>
          <w:szCs w:val="32"/>
          <w:shd w:val="clear" w:color="auto" w:fill="FFFFFF"/>
        </w:rPr>
        <w:t>一心——指银坊镇区，作为镇域的发展核心，带动全镇政治、经济、社会等全面发展。</w:t>
      </w:r>
    </w:p>
    <w:p w14:paraId="7BD1EDDC">
      <w:pPr>
        <w:pStyle w:val="5"/>
        <w:autoSpaceDE w:val="0"/>
        <w:autoSpaceDN w:val="0"/>
        <w:spacing w:before="0" w:beforeAutospacing="0" w:after="0" w:afterAutospacing="0" w:line="560" w:lineRule="exact"/>
        <w:ind w:firstLine="640" w:firstLineChars="200"/>
        <w:jc w:val="both"/>
        <w:rPr>
          <w:rFonts w:ascii="仿宋" w:hAnsi="仿宋" w:eastAsia="仿宋" w:cs="Times New Roman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Times New Roman"/>
          <w:sz w:val="32"/>
          <w:szCs w:val="32"/>
          <w:shd w:val="clear" w:color="auto" w:fill="FFFFFF"/>
        </w:rPr>
        <w:t>两轴——两轴分别指以县道下银线为依托的镇域纵向发展轴，和以省道</w:t>
      </w:r>
      <w:r>
        <w:rPr>
          <w:rFonts w:ascii="仿宋" w:hAnsi="仿宋" w:eastAsia="仿宋" w:cs="Times New Roman"/>
          <w:sz w:val="32"/>
          <w:szCs w:val="32"/>
          <w:shd w:val="clear" w:color="auto" w:fill="FFFFFF"/>
        </w:rPr>
        <w:t>241</w:t>
      </w:r>
      <w:r>
        <w:rPr>
          <w:rFonts w:hint="eastAsia" w:ascii="仿宋" w:hAnsi="仿宋" w:eastAsia="仿宋" w:cs="Times New Roman"/>
          <w:sz w:val="32"/>
          <w:szCs w:val="32"/>
          <w:shd w:val="clear" w:color="auto" w:fill="FFFFFF"/>
        </w:rPr>
        <w:t>为依托的镇域横向发展轴。是镇域与外界联系的重要通道，也是连接和带动镇域各村全方位生长的重要纽带。</w:t>
      </w:r>
    </w:p>
    <w:p w14:paraId="3F9F0074">
      <w:pPr>
        <w:pStyle w:val="5"/>
        <w:autoSpaceDE w:val="0"/>
        <w:autoSpaceDN w:val="0"/>
        <w:spacing w:before="0" w:beforeAutospacing="0" w:after="0" w:afterAutospacing="0" w:line="560" w:lineRule="exact"/>
        <w:ind w:firstLine="640" w:firstLineChars="200"/>
        <w:jc w:val="both"/>
        <w:rPr>
          <w:rFonts w:ascii="仿宋" w:hAnsi="仿宋" w:eastAsia="仿宋" w:cs="Times New Roman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Times New Roman"/>
          <w:sz w:val="32"/>
          <w:szCs w:val="32"/>
          <w:shd w:val="clear" w:color="auto" w:fill="FFFFFF"/>
        </w:rPr>
        <w:t>三带</w:t>
      </w:r>
      <w:r>
        <w:rPr>
          <w:rFonts w:ascii="仿宋" w:hAnsi="仿宋" w:eastAsia="仿宋" w:cs="Times New Roman"/>
          <w:sz w:val="32"/>
          <w:szCs w:val="32"/>
          <w:shd w:val="clear" w:color="auto" w:fill="FFFFFF"/>
        </w:rPr>
        <w:t>——</w:t>
      </w:r>
      <w:r>
        <w:rPr>
          <w:rFonts w:hint="eastAsia" w:ascii="仿宋" w:hAnsi="仿宋" w:eastAsia="仿宋" w:cs="Times New Roman"/>
          <w:sz w:val="32"/>
          <w:szCs w:val="32"/>
          <w:shd w:val="clear" w:color="auto" w:fill="FFFFFF"/>
        </w:rPr>
        <w:t>利用雁宿崖歼灭战-黄土岭战役-唐县白求恩纪念馆等红色基因、合婚台杏树台的历史传说故事和白石山自然风光，沿交通廊道、山谷沟域形成的三条旅游发展带。</w:t>
      </w:r>
    </w:p>
    <w:p w14:paraId="51E1372F">
      <w:pPr>
        <w:pStyle w:val="5"/>
        <w:autoSpaceDE w:val="0"/>
        <w:autoSpaceDN w:val="0"/>
        <w:spacing w:before="0" w:beforeAutospacing="0" w:after="0" w:afterAutospacing="0" w:line="560" w:lineRule="exact"/>
        <w:ind w:firstLine="640" w:firstLineChars="200"/>
        <w:jc w:val="both"/>
        <w:rPr>
          <w:rFonts w:ascii="仿宋" w:hAnsi="仿宋" w:eastAsia="仿宋" w:cs="Times New Roman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Times New Roman"/>
          <w:sz w:val="32"/>
          <w:szCs w:val="32"/>
          <w:shd w:val="clear" w:color="auto" w:fill="FFFFFF"/>
        </w:rPr>
        <w:t>多点——指镇域内的多个行政村，构建以中草药为特色农产品种植区，是镇域内发展沟峪经济的基础。</w:t>
      </w:r>
    </w:p>
    <w:p w14:paraId="24E327ED">
      <w:pPr>
        <w:spacing w:line="560" w:lineRule="exact"/>
        <w:ind w:firstLine="640" w:firstLineChars="200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五、镇政府驻地规划规模与空间结构</w:t>
      </w:r>
    </w:p>
    <w:p w14:paraId="4655C3AD">
      <w:pPr>
        <w:spacing w:line="560" w:lineRule="exact"/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shd w:val="clear" w:color="auto" w:fill="FFFFFF"/>
        </w:rPr>
        <w:t>（一）规划规模</w:t>
      </w:r>
    </w:p>
    <w:p w14:paraId="13C4CA06">
      <w:pPr>
        <w:pStyle w:val="5"/>
        <w:autoSpaceDE w:val="0"/>
        <w:autoSpaceDN w:val="0"/>
        <w:spacing w:before="0" w:beforeAutospacing="0" w:after="0" w:afterAutospacing="0" w:line="560" w:lineRule="exact"/>
        <w:ind w:firstLine="640" w:firstLineChars="200"/>
        <w:jc w:val="both"/>
        <w:rPr>
          <w:rFonts w:ascii="仿宋" w:hAnsi="仿宋" w:eastAsia="仿宋" w:cs="Times New Roman"/>
          <w:sz w:val="32"/>
          <w:szCs w:val="32"/>
          <w:shd w:val="clear" w:color="auto" w:fill="FFFFFF"/>
        </w:rPr>
      </w:pPr>
      <w:bookmarkStart w:id="0" w:name="_Hlk187075005"/>
      <w:r>
        <w:rPr>
          <w:rFonts w:hint="eastAsia" w:ascii="仿宋" w:hAnsi="仿宋" w:eastAsia="仿宋" w:cs="Times New Roman"/>
          <w:sz w:val="32"/>
          <w:szCs w:val="32"/>
          <w:shd w:val="clear" w:color="auto" w:fill="FFFFFF"/>
        </w:rPr>
        <w:t>至2035年镇区城镇开发边界内规划用地规模</w:t>
      </w:r>
      <w:r>
        <w:rPr>
          <w:rFonts w:ascii="仿宋" w:hAnsi="仿宋" w:eastAsia="仿宋" w:cs="Times New Roman"/>
          <w:sz w:val="32"/>
          <w:szCs w:val="32"/>
          <w:shd w:val="clear" w:color="auto" w:fill="FFFFFF"/>
        </w:rPr>
        <w:t>20.41</w:t>
      </w:r>
      <w:r>
        <w:rPr>
          <w:rFonts w:hint="eastAsia" w:ascii="仿宋" w:hAnsi="仿宋" w:eastAsia="仿宋" w:cs="Times New Roman"/>
          <w:sz w:val="32"/>
          <w:szCs w:val="32"/>
          <w:shd w:val="clear" w:color="auto" w:fill="FFFFFF"/>
        </w:rPr>
        <w:t>公顷 ，人口为0.</w:t>
      </w:r>
      <w:r>
        <w:rPr>
          <w:rFonts w:ascii="仿宋" w:hAnsi="仿宋" w:eastAsia="仿宋" w:cs="Times New Roman"/>
          <w:sz w:val="32"/>
          <w:szCs w:val="32"/>
          <w:shd w:val="clear" w:color="auto" w:fill="FFFFFF"/>
        </w:rPr>
        <w:t>19</w:t>
      </w:r>
      <w:r>
        <w:rPr>
          <w:rFonts w:hint="eastAsia" w:ascii="仿宋" w:hAnsi="仿宋" w:eastAsia="仿宋" w:cs="Times New Roman"/>
          <w:sz w:val="32"/>
          <w:szCs w:val="32"/>
          <w:shd w:val="clear" w:color="auto" w:fill="FFFFFF"/>
        </w:rPr>
        <w:t>万人,人均建设用地</w:t>
      </w:r>
      <w:r>
        <w:rPr>
          <w:rFonts w:ascii="仿宋" w:hAnsi="仿宋" w:eastAsia="仿宋" w:cs="Times New Roman"/>
          <w:sz w:val="32"/>
          <w:szCs w:val="32"/>
          <w:shd w:val="clear" w:color="auto" w:fill="FFFFFF"/>
        </w:rPr>
        <w:t>107.42</w:t>
      </w:r>
      <w:r>
        <w:rPr>
          <w:rFonts w:hint="eastAsia" w:ascii="仿宋" w:hAnsi="仿宋" w:eastAsia="仿宋" w:cs="Times New Roman"/>
          <w:sz w:val="32"/>
          <w:szCs w:val="32"/>
          <w:shd w:val="clear" w:color="auto" w:fill="FFFFFF"/>
        </w:rPr>
        <w:t>平方米</w:t>
      </w:r>
      <w:bookmarkEnd w:id="0"/>
      <w:r>
        <w:rPr>
          <w:rFonts w:hint="eastAsia" w:ascii="仿宋" w:hAnsi="仿宋" w:eastAsia="仿宋" w:cs="Times New Roman"/>
          <w:sz w:val="32"/>
          <w:szCs w:val="32"/>
          <w:shd w:val="clear" w:color="auto" w:fill="FFFFFF"/>
        </w:rPr>
        <w:t>。</w:t>
      </w:r>
    </w:p>
    <w:p w14:paraId="49BAF3E0">
      <w:pPr>
        <w:spacing w:line="560" w:lineRule="exact"/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shd w:val="clear" w:color="auto" w:fill="FFFFFF"/>
        </w:rPr>
        <w:t>（二）空间结构</w:t>
      </w:r>
    </w:p>
    <w:p w14:paraId="10474A3E">
      <w:pPr>
        <w:pStyle w:val="5"/>
        <w:autoSpaceDE w:val="0"/>
        <w:autoSpaceDN w:val="0"/>
        <w:spacing w:before="0" w:beforeAutospacing="0" w:after="0" w:afterAutospacing="0" w:line="560" w:lineRule="exact"/>
        <w:ind w:firstLine="640" w:firstLineChars="200"/>
        <w:jc w:val="both"/>
        <w:rPr>
          <w:rFonts w:ascii="仿宋" w:hAnsi="仿宋" w:eastAsia="仿宋" w:cs="Times New Roman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Times New Roman"/>
          <w:sz w:val="32"/>
          <w:szCs w:val="32"/>
          <w:shd w:val="clear" w:color="auto" w:fill="FFFFFF"/>
        </w:rPr>
        <w:t>形成“一心一带、一廊三区、多节点”的布局结构。</w:t>
      </w:r>
    </w:p>
    <w:p w14:paraId="19F7F38F">
      <w:pPr>
        <w:pStyle w:val="5"/>
        <w:autoSpaceDE w:val="0"/>
        <w:autoSpaceDN w:val="0"/>
        <w:spacing w:before="0" w:beforeAutospacing="0" w:after="0" w:afterAutospacing="0" w:line="560" w:lineRule="exact"/>
        <w:ind w:firstLine="640" w:firstLineChars="200"/>
        <w:jc w:val="both"/>
        <w:rPr>
          <w:rFonts w:ascii="仿宋" w:hAnsi="仿宋" w:eastAsia="仿宋" w:cs="Times New Roman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Times New Roman"/>
          <w:sz w:val="32"/>
          <w:szCs w:val="32"/>
          <w:shd w:val="clear" w:color="auto" w:fill="FFFFFF"/>
        </w:rPr>
        <w:t>“一心”：依托现状镇政府、学校、卫生院和周边繁华的商业设施形成镇区的主中心。</w:t>
      </w:r>
    </w:p>
    <w:p w14:paraId="58476FEB">
      <w:pPr>
        <w:pStyle w:val="5"/>
        <w:autoSpaceDE w:val="0"/>
        <w:autoSpaceDN w:val="0"/>
        <w:spacing w:before="0" w:beforeAutospacing="0" w:after="0" w:afterAutospacing="0" w:line="560" w:lineRule="exact"/>
        <w:ind w:firstLine="640" w:firstLineChars="200"/>
        <w:jc w:val="both"/>
        <w:rPr>
          <w:rFonts w:ascii="仿宋" w:hAnsi="仿宋" w:eastAsia="仿宋" w:cs="Times New Roman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Times New Roman"/>
          <w:sz w:val="32"/>
          <w:szCs w:val="32"/>
          <w:shd w:val="clear" w:color="auto" w:fill="FFFFFF"/>
        </w:rPr>
        <w:t>“一带”：沿现状S241省道，布局商业服务、宾馆酒店、景观绿化，打造由黄土岭至白石山南门旅游线上的驿站式服务带。它既是城市生长带，又是城市旅游生态景观带，彰显城市山水景观魅力。</w:t>
      </w:r>
    </w:p>
    <w:p w14:paraId="479D6256">
      <w:pPr>
        <w:pStyle w:val="5"/>
        <w:autoSpaceDE w:val="0"/>
        <w:autoSpaceDN w:val="0"/>
        <w:spacing w:before="0" w:beforeAutospacing="0" w:after="0" w:afterAutospacing="0" w:line="560" w:lineRule="exact"/>
        <w:ind w:firstLine="640" w:firstLineChars="200"/>
        <w:jc w:val="both"/>
        <w:rPr>
          <w:rFonts w:ascii="仿宋" w:hAnsi="仿宋" w:eastAsia="仿宋" w:cs="Times New Roman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Times New Roman"/>
          <w:sz w:val="32"/>
          <w:szCs w:val="32"/>
          <w:shd w:val="clear" w:color="auto" w:fill="FFFFFF"/>
        </w:rPr>
        <w:t>“一廊”：指利用镇区东南侧自然山体，结合道路和绿化节点，打造的一条绿化景观廊道，将周围自然景观引入镇区，形成绿化开敞空间。</w:t>
      </w:r>
    </w:p>
    <w:p w14:paraId="7BD26085">
      <w:pPr>
        <w:pStyle w:val="5"/>
        <w:autoSpaceDE w:val="0"/>
        <w:autoSpaceDN w:val="0"/>
        <w:spacing w:before="0" w:beforeAutospacing="0" w:after="0" w:afterAutospacing="0" w:line="560" w:lineRule="exact"/>
        <w:ind w:firstLine="640" w:firstLineChars="200"/>
        <w:jc w:val="both"/>
        <w:rPr>
          <w:rFonts w:ascii="仿宋" w:hAnsi="仿宋" w:eastAsia="仿宋" w:cs="Times New Roman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Times New Roman"/>
          <w:sz w:val="32"/>
          <w:szCs w:val="32"/>
          <w:shd w:val="clear" w:color="auto" w:fill="FFFFFF"/>
        </w:rPr>
        <w:t>“三区”：由道路和景观轴线将镇区建设用地分为三个居住生活片区。</w:t>
      </w:r>
    </w:p>
    <w:p w14:paraId="772FD08E">
      <w:pPr>
        <w:spacing w:line="560" w:lineRule="exact"/>
        <w:ind w:firstLine="640" w:firstLineChars="200"/>
        <w:rPr>
          <w:rFonts w:ascii="仿宋" w:hAnsi="仿宋" w:eastAsia="仿宋" w:cs="Times New Roman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Times New Roman"/>
          <w:sz w:val="32"/>
          <w:szCs w:val="32"/>
          <w:shd w:val="clear" w:color="auto" w:fill="FFFFFF"/>
        </w:rPr>
        <w:t>“多节点”指镇区的交通节点、街头绿地、自然景观形成的多个城市节点。</w:t>
      </w:r>
    </w:p>
    <w:p w14:paraId="081433DC"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0EEBF800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46A33961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04BA9461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6033041A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1A21CDDA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21A3FCBA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02CEA2F5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74189829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01046EA8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3ADE8A62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04407924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56755B0D">
      <w:pPr>
        <w:spacing w:line="560" w:lineRule="exact"/>
        <w:ind w:firstLine="640" w:firstLineChars="20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71AFFF84">
      <w:pPr>
        <w:spacing w:line="360" w:lineRule="auto"/>
        <w:jc w:val="lef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drawing>
          <wp:inline distT="0" distB="0" distL="0" distR="0">
            <wp:extent cx="8263890" cy="5531485"/>
            <wp:effectExtent l="0" t="5398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9" t="2813" r="664" b="359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13772" cy="5564896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E7EAB">
      <w:pPr>
        <w:spacing w:line="360" w:lineRule="auto"/>
        <w:jc w:val="lef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drawing>
          <wp:inline distT="0" distB="0" distL="0" distR="0">
            <wp:extent cx="8221345" cy="5473700"/>
            <wp:effectExtent l="2223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6" t="3344" b="334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44897" cy="548953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54D2EF">
      <w:pPr>
        <w:spacing w:line="360" w:lineRule="auto"/>
        <w:jc w:val="left"/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0002E96F">
      <w:pPr>
        <w:spacing w:line="360" w:lineRule="auto"/>
        <w:jc w:val="lef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drawing>
          <wp:inline distT="0" distB="0" distL="0" distR="0">
            <wp:extent cx="8319770" cy="5498465"/>
            <wp:effectExtent l="952" t="0" r="6033" b="6032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4" t="3837" b="359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33233" cy="55074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C48B5F">
      <w:pPr>
        <w:spacing w:line="360" w:lineRule="auto"/>
        <w:jc w:val="lef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0BF7E408">
      <w:pPr>
        <w:spacing w:line="360" w:lineRule="auto"/>
        <w:jc w:val="lef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1DDF8491">
      <w:pPr>
        <w:spacing w:line="360" w:lineRule="auto"/>
        <w:jc w:val="lef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drawing>
          <wp:inline distT="0" distB="0" distL="0" distR="0">
            <wp:extent cx="7901305" cy="5541010"/>
            <wp:effectExtent l="0" t="952" r="3492" b="3493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4" t="1278" r="1577" b="208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17363" cy="5552436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203B15">
      <w:pPr>
        <w:spacing w:line="360" w:lineRule="auto"/>
        <w:jc w:val="lef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6DE04076">
      <w:pPr>
        <w:spacing w:line="360" w:lineRule="auto"/>
        <w:jc w:val="lef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14599BB4">
      <w:pPr>
        <w:spacing w:line="360" w:lineRule="auto"/>
        <w:jc w:val="left"/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drawing>
          <wp:inline distT="0" distB="0" distL="0" distR="0">
            <wp:extent cx="8033385" cy="5377815"/>
            <wp:effectExtent l="0" t="5715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5" t="2988" r="-1" b="307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51860" cy="539041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2318F8"/>
    <w:multiLevelType w:val="singleLevel"/>
    <w:tmpl w:val="242318F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6A0"/>
    <w:rsid w:val="00145F96"/>
    <w:rsid w:val="006E3A10"/>
    <w:rsid w:val="007139D3"/>
    <w:rsid w:val="00787859"/>
    <w:rsid w:val="00A418B7"/>
    <w:rsid w:val="00A53146"/>
    <w:rsid w:val="00A716C0"/>
    <w:rsid w:val="00A86749"/>
    <w:rsid w:val="00CC44EC"/>
    <w:rsid w:val="00D74488"/>
    <w:rsid w:val="00D80885"/>
    <w:rsid w:val="00D85F4F"/>
    <w:rsid w:val="00D933BE"/>
    <w:rsid w:val="00F266A0"/>
    <w:rsid w:val="00FF3292"/>
    <w:rsid w:val="032F6F45"/>
    <w:rsid w:val="044E486A"/>
    <w:rsid w:val="1FCC2438"/>
    <w:rsid w:val="2EAE0F42"/>
    <w:rsid w:val="3154318D"/>
    <w:rsid w:val="33301D0B"/>
    <w:rsid w:val="391C1B5F"/>
    <w:rsid w:val="3C6329C5"/>
    <w:rsid w:val="3F5F7F07"/>
    <w:rsid w:val="4C1D088B"/>
    <w:rsid w:val="4CAE1DDD"/>
    <w:rsid w:val="5B417F4A"/>
    <w:rsid w:val="5D213C1A"/>
    <w:rsid w:val="5E72057F"/>
    <w:rsid w:val="66F43AF7"/>
    <w:rsid w:val="6A926AF6"/>
    <w:rsid w:val="6B31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character" w:customStyle="1" w:styleId="8">
    <w:name w:val="页眉 字符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1010</Words>
  <Characters>1075</Characters>
  <Lines>8</Lines>
  <Paragraphs>2</Paragraphs>
  <TotalTime>285</TotalTime>
  <ScaleCrop>false</ScaleCrop>
  <LinksUpToDate>false</LinksUpToDate>
  <CharactersWithSpaces>1077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2026-03-02T02:27:00Z</dcterms:created>
  <dc:creator>Administrator</dc:creator>
  <cp:lastModifiedBy>微信用户</cp:lastModifiedBy>
  <cp:lastPrinted>2026-03-03T02:45:00Z</cp:lastPrinted>
  <dcterms:modified xsi:type="dcterms:W3CDTF">2026-03-09T06:27:34Z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eyJoZGlkIjoiZmU1NDk5N2EyNDM3ZTRkYzg3NmM2ZDQyMTcwNzE3ZDgiLCJ1c2VySWQiOiIxMjE1MDgzMjg1In0=</vt:lpwstr>
  </property>
  <property fmtid="{D5CDD505-2E9C-101B-9397-08002B2CF9AE}" pid="4" name="ICV">
    <vt:lpwstr>58147EF34CBA4746B2F1E00EE337F2DB_13</vt:lpwstr>
  </property>
</Properties>
</file>