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4F6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b/>
          <w:bCs/>
          <w:i w:val="0"/>
          <w:iCs w:val="0"/>
          <w:caps w:val="0"/>
          <w:color w:val="auto"/>
          <w:spacing w:val="0"/>
          <w:sz w:val="44"/>
          <w:szCs w:val="44"/>
        </w:rPr>
      </w:pPr>
      <w:r>
        <w:rPr>
          <w:rFonts w:hint="eastAsia" w:ascii="方正小标宋简体" w:hAnsi="方正小标宋简体" w:eastAsia="方正小标宋简体" w:cs="方正小标宋简体"/>
          <w:b/>
          <w:bCs/>
          <w:i w:val="0"/>
          <w:iCs w:val="0"/>
          <w:caps w:val="0"/>
          <w:color w:val="auto"/>
          <w:spacing w:val="0"/>
          <w:sz w:val="44"/>
          <w:szCs w:val="44"/>
          <w:shd w:val="clear" w:fill="FFFFFF"/>
        </w:rPr>
        <w:t>关于《</w:t>
      </w:r>
      <w:r>
        <w:rPr>
          <w:rFonts w:hint="eastAsia" w:ascii="方正小标宋简体" w:hAnsi="方正小标宋简体" w:eastAsia="方正小标宋简体" w:cs="方正小标宋简体"/>
          <w:b/>
          <w:bCs/>
          <w:i w:val="0"/>
          <w:iCs w:val="0"/>
          <w:caps w:val="0"/>
          <w:color w:val="auto"/>
          <w:spacing w:val="0"/>
          <w:sz w:val="44"/>
          <w:szCs w:val="44"/>
          <w:shd w:val="clear" w:fill="FFFFFF"/>
          <w:lang w:val="en-US" w:eastAsia="zh-CN"/>
        </w:rPr>
        <w:t>涞源</w:t>
      </w:r>
      <w:r>
        <w:rPr>
          <w:rFonts w:hint="eastAsia" w:ascii="方正小标宋简体" w:hAnsi="方正小标宋简体" w:eastAsia="方正小标宋简体" w:cs="方正小标宋简体"/>
          <w:b/>
          <w:bCs/>
          <w:i w:val="0"/>
          <w:iCs w:val="0"/>
          <w:caps w:val="0"/>
          <w:color w:val="auto"/>
          <w:spacing w:val="0"/>
          <w:sz w:val="44"/>
          <w:szCs w:val="44"/>
          <w:shd w:val="clear" w:fill="FFFFFF"/>
        </w:rPr>
        <w:t>县</w:t>
      </w:r>
      <w:r>
        <w:rPr>
          <w:rFonts w:hint="eastAsia" w:ascii="方正小标宋简体" w:hAnsi="方正小标宋简体" w:eastAsia="方正小标宋简体" w:cs="方正小标宋简体"/>
          <w:b/>
          <w:bCs/>
          <w:i w:val="0"/>
          <w:iCs w:val="0"/>
          <w:caps w:val="0"/>
          <w:color w:val="auto"/>
          <w:spacing w:val="0"/>
          <w:sz w:val="44"/>
          <w:szCs w:val="44"/>
          <w:shd w:val="clear" w:fill="FFFFFF"/>
          <w:lang w:val="en-US" w:eastAsia="zh-CN"/>
        </w:rPr>
        <w:t>金家井乡</w:t>
      </w:r>
      <w:r>
        <w:rPr>
          <w:rFonts w:hint="eastAsia" w:ascii="方正小标宋简体" w:hAnsi="方正小标宋简体" w:eastAsia="方正小标宋简体" w:cs="方正小标宋简体"/>
          <w:b/>
          <w:bCs/>
          <w:i w:val="0"/>
          <w:iCs w:val="0"/>
          <w:caps w:val="0"/>
          <w:color w:val="auto"/>
          <w:spacing w:val="0"/>
          <w:sz w:val="44"/>
          <w:szCs w:val="44"/>
          <w:shd w:val="clear" w:fill="FFFFFF"/>
        </w:rPr>
        <w:t>国土空间总体规划（2021-2035年）》批后公告</w:t>
      </w:r>
    </w:p>
    <w:p w14:paraId="0D82E4B1">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宋体" w:eastAsia="仿宋_GB2312" w:cs="仿宋_GB2312"/>
          <w:i w:val="0"/>
          <w:iCs w:val="0"/>
          <w:caps w:val="0"/>
          <w:color w:val="auto"/>
          <w:spacing w:val="0"/>
          <w:sz w:val="32"/>
          <w:szCs w:val="32"/>
          <w:shd w:val="clear" w:fill="FFFFFF"/>
          <w:lang w:val="en-US" w:eastAsia="zh-CN"/>
        </w:rPr>
      </w:pPr>
    </w:p>
    <w:p w14:paraId="050901F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涞源</w:t>
      </w:r>
      <w:r>
        <w:rPr>
          <w:rFonts w:hint="eastAsia" w:ascii="仿宋_GB2312" w:hAnsi="仿宋_GB2312" w:eastAsia="仿宋_GB2312" w:cs="仿宋_GB2312"/>
          <w:i w:val="0"/>
          <w:iCs w:val="0"/>
          <w:caps w:val="0"/>
          <w:color w:val="auto"/>
          <w:spacing w:val="0"/>
          <w:sz w:val="32"/>
          <w:szCs w:val="32"/>
          <w:shd w:val="clear" w:fill="FFFFFF"/>
        </w:rPr>
        <w:t>县</w:t>
      </w:r>
      <w:r>
        <w:rPr>
          <w:rFonts w:hint="eastAsia" w:ascii="仿宋_GB2312" w:hAnsi="仿宋_GB2312" w:eastAsia="仿宋_GB2312" w:cs="仿宋_GB2312"/>
          <w:i w:val="0"/>
          <w:iCs w:val="0"/>
          <w:caps w:val="0"/>
          <w:color w:val="auto"/>
          <w:spacing w:val="0"/>
          <w:sz w:val="32"/>
          <w:szCs w:val="32"/>
          <w:shd w:val="clear" w:fill="FFFFFF"/>
          <w:lang w:val="en-US" w:eastAsia="zh-CN"/>
        </w:rPr>
        <w:t>金家井乡</w:t>
      </w:r>
      <w:r>
        <w:rPr>
          <w:rFonts w:hint="eastAsia" w:ascii="仿宋_GB2312" w:hAnsi="仿宋_GB2312" w:eastAsia="仿宋_GB2312" w:cs="仿宋_GB2312"/>
          <w:i w:val="0"/>
          <w:iCs w:val="0"/>
          <w:caps w:val="0"/>
          <w:color w:val="auto"/>
          <w:spacing w:val="0"/>
          <w:sz w:val="32"/>
          <w:szCs w:val="32"/>
          <w:shd w:val="clear" w:fill="FFFFFF"/>
        </w:rPr>
        <w:t>国土空间总体规划（2021-2035年）》（以下简称《规划》）</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于2025年</w:t>
      </w:r>
      <w:r>
        <w:rPr>
          <w:rFonts w:hint="eastAsia" w:ascii="仿宋_GB2312" w:hAnsi="仿宋_GB2312" w:eastAsia="仿宋_GB2312" w:cs="仿宋_GB2312"/>
          <w:i w:val="0"/>
          <w:iCs w:val="0"/>
          <w:caps w:val="0"/>
          <w:color w:val="auto"/>
          <w:spacing w:val="0"/>
          <w:sz w:val="32"/>
          <w:szCs w:val="32"/>
          <w:shd w:val="clear" w:fill="FFFFFF"/>
          <w:lang w:val="en-US" w:eastAsia="zh-CN"/>
        </w:rPr>
        <w:t>8</w:t>
      </w:r>
      <w:r>
        <w:rPr>
          <w:rFonts w:hint="eastAsia" w:ascii="仿宋_GB2312" w:hAnsi="仿宋_GB2312" w:eastAsia="仿宋_GB2312" w:cs="仿宋_GB2312"/>
          <w:i w:val="0"/>
          <w:iCs w:val="0"/>
          <w:caps w:val="0"/>
          <w:color w:val="auto"/>
          <w:spacing w:val="0"/>
          <w:sz w:val="32"/>
          <w:szCs w:val="32"/>
          <w:shd w:val="clear" w:fill="FFFFFF"/>
        </w:rPr>
        <w:t>月</w:t>
      </w:r>
      <w:r>
        <w:rPr>
          <w:rFonts w:hint="eastAsia" w:ascii="仿宋_GB2312" w:hAnsi="仿宋_GB2312" w:eastAsia="仿宋_GB2312" w:cs="仿宋_GB2312"/>
          <w:i w:val="0"/>
          <w:iCs w:val="0"/>
          <w:caps w:val="0"/>
          <w:color w:val="auto"/>
          <w:spacing w:val="0"/>
          <w:sz w:val="32"/>
          <w:szCs w:val="32"/>
          <w:shd w:val="clear" w:fill="FFFFFF"/>
          <w:lang w:val="en-US" w:eastAsia="zh-CN"/>
        </w:rPr>
        <w:t>7</w:t>
      </w:r>
      <w:r>
        <w:rPr>
          <w:rFonts w:hint="eastAsia" w:ascii="仿宋_GB2312" w:hAnsi="仿宋_GB2312" w:eastAsia="仿宋_GB2312" w:cs="仿宋_GB2312"/>
          <w:i w:val="0"/>
          <w:iCs w:val="0"/>
          <w:caps w:val="0"/>
          <w:color w:val="auto"/>
          <w:spacing w:val="0"/>
          <w:sz w:val="32"/>
          <w:szCs w:val="32"/>
          <w:shd w:val="clear" w:fill="FFFFFF"/>
        </w:rPr>
        <w:t>日获</w:t>
      </w:r>
      <w:r>
        <w:rPr>
          <w:rFonts w:hint="eastAsia" w:ascii="仿宋_GB2312" w:hAnsi="仿宋_GB2312" w:eastAsia="仿宋_GB2312" w:cs="仿宋_GB2312"/>
          <w:i w:val="0"/>
          <w:iCs w:val="0"/>
          <w:caps w:val="0"/>
          <w:color w:val="auto"/>
          <w:spacing w:val="0"/>
          <w:sz w:val="32"/>
          <w:szCs w:val="32"/>
          <w:shd w:val="clear" w:fill="FFFFFF"/>
          <w:lang w:val="en-US" w:eastAsia="zh-CN"/>
        </w:rPr>
        <w:t>涞源</w:t>
      </w:r>
      <w:r>
        <w:rPr>
          <w:rFonts w:hint="eastAsia" w:ascii="仿宋_GB2312" w:hAnsi="仿宋_GB2312" w:eastAsia="仿宋_GB2312" w:cs="仿宋_GB2312"/>
          <w:i w:val="0"/>
          <w:iCs w:val="0"/>
          <w:caps w:val="0"/>
          <w:color w:val="auto"/>
          <w:spacing w:val="0"/>
          <w:sz w:val="32"/>
          <w:szCs w:val="32"/>
          <w:shd w:val="clear" w:fill="FFFFFF"/>
        </w:rPr>
        <w:t>县人民政府批复</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2025</w:t>
      </w:r>
      <w:r>
        <w:rPr>
          <w:rFonts w:hint="eastAsia" w:ascii="仿宋_GB2312" w:hAnsi="仿宋_GB2312" w:eastAsia="仿宋_GB2312" w:cs="仿宋_GB2312"/>
          <w:i w:val="0"/>
          <w:iCs w:val="0"/>
          <w:caps w:val="0"/>
          <w:color w:val="auto"/>
          <w:spacing w:val="0"/>
          <w:sz w:val="32"/>
          <w:szCs w:val="32"/>
          <w:shd w:val="clear" w:fill="FFFFFF"/>
        </w:rPr>
        <w:t>〕</w:t>
      </w:r>
      <w:r>
        <w:rPr>
          <w:rFonts w:hint="eastAsia" w:ascii="仿宋_GB2312" w:hAnsi="仿宋_GB2312" w:eastAsia="仿宋_GB2312" w:cs="仿宋_GB2312"/>
          <w:i w:val="0"/>
          <w:iCs w:val="0"/>
          <w:caps w:val="0"/>
          <w:color w:val="auto"/>
          <w:spacing w:val="0"/>
          <w:sz w:val="32"/>
          <w:szCs w:val="32"/>
          <w:shd w:val="clear" w:fill="FFFFFF"/>
          <w:lang w:val="en-US" w:eastAsia="zh-CN"/>
        </w:rPr>
        <w:t>82</w:t>
      </w:r>
      <w:r>
        <w:rPr>
          <w:rFonts w:hint="eastAsia" w:ascii="仿宋_GB2312" w:hAnsi="仿宋_GB2312" w:eastAsia="仿宋_GB2312" w:cs="仿宋_GB2312"/>
          <w:i w:val="0"/>
          <w:iCs w:val="0"/>
          <w:caps w:val="0"/>
          <w:color w:val="auto"/>
          <w:spacing w:val="0"/>
          <w:sz w:val="32"/>
          <w:szCs w:val="32"/>
          <w:shd w:val="clear" w:fill="FFFFFF"/>
        </w:rPr>
        <w:t>号</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rPr>
        <w:t>。现根据《中共中央国务院关于建立国土空间规划体系并监督实施的若干意见》（中发〔2019〕18号）、</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中华人民共和国城乡规划法</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河北省城乡规划条例</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中华人民共和国政府信息公开条例</w:t>
      </w:r>
      <w:r>
        <w:rPr>
          <w:rFonts w:hint="eastAsia" w:ascii="仿宋_GB2312" w:hAnsi="仿宋_GB2312" w:eastAsia="仿宋_GB2312" w:cs="仿宋_GB2312"/>
          <w:i w:val="0"/>
          <w:iCs w:val="0"/>
          <w:caps w:val="0"/>
          <w:color w:val="auto"/>
          <w:spacing w:val="0"/>
          <w:sz w:val="32"/>
          <w:szCs w:val="32"/>
          <w:shd w:val="clear" w:fill="FFFFFF"/>
          <w:lang w:eastAsia="zh-CN"/>
        </w:rPr>
        <w:t>》</w:t>
      </w:r>
      <w:r>
        <w:rPr>
          <w:rFonts w:hint="eastAsia" w:ascii="仿宋_GB2312" w:hAnsi="仿宋_GB2312" w:eastAsia="仿宋_GB2312" w:cs="仿宋_GB2312"/>
          <w:i w:val="0"/>
          <w:iCs w:val="0"/>
          <w:caps w:val="0"/>
          <w:color w:val="auto"/>
          <w:spacing w:val="0"/>
          <w:sz w:val="32"/>
          <w:szCs w:val="32"/>
          <w:shd w:val="clear" w:fill="FFFFFF"/>
          <w:lang w:val="en-US" w:eastAsia="zh-CN"/>
        </w:rPr>
        <w:t>等法律法规</w:t>
      </w:r>
      <w:r>
        <w:rPr>
          <w:rFonts w:hint="eastAsia" w:ascii="仿宋_GB2312" w:hAnsi="仿宋_GB2312" w:eastAsia="仿宋_GB2312" w:cs="仿宋_GB2312"/>
          <w:i w:val="0"/>
          <w:iCs w:val="0"/>
          <w:caps w:val="0"/>
          <w:color w:val="auto"/>
          <w:spacing w:val="0"/>
          <w:sz w:val="32"/>
          <w:szCs w:val="32"/>
          <w:shd w:val="clear" w:fill="FFFFFF"/>
        </w:rPr>
        <w:t>，现对《规划》成果</w:t>
      </w:r>
      <w:r>
        <w:rPr>
          <w:rFonts w:hint="eastAsia" w:ascii="仿宋_GB2312" w:hAnsi="仿宋_GB2312" w:eastAsia="仿宋_GB2312" w:cs="仿宋_GB2312"/>
          <w:i w:val="0"/>
          <w:iCs w:val="0"/>
          <w:caps w:val="0"/>
          <w:color w:val="auto"/>
          <w:spacing w:val="0"/>
          <w:sz w:val="32"/>
          <w:szCs w:val="32"/>
          <w:shd w:val="clear" w:fill="FFFFFF"/>
          <w:lang w:val="en-US" w:eastAsia="zh-CN"/>
        </w:rPr>
        <w:t>予以公开。</w:t>
      </w:r>
    </w:p>
    <w:p w14:paraId="4FFF7D85">
      <w:pPr>
        <w:keepNext w:val="0"/>
        <w:keepLines w:val="0"/>
        <w:pageBreakBefore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i w:val="0"/>
          <w:iCs w:val="0"/>
          <w:caps w:val="0"/>
          <w:color w:val="auto"/>
          <w:spacing w:val="0"/>
          <w:sz w:val="32"/>
          <w:szCs w:val="32"/>
          <w:shd w:val="clear" w:fill="FFFFFF"/>
          <w:lang w:val="en-US" w:eastAsia="zh-CN"/>
        </w:rPr>
      </w:pPr>
      <w:r>
        <w:rPr>
          <w:rFonts w:hint="eastAsia" w:ascii="黑体" w:hAnsi="黑体" w:eastAsia="黑体" w:cs="黑体"/>
          <w:i w:val="0"/>
          <w:iCs w:val="0"/>
          <w:caps w:val="0"/>
          <w:color w:val="auto"/>
          <w:spacing w:val="0"/>
          <w:sz w:val="32"/>
          <w:szCs w:val="32"/>
          <w:shd w:val="clear" w:fill="FFFFFF"/>
          <w:lang w:val="en-US" w:eastAsia="zh-CN"/>
        </w:rPr>
        <w:t>一、规划期限</w:t>
      </w:r>
    </w:p>
    <w:p w14:paraId="65B039B6">
      <w:pPr>
        <w:keepNext w:val="0"/>
        <w:keepLines w:val="0"/>
        <w:pageBreakBefore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2021-2035年</w:t>
      </w:r>
    </w:p>
    <w:p w14:paraId="1F122389">
      <w:pPr>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i w:val="0"/>
          <w:iCs w:val="0"/>
          <w:caps w:val="0"/>
          <w:color w:val="auto"/>
          <w:spacing w:val="0"/>
          <w:sz w:val="32"/>
          <w:szCs w:val="32"/>
          <w:shd w:val="clear" w:fill="FFFFFF"/>
          <w:lang w:val="en-US" w:eastAsia="zh-CN"/>
        </w:rPr>
      </w:pPr>
      <w:r>
        <w:rPr>
          <w:rFonts w:hint="eastAsia" w:ascii="黑体" w:hAnsi="黑体" w:eastAsia="黑体" w:cs="黑体"/>
          <w:i w:val="0"/>
          <w:iCs w:val="0"/>
          <w:caps w:val="0"/>
          <w:color w:val="auto"/>
          <w:spacing w:val="0"/>
          <w:sz w:val="32"/>
          <w:szCs w:val="32"/>
          <w:shd w:val="clear" w:fill="FFFFFF"/>
          <w:lang w:val="en-US" w:eastAsia="zh-CN"/>
        </w:rPr>
        <w:t>规划范围</w:t>
      </w:r>
    </w:p>
    <w:p w14:paraId="3264DEB9">
      <w:pPr>
        <w:keepNext w:val="0"/>
        <w:keepLines w:val="0"/>
        <w:pageBreakBefore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金家井乡行政管辖范围，总面积约177.39平方公里，辖19个行政村；本次规划乡政府驻地位于金家井村。</w:t>
      </w:r>
    </w:p>
    <w:p w14:paraId="40338C71">
      <w:pPr>
        <w:keepNext w:val="0"/>
        <w:keepLines w:val="0"/>
        <w:pageBreakBefore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i w:val="0"/>
          <w:iCs w:val="0"/>
          <w:caps w:val="0"/>
          <w:color w:val="auto"/>
          <w:spacing w:val="0"/>
          <w:sz w:val="32"/>
          <w:szCs w:val="32"/>
          <w:shd w:val="clear" w:fill="FFFFFF"/>
          <w:lang w:val="en-US" w:eastAsia="zh-CN"/>
        </w:rPr>
      </w:pPr>
      <w:r>
        <w:rPr>
          <w:rFonts w:hint="eastAsia" w:ascii="黑体" w:hAnsi="黑体" w:eastAsia="黑体" w:cs="黑体"/>
          <w:i w:val="0"/>
          <w:iCs w:val="0"/>
          <w:caps w:val="0"/>
          <w:color w:val="auto"/>
          <w:spacing w:val="0"/>
          <w:sz w:val="32"/>
          <w:szCs w:val="32"/>
          <w:shd w:val="clear" w:fill="FFFFFF"/>
          <w:lang w:val="en-US" w:eastAsia="zh-CN"/>
        </w:rPr>
        <w:t>三、城镇性质</w:t>
      </w:r>
    </w:p>
    <w:p w14:paraId="5776248A">
      <w:pPr>
        <w:keepNext w:val="0"/>
        <w:keepLines w:val="0"/>
        <w:pageBreakBefore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color w:val="auto"/>
          <w:kern w:val="0"/>
          <w:sz w:val="32"/>
          <w:szCs w:val="22"/>
          <w:highlight w:val="none"/>
          <w:u w:val="none"/>
          <w:lang w:val="en-US" w:eastAsia="zh-CN"/>
        </w:rPr>
        <w:t>涞源县重点生态功能区，以旅游服务、生态农业和农产品加工为主的生态和美特色乡镇。</w:t>
      </w:r>
    </w:p>
    <w:p w14:paraId="07BEA6FC">
      <w:pPr>
        <w:keepNext w:val="0"/>
        <w:keepLines w:val="0"/>
        <w:pageBreakBefore w:val="0"/>
        <w:numPr>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i w:val="0"/>
          <w:iCs w:val="0"/>
          <w:caps w:val="0"/>
          <w:color w:val="auto"/>
          <w:spacing w:val="0"/>
          <w:sz w:val="32"/>
          <w:szCs w:val="32"/>
          <w:shd w:val="clear" w:fill="FFFFFF"/>
          <w:lang w:val="en-US" w:eastAsia="zh-CN"/>
        </w:rPr>
      </w:pPr>
      <w:bookmarkStart w:id="0" w:name="_GoBack"/>
      <w:bookmarkEnd w:id="0"/>
      <w:r>
        <w:rPr>
          <w:rFonts w:hint="eastAsia" w:ascii="黑体" w:hAnsi="黑体" w:eastAsia="黑体" w:cs="黑体"/>
          <w:i w:val="0"/>
          <w:iCs w:val="0"/>
          <w:caps w:val="0"/>
          <w:color w:val="auto"/>
          <w:spacing w:val="0"/>
          <w:sz w:val="32"/>
          <w:szCs w:val="32"/>
          <w:shd w:val="clear" w:fill="FFFFFF"/>
          <w:lang w:val="en-US" w:eastAsia="zh-CN"/>
        </w:rPr>
        <w:t>四、国土空间分区</w:t>
      </w:r>
    </w:p>
    <w:p w14:paraId="3866F9EC">
      <w:pPr>
        <w:pStyle w:val="3"/>
        <w:ind w:left="0" w:leftChars="0" w:firstLine="640" w:firstLineChars="200"/>
        <w:rPr>
          <w:rFonts w:hint="default" w:ascii="仿宋_GB2312" w:hAnsi="仿宋_GB2312" w:eastAsia="仿宋_GB2312" w:cs="仿宋_GB2312"/>
          <w:color w:val="auto"/>
          <w:kern w:val="0"/>
          <w:sz w:val="32"/>
          <w:szCs w:val="22"/>
          <w:highlight w:val="none"/>
          <w:u w:val="none"/>
          <w:lang w:val="en-US" w:eastAsia="zh-CN"/>
        </w:rPr>
      </w:pPr>
      <w:r>
        <w:rPr>
          <w:rFonts w:hint="default" w:ascii="仿宋_GB2312" w:hAnsi="仿宋_GB2312" w:eastAsia="仿宋_GB2312" w:cs="仿宋_GB2312"/>
          <w:color w:val="auto"/>
          <w:kern w:val="0"/>
          <w:sz w:val="32"/>
          <w:szCs w:val="22"/>
          <w:highlight w:val="none"/>
          <w:u w:val="none"/>
          <w:lang w:val="en-US" w:eastAsia="zh-CN"/>
        </w:rPr>
        <w:t>金家井乡落实生态保护区、生态控制区、农田保护区、</w:t>
      </w:r>
      <w:r>
        <w:rPr>
          <w:rFonts w:hint="eastAsia" w:ascii="仿宋_GB2312" w:hAnsi="仿宋_GB2312" w:eastAsia="仿宋_GB2312" w:cs="仿宋_GB2312"/>
          <w:color w:val="auto"/>
          <w:kern w:val="0"/>
          <w:sz w:val="32"/>
          <w:szCs w:val="22"/>
          <w:highlight w:val="none"/>
          <w:u w:val="none"/>
          <w:lang w:val="en-US" w:eastAsia="zh-CN"/>
        </w:rPr>
        <w:t>城镇发展区、</w:t>
      </w:r>
      <w:r>
        <w:rPr>
          <w:rFonts w:hint="default" w:ascii="仿宋_GB2312" w:hAnsi="仿宋_GB2312" w:eastAsia="仿宋_GB2312" w:cs="仿宋_GB2312"/>
          <w:color w:val="auto"/>
          <w:kern w:val="0"/>
          <w:sz w:val="32"/>
          <w:szCs w:val="22"/>
          <w:highlight w:val="none"/>
          <w:u w:val="none"/>
          <w:lang w:val="en-US" w:eastAsia="zh-CN"/>
        </w:rPr>
        <w:t>乡村发展区、矿产能源发展区</w:t>
      </w:r>
      <w:r>
        <w:rPr>
          <w:rFonts w:hint="eastAsia" w:ascii="仿宋_GB2312" w:hAnsi="仿宋_GB2312" w:eastAsia="仿宋_GB2312" w:cs="仿宋_GB2312"/>
          <w:color w:val="auto"/>
          <w:kern w:val="0"/>
          <w:sz w:val="32"/>
          <w:szCs w:val="22"/>
          <w:highlight w:val="none"/>
          <w:u w:val="none"/>
          <w:lang w:val="en-US" w:eastAsia="zh-CN"/>
        </w:rPr>
        <w:t>6</w:t>
      </w:r>
      <w:r>
        <w:rPr>
          <w:rFonts w:hint="default" w:ascii="仿宋_GB2312" w:hAnsi="仿宋_GB2312" w:eastAsia="仿宋_GB2312" w:cs="仿宋_GB2312"/>
          <w:color w:val="auto"/>
          <w:kern w:val="0"/>
          <w:sz w:val="32"/>
          <w:szCs w:val="22"/>
          <w:highlight w:val="none"/>
          <w:u w:val="none"/>
          <w:lang w:val="en-US" w:eastAsia="zh-CN"/>
        </w:rPr>
        <w:t>个一级规划分区。</w:t>
      </w:r>
    </w:p>
    <w:p w14:paraId="1E194688">
      <w:pPr>
        <w:pStyle w:val="3"/>
        <w:ind w:left="0" w:leftChars="0" w:firstLine="640" w:firstLineChars="200"/>
        <w:rPr>
          <w:rFonts w:hint="default" w:ascii="仿宋_GB2312" w:hAnsi="仿宋_GB2312" w:eastAsia="仿宋_GB2312" w:cs="仿宋_GB2312"/>
          <w:color w:val="auto"/>
          <w:kern w:val="0"/>
          <w:sz w:val="32"/>
          <w:szCs w:val="22"/>
          <w:highlight w:val="none"/>
          <w:u w:val="none"/>
          <w:lang w:val="en-US" w:eastAsia="zh-CN"/>
        </w:rPr>
      </w:pPr>
      <w:r>
        <w:rPr>
          <w:rFonts w:hint="default" w:ascii="仿宋_GB2312" w:hAnsi="仿宋_GB2312" w:eastAsia="仿宋_GB2312" w:cs="仿宋_GB2312"/>
          <w:color w:val="auto"/>
          <w:kern w:val="0"/>
          <w:sz w:val="32"/>
          <w:szCs w:val="22"/>
          <w:highlight w:val="none"/>
          <w:u w:val="none"/>
          <w:lang w:val="en-US" w:eastAsia="zh-CN"/>
        </w:rPr>
        <w:t>生态保护区主要为生态保护红线内区域</w:t>
      </w:r>
      <w:r>
        <w:rPr>
          <w:rFonts w:hint="eastAsia" w:ascii="仿宋_GB2312" w:hAnsi="仿宋_GB2312" w:eastAsia="仿宋_GB2312" w:cs="仿宋_GB2312"/>
          <w:color w:val="auto"/>
          <w:kern w:val="0"/>
          <w:sz w:val="32"/>
          <w:szCs w:val="22"/>
          <w:highlight w:val="none"/>
          <w:u w:val="none"/>
          <w:lang w:val="en-US" w:eastAsia="zh-CN"/>
        </w:rPr>
        <w:t>，该区为具有特殊重要生态功能或生态敏感脆弱、必须强制性严格保护的自然区域</w:t>
      </w:r>
      <w:r>
        <w:rPr>
          <w:rFonts w:hint="default" w:ascii="仿宋_GB2312" w:hAnsi="仿宋_GB2312" w:eastAsia="仿宋_GB2312" w:cs="仿宋_GB2312"/>
          <w:color w:val="auto"/>
          <w:kern w:val="0"/>
          <w:sz w:val="32"/>
          <w:szCs w:val="22"/>
          <w:highlight w:val="none"/>
          <w:u w:val="none"/>
          <w:lang w:val="en-US" w:eastAsia="zh-CN"/>
        </w:rPr>
        <w:t>；</w:t>
      </w:r>
    </w:p>
    <w:p w14:paraId="09DC3851">
      <w:pPr>
        <w:pStyle w:val="3"/>
        <w:ind w:left="0" w:leftChars="0" w:firstLine="640" w:firstLineChars="200"/>
        <w:rPr>
          <w:rFonts w:hint="default" w:ascii="仿宋_GB2312" w:hAnsi="仿宋_GB2312" w:eastAsia="仿宋_GB2312" w:cs="仿宋_GB2312"/>
          <w:color w:val="auto"/>
          <w:kern w:val="0"/>
          <w:sz w:val="32"/>
          <w:szCs w:val="22"/>
          <w:highlight w:val="none"/>
          <w:u w:val="none"/>
          <w:lang w:val="en-US" w:eastAsia="zh-CN"/>
        </w:rPr>
      </w:pPr>
      <w:r>
        <w:rPr>
          <w:rFonts w:hint="default" w:ascii="仿宋_GB2312" w:hAnsi="仿宋_GB2312" w:eastAsia="仿宋_GB2312" w:cs="仿宋_GB2312"/>
          <w:color w:val="auto"/>
          <w:kern w:val="0"/>
          <w:sz w:val="32"/>
          <w:szCs w:val="22"/>
          <w:highlight w:val="none"/>
          <w:u w:val="none"/>
          <w:lang w:val="en-US" w:eastAsia="zh-CN"/>
        </w:rPr>
        <w:t>生态控制区为生态保护红线外</w:t>
      </w:r>
      <w:r>
        <w:rPr>
          <w:rFonts w:hint="eastAsia" w:ascii="仿宋_GB2312" w:hAnsi="仿宋_GB2312" w:eastAsia="仿宋_GB2312" w:cs="仿宋_GB2312"/>
          <w:color w:val="auto"/>
          <w:kern w:val="0"/>
          <w:sz w:val="32"/>
          <w:szCs w:val="22"/>
          <w:highlight w:val="none"/>
          <w:u w:val="none"/>
          <w:lang w:val="en-US" w:eastAsia="zh-CN"/>
        </w:rPr>
        <w:t>需要予以保留原貌、强化生态保育和生态建设、限制开发建设的自然区域</w:t>
      </w:r>
      <w:r>
        <w:rPr>
          <w:rFonts w:hint="default" w:ascii="仿宋_GB2312" w:hAnsi="仿宋_GB2312" w:eastAsia="仿宋_GB2312" w:cs="仿宋_GB2312"/>
          <w:color w:val="auto"/>
          <w:kern w:val="0"/>
          <w:sz w:val="32"/>
          <w:szCs w:val="22"/>
          <w:highlight w:val="none"/>
          <w:u w:val="none"/>
          <w:lang w:val="en-US" w:eastAsia="zh-CN"/>
        </w:rPr>
        <w:t>；</w:t>
      </w:r>
    </w:p>
    <w:p w14:paraId="71236E8C">
      <w:pPr>
        <w:pStyle w:val="3"/>
        <w:ind w:left="0" w:leftChars="0" w:firstLine="640" w:firstLineChars="200"/>
        <w:rPr>
          <w:rFonts w:hint="default" w:ascii="仿宋_GB2312" w:hAnsi="仿宋_GB2312" w:eastAsia="仿宋_GB2312" w:cs="仿宋_GB2312"/>
          <w:color w:val="auto"/>
          <w:kern w:val="0"/>
          <w:sz w:val="32"/>
          <w:szCs w:val="22"/>
          <w:highlight w:val="none"/>
          <w:u w:val="none"/>
          <w:lang w:val="en-US" w:eastAsia="zh-CN"/>
        </w:rPr>
      </w:pPr>
      <w:r>
        <w:rPr>
          <w:rFonts w:hint="default" w:ascii="仿宋_GB2312" w:hAnsi="仿宋_GB2312" w:eastAsia="仿宋_GB2312" w:cs="仿宋_GB2312"/>
          <w:color w:val="auto"/>
          <w:kern w:val="0"/>
          <w:sz w:val="32"/>
          <w:szCs w:val="22"/>
          <w:highlight w:val="none"/>
          <w:u w:val="none"/>
          <w:lang w:val="en-US" w:eastAsia="zh-CN"/>
        </w:rPr>
        <w:t>农田保护区</w:t>
      </w:r>
      <w:r>
        <w:rPr>
          <w:rFonts w:hint="eastAsia" w:ascii="仿宋_GB2312" w:hAnsi="仿宋_GB2312" w:eastAsia="仿宋_GB2312" w:cs="仿宋_GB2312"/>
          <w:color w:val="auto"/>
          <w:kern w:val="0"/>
          <w:sz w:val="32"/>
          <w:szCs w:val="22"/>
          <w:highlight w:val="none"/>
          <w:u w:val="none"/>
          <w:lang w:val="en-US" w:eastAsia="zh-CN"/>
        </w:rPr>
        <w:t>为永久基本农田相对集中需严格保护的区域，是为维护粮食安全，切实保护耕地，促进农业生产和社会经济可持续发展，划定的需实行特殊保护和管理的区域</w:t>
      </w:r>
      <w:r>
        <w:rPr>
          <w:rFonts w:hint="default" w:ascii="仿宋_GB2312" w:hAnsi="仿宋_GB2312" w:eastAsia="仿宋_GB2312" w:cs="仿宋_GB2312"/>
          <w:color w:val="auto"/>
          <w:kern w:val="0"/>
          <w:sz w:val="32"/>
          <w:szCs w:val="22"/>
          <w:highlight w:val="none"/>
          <w:u w:val="none"/>
          <w:lang w:val="en-US" w:eastAsia="zh-CN"/>
        </w:rPr>
        <w:t>；</w:t>
      </w:r>
    </w:p>
    <w:p w14:paraId="52FDD08F">
      <w:pPr>
        <w:pStyle w:val="3"/>
        <w:ind w:left="0" w:leftChars="0" w:firstLine="640" w:firstLineChars="200"/>
        <w:rPr>
          <w:rFonts w:hint="eastAsia" w:ascii="仿宋_GB2312" w:hAnsi="仿宋_GB2312" w:eastAsia="仿宋_GB2312" w:cs="仿宋_GB2312"/>
          <w:color w:val="auto"/>
          <w:kern w:val="0"/>
          <w:sz w:val="32"/>
          <w:szCs w:val="22"/>
          <w:highlight w:val="none"/>
          <w:u w:val="none"/>
          <w:lang w:val="en-US" w:eastAsia="zh-CN"/>
        </w:rPr>
      </w:pPr>
      <w:r>
        <w:rPr>
          <w:rFonts w:hint="eastAsia" w:ascii="仿宋_GB2312" w:hAnsi="仿宋_GB2312" w:eastAsia="仿宋_GB2312" w:cs="仿宋_GB2312"/>
          <w:color w:val="auto"/>
          <w:kern w:val="0"/>
          <w:sz w:val="32"/>
          <w:szCs w:val="22"/>
          <w:highlight w:val="none"/>
          <w:u w:val="none"/>
          <w:lang w:val="en-US" w:eastAsia="zh-CN"/>
        </w:rPr>
        <w:t>城镇发展区为城镇开发边界围合的区域，严格落实城镇开发边界管控要求，所有建设行为应按照详细规划进行精细化管理，对城镇建设用地的总体和单项指标严格控制，实施规划用途管制与开发许可制度；</w:t>
      </w:r>
    </w:p>
    <w:p w14:paraId="3666C649">
      <w:pPr>
        <w:pStyle w:val="3"/>
        <w:ind w:left="0" w:leftChars="0" w:firstLine="640" w:firstLineChars="200"/>
        <w:rPr>
          <w:rFonts w:hint="default" w:ascii="仿宋_GB2312" w:hAnsi="仿宋_GB2312" w:eastAsia="仿宋_GB2312" w:cs="仿宋_GB2312"/>
          <w:color w:val="auto"/>
          <w:kern w:val="0"/>
          <w:sz w:val="32"/>
          <w:szCs w:val="22"/>
          <w:highlight w:val="none"/>
          <w:u w:val="none"/>
          <w:lang w:val="en-US" w:eastAsia="zh-CN"/>
        </w:rPr>
      </w:pPr>
      <w:r>
        <w:rPr>
          <w:rFonts w:hint="default" w:ascii="仿宋_GB2312" w:hAnsi="仿宋_GB2312" w:eastAsia="仿宋_GB2312" w:cs="仿宋_GB2312"/>
          <w:color w:val="auto"/>
          <w:kern w:val="0"/>
          <w:sz w:val="32"/>
          <w:szCs w:val="22"/>
          <w:highlight w:val="none"/>
          <w:u w:val="none"/>
          <w:lang w:val="en-US" w:eastAsia="zh-CN"/>
        </w:rPr>
        <w:t>乡村发展区</w:t>
      </w:r>
      <w:r>
        <w:rPr>
          <w:rFonts w:hint="eastAsia" w:ascii="仿宋_GB2312" w:hAnsi="仿宋_GB2312" w:eastAsia="仿宋_GB2312" w:cs="仿宋_GB2312"/>
          <w:color w:val="auto"/>
          <w:kern w:val="0"/>
          <w:sz w:val="32"/>
          <w:szCs w:val="22"/>
          <w:highlight w:val="none"/>
          <w:u w:val="none"/>
          <w:lang w:val="en-US" w:eastAsia="zh-CN"/>
        </w:rPr>
        <w:t>为农田保护区外，为满足农林牧渔等农业发展以及农民集中生活和生产配套为主的区域；</w:t>
      </w:r>
    </w:p>
    <w:p w14:paraId="6C5DD309">
      <w:pPr>
        <w:pStyle w:val="3"/>
        <w:ind w:left="0" w:leftChars="0" w:firstLine="640" w:firstLineChars="200"/>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default" w:ascii="仿宋_GB2312" w:hAnsi="仿宋_GB2312" w:eastAsia="仿宋_GB2312" w:cs="仿宋_GB2312"/>
          <w:color w:val="auto"/>
          <w:kern w:val="0"/>
          <w:sz w:val="32"/>
          <w:szCs w:val="22"/>
          <w:highlight w:val="none"/>
          <w:u w:val="none"/>
          <w:lang w:val="en-US" w:eastAsia="zh-CN"/>
        </w:rPr>
        <w:t>矿产能源发展区</w:t>
      </w:r>
      <w:r>
        <w:rPr>
          <w:rFonts w:hint="eastAsia" w:ascii="仿宋_GB2312" w:hAnsi="仿宋_GB2312" w:eastAsia="仿宋_GB2312" w:cs="仿宋_GB2312"/>
          <w:color w:val="auto"/>
          <w:kern w:val="0"/>
          <w:sz w:val="32"/>
          <w:szCs w:val="22"/>
          <w:highlight w:val="none"/>
          <w:u w:val="none"/>
          <w:lang w:val="en-US" w:eastAsia="zh-CN"/>
        </w:rPr>
        <w:t>为适应国家能源安全与矿业发展的重要陆域采矿区</w:t>
      </w:r>
      <w:r>
        <w:rPr>
          <w:rFonts w:hint="default" w:ascii="仿宋_GB2312" w:hAnsi="仿宋_GB2312" w:eastAsia="仿宋_GB2312" w:cs="仿宋_GB2312"/>
          <w:color w:val="auto"/>
          <w:kern w:val="0"/>
          <w:sz w:val="32"/>
          <w:szCs w:val="22"/>
          <w:highlight w:val="none"/>
          <w:u w:val="none"/>
          <w:lang w:val="en-US" w:eastAsia="zh-CN"/>
        </w:rPr>
        <w:t>。</w:t>
      </w:r>
    </w:p>
    <w:p w14:paraId="24E327ED">
      <w:pPr>
        <w:keepNext w:val="0"/>
        <w:keepLines w:val="0"/>
        <w:pageBreakBefore w:val="0"/>
        <w:numPr>
          <w:numId w:val="0"/>
        </w:numPr>
        <w:kinsoku/>
        <w:wordWrap/>
        <w:overflowPunct/>
        <w:topLinePunct w:val="0"/>
        <w:autoSpaceDE/>
        <w:autoSpaceDN/>
        <w:bidi w:val="0"/>
        <w:adjustRightInd/>
        <w:snapToGrid/>
        <w:spacing w:line="560" w:lineRule="exact"/>
        <w:ind w:leftChars="200"/>
        <w:textAlignment w:val="auto"/>
        <w:rPr>
          <w:rFonts w:hint="eastAsia" w:ascii="黑体" w:hAnsi="黑体" w:eastAsia="黑体" w:cs="黑体"/>
          <w:i w:val="0"/>
          <w:iCs w:val="0"/>
          <w:caps w:val="0"/>
          <w:color w:val="auto"/>
          <w:spacing w:val="0"/>
          <w:sz w:val="32"/>
          <w:szCs w:val="32"/>
          <w:shd w:val="clear" w:fill="FFFFFF"/>
          <w:lang w:val="en-US" w:eastAsia="zh-CN"/>
        </w:rPr>
      </w:pPr>
      <w:r>
        <w:rPr>
          <w:rFonts w:hint="eastAsia" w:ascii="黑体" w:hAnsi="黑体" w:eastAsia="黑体" w:cs="黑体"/>
          <w:i w:val="0"/>
          <w:iCs w:val="0"/>
          <w:caps w:val="0"/>
          <w:color w:val="auto"/>
          <w:spacing w:val="0"/>
          <w:sz w:val="32"/>
          <w:szCs w:val="32"/>
          <w:shd w:val="clear" w:fill="FFFFFF"/>
          <w:lang w:val="en-US" w:eastAsia="zh-CN"/>
        </w:rPr>
        <w:t>五、乡政府驻地规划规模与强度控制</w:t>
      </w:r>
    </w:p>
    <w:p w14:paraId="4655C3A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（一）规划规模</w:t>
      </w:r>
    </w:p>
    <w:p w14:paraId="3F49A0B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t>坚持紧凑集约布局，优化提升城镇功能，创造良好人居环境。到2035年，严格控制乡政府驻地范围内村庄建设用地规模不超过55.68公顷。</w:t>
      </w:r>
    </w:p>
    <w:p w14:paraId="49BAF3E0">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i w:val="0"/>
          <w:iCs w:val="0"/>
          <w:caps w:val="0"/>
          <w:color w:val="auto"/>
          <w:spacing w:val="0"/>
          <w:sz w:val="32"/>
          <w:szCs w:val="32"/>
          <w:shd w:val="clear" w:fill="FFFFFF"/>
          <w:lang w:val="en-US" w:eastAsia="zh-CN"/>
        </w:rPr>
      </w:pPr>
      <w:r>
        <w:rPr>
          <w:rFonts w:hint="eastAsia" w:ascii="仿宋_GB2312" w:hAnsi="仿宋_GB2312" w:eastAsia="仿宋_GB2312" w:cs="仿宋_GB2312"/>
          <w:b/>
          <w:bCs/>
          <w:i w:val="0"/>
          <w:iCs w:val="0"/>
          <w:caps w:val="0"/>
          <w:color w:val="auto"/>
          <w:spacing w:val="0"/>
          <w:sz w:val="32"/>
          <w:szCs w:val="32"/>
          <w:shd w:val="clear" w:fill="FFFFFF"/>
          <w:lang w:val="en-US" w:eastAsia="zh-CN"/>
        </w:rPr>
        <w:t>（二）强度控制</w:t>
      </w:r>
    </w:p>
    <w:p w14:paraId="5C8AD9D2">
      <w:pPr>
        <w:pStyle w:val="3"/>
        <w:ind w:left="0" w:leftChars="0" w:firstLine="640" w:firstLineChars="200"/>
        <w:rPr>
          <w:rFonts w:hint="eastAsia" w:ascii="仿宋_GB2312" w:hAnsi="仿宋_GB2312" w:eastAsia="仿宋_GB2312" w:cs="仿宋_GB2312"/>
          <w:color w:val="auto"/>
          <w:kern w:val="0"/>
          <w:sz w:val="32"/>
          <w:szCs w:val="22"/>
          <w:highlight w:val="none"/>
          <w:u w:val="none"/>
          <w:lang w:val="en-US" w:eastAsia="zh-CN"/>
        </w:rPr>
      </w:pPr>
      <w:r>
        <w:rPr>
          <w:rFonts w:hint="eastAsia" w:ascii="仿宋_GB2312" w:hAnsi="仿宋_GB2312" w:eastAsia="仿宋_GB2312" w:cs="仿宋_GB2312"/>
          <w:color w:val="auto"/>
          <w:kern w:val="0"/>
          <w:sz w:val="32"/>
          <w:szCs w:val="22"/>
          <w:highlight w:val="none"/>
          <w:u w:val="none"/>
          <w:lang w:val="en-US" w:eastAsia="zh-CN"/>
        </w:rPr>
        <w:t>乡政府驻地严格控制开发强度，分为强度一区、强度二区、强度三区三个分区</w:t>
      </w:r>
    </w:p>
    <w:p w14:paraId="0396D9C6">
      <w:pPr>
        <w:pStyle w:val="3"/>
        <w:ind w:left="0" w:leftChars="0" w:firstLine="640" w:firstLineChars="200"/>
        <w:rPr>
          <w:rFonts w:hint="eastAsia" w:ascii="仿宋_GB2312" w:hAnsi="仿宋_GB2312" w:eastAsia="仿宋_GB2312" w:cs="仿宋_GB2312"/>
          <w:color w:val="auto"/>
          <w:kern w:val="0"/>
          <w:sz w:val="32"/>
          <w:szCs w:val="22"/>
          <w:highlight w:val="none"/>
          <w:u w:val="none"/>
          <w:lang w:val="en-US" w:eastAsia="zh-CN"/>
        </w:rPr>
      </w:pPr>
      <w:r>
        <w:rPr>
          <w:rFonts w:hint="eastAsia" w:ascii="仿宋_GB2312" w:hAnsi="仿宋_GB2312" w:eastAsia="仿宋_GB2312" w:cs="仿宋_GB2312"/>
          <w:color w:val="auto"/>
          <w:kern w:val="0"/>
          <w:sz w:val="32"/>
          <w:szCs w:val="22"/>
          <w:highlight w:val="none"/>
          <w:u w:val="none"/>
          <w:lang w:val="en-US" w:eastAsia="zh-CN"/>
        </w:rPr>
        <w:t>强度一区为较高强度开发区，主要包括沿街商业设施、公用设施；</w:t>
      </w:r>
    </w:p>
    <w:p w14:paraId="161E96DC">
      <w:pPr>
        <w:pStyle w:val="3"/>
        <w:ind w:left="0" w:leftChars="0" w:firstLine="640" w:firstLineChars="200"/>
        <w:rPr>
          <w:rFonts w:hint="eastAsia" w:ascii="仿宋_GB2312" w:hAnsi="仿宋_GB2312" w:eastAsia="仿宋_GB2312" w:cs="仿宋_GB2312"/>
          <w:color w:val="auto"/>
          <w:kern w:val="0"/>
          <w:sz w:val="32"/>
          <w:szCs w:val="22"/>
          <w:highlight w:val="none"/>
          <w:u w:val="none"/>
          <w:lang w:val="en-US" w:eastAsia="zh-CN"/>
        </w:rPr>
      </w:pPr>
      <w:r>
        <w:rPr>
          <w:rFonts w:hint="eastAsia" w:ascii="仿宋_GB2312" w:hAnsi="仿宋_GB2312" w:eastAsia="仿宋_GB2312" w:cs="仿宋_GB2312"/>
          <w:color w:val="auto"/>
          <w:kern w:val="0"/>
          <w:sz w:val="32"/>
          <w:szCs w:val="22"/>
          <w:highlight w:val="none"/>
          <w:u w:val="none"/>
          <w:lang w:val="en-US" w:eastAsia="zh-CN"/>
        </w:rPr>
        <w:t>强度二区为中强度开发区，主要包括公共服务设施；</w:t>
      </w:r>
    </w:p>
    <w:p w14:paraId="15D4F507">
      <w:pPr>
        <w:pStyle w:val="3"/>
        <w:ind w:left="0" w:leftChars="0" w:firstLine="640" w:firstLineChars="200"/>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color w:val="auto"/>
          <w:kern w:val="0"/>
          <w:sz w:val="32"/>
          <w:szCs w:val="22"/>
          <w:highlight w:val="none"/>
          <w:u w:val="none"/>
          <w:lang w:val="en-US" w:eastAsia="zh-CN"/>
        </w:rPr>
        <w:t>强度三区为低强度开发区，主要包括居住用地和交通设施等。</w:t>
      </w:r>
    </w:p>
    <w:p w14:paraId="4BF991C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0253CAE3">
      <w:pPr>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br w:type="page"/>
      </w:r>
    </w:p>
    <w:p w14:paraId="2C7614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46D208F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drawing>
          <wp:inline distT="0" distB="0" distL="114300" distR="114300">
            <wp:extent cx="5264785" cy="3719830"/>
            <wp:effectExtent l="0" t="0" r="12065" b="13970"/>
            <wp:docPr id="4" name="图片 4" descr="07村庄布点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7村庄布点规划图"/>
                    <pic:cNvPicPr>
                      <a:picLocks noChangeAspect="1"/>
                    </pic:cNvPicPr>
                  </pic:nvPicPr>
                  <pic:blipFill>
                    <a:blip r:embed="rId4"/>
                    <a:stretch>
                      <a:fillRect/>
                    </a:stretch>
                  </pic:blipFill>
                  <pic:spPr>
                    <a:xfrm>
                      <a:off x="0" y="0"/>
                      <a:ext cx="5264785" cy="3719830"/>
                    </a:xfrm>
                    <a:prstGeom prst="rect">
                      <a:avLst/>
                    </a:prstGeom>
                  </pic:spPr>
                </pic:pic>
              </a:graphicData>
            </a:graphic>
          </wp:inline>
        </w:drawing>
      </w:r>
    </w:p>
    <w:p w14:paraId="5DCDCE7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6494D8B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drawing>
          <wp:inline distT="0" distB="0" distL="114300" distR="114300">
            <wp:extent cx="5335270" cy="3769995"/>
            <wp:effectExtent l="0" t="0" r="17780" b="1905"/>
            <wp:docPr id="3" name="图片 3" descr="11国土空间规划分区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1国土空间规划分区图"/>
                    <pic:cNvPicPr>
                      <a:picLocks noChangeAspect="1"/>
                    </pic:cNvPicPr>
                  </pic:nvPicPr>
                  <pic:blipFill>
                    <a:blip r:embed="rId5"/>
                    <a:stretch>
                      <a:fillRect/>
                    </a:stretch>
                  </pic:blipFill>
                  <pic:spPr>
                    <a:xfrm>
                      <a:off x="0" y="0"/>
                      <a:ext cx="5335270" cy="3769995"/>
                    </a:xfrm>
                    <a:prstGeom prst="rect">
                      <a:avLst/>
                    </a:prstGeom>
                  </pic:spPr>
                </pic:pic>
              </a:graphicData>
            </a:graphic>
          </wp:inline>
        </w:drawing>
      </w:r>
    </w:p>
    <w:p w14:paraId="44A514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3E8DA01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drawing>
          <wp:inline distT="0" distB="0" distL="114300" distR="114300">
            <wp:extent cx="5264785" cy="3719830"/>
            <wp:effectExtent l="0" t="0" r="12065" b="13970"/>
            <wp:docPr id="7" name="图片 7" descr="12国土空间用地布局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国土空间用地布局规划图"/>
                    <pic:cNvPicPr>
                      <a:picLocks noChangeAspect="1"/>
                    </pic:cNvPicPr>
                  </pic:nvPicPr>
                  <pic:blipFill>
                    <a:blip r:embed="rId6"/>
                    <a:stretch>
                      <a:fillRect/>
                    </a:stretch>
                  </pic:blipFill>
                  <pic:spPr>
                    <a:xfrm>
                      <a:off x="0" y="0"/>
                      <a:ext cx="5264785" cy="3719830"/>
                    </a:xfrm>
                    <a:prstGeom prst="rect">
                      <a:avLst/>
                    </a:prstGeom>
                  </pic:spPr>
                </pic:pic>
              </a:graphicData>
            </a:graphic>
          </wp:inline>
        </w:drawing>
      </w:r>
    </w:p>
    <w:p w14:paraId="09880F8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587FBA4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0AF31A1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drawing>
          <wp:inline distT="0" distB="0" distL="114300" distR="114300">
            <wp:extent cx="5260340" cy="3716020"/>
            <wp:effectExtent l="0" t="0" r="16510" b="17780"/>
            <wp:docPr id="2" name="图片 2" descr="16国土空间用地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国土空间用地规划图"/>
                    <pic:cNvPicPr>
                      <a:picLocks noChangeAspect="1"/>
                    </pic:cNvPicPr>
                  </pic:nvPicPr>
                  <pic:blipFill>
                    <a:blip r:embed="rId7"/>
                    <a:stretch>
                      <a:fillRect/>
                    </a:stretch>
                  </pic:blipFill>
                  <pic:spPr>
                    <a:xfrm>
                      <a:off x="0" y="0"/>
                      <a:ext cx="5260340" cy="3716020"/>
                    </a:xfrm>
                    <a:prstGeom prst="rect">
                      <a:avLst/>
                    </a:prstGeom>
                  </pic:spPr>
                </pic:pic>
              </a:graphicData>
            </a:graphic>
          </wp:inline>
        </w:drawing>
      </w:r>
    </w:p>
    <w:p w14:paraId="47BDF7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i w:val="0"/>
          <w:iCs w:val="0"/>
          <w:caps w:val="0"/>
          <w:color w:val="auto"/>
          <w:spacing w:val="0"/>
          <w:sz w:val="32"/>
          <w:szCs w:val="32"/>
          <w:shd w:val="clear" w:fill="FFFFFF"/>
          <w:lang w:val="en-US" w:eastAsia="zh-CN"/>
        </w:rPr>
        <w:drawing>
          <wp:inline distT="0" distB="0" distL="114300" distR="114300">
            <wp:extent cx="5260340" cy="3716020"/>
            <wp:effectExtent l="0" t="0" r="16510" b="17780"/>
            <wp:docPr id="6" name="图片 6" descr="17开发强度分区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开发强度分区规划图"/>
                    <pic:cNvPicPr>
                      <a:picLocks noChangeAspect="1"/>
                    </pic:cNvPicPr>
                  </pic:nvPicPr>
                  <pic:blipFill>
                    <a:blip r:embed="rId8"/>
                    <a:stretch>
                      <a:fillRect/>
                    </a:stretch>
                  </pic:blipFill>
                  <pic:spPr>
                    <a:xfrm>
                      <a:off x="0" y="0"/>
                      <a:ext cx="5260340" cy="3716020"/>
                    </a:xfrm>
                    <a:prstGeom prst="rect">
                      <a:avLst/>
                    </a:prstGeom>
                  </pic:spPr>
                </pic:pic>
              </a:graphicData>
            </a:graphic>
          </wp:inline>
        </w:drawing>
      </w:r>
    </w:p>
    <w:p w14:paraId="4C85B65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4C2DD48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p w14:paraId="0501086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i w:val="0"/>
          <w:iCs w:val="0"/>
          <w:caps w:val="0"/>
          <w:color w:val="auto"/>
          <w:spacing w:val="0"/>
          <w:sz w:val="32"/>
          <w:szCs w:val="32"/>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907305"/>
    <w:multiLevelType w:val="singleLevel"/>
    <w:tmpl w:val="3C90730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F6F45"/>
    <w:rsid w:val="06232A4F"/>
    <w:rsid w:val="066071A5"/>
    <w:rsid w:val="0B36617C"/>
    <w:rsid w:val="115F7721"/>
    <w:rsid w:val="12056860"/>
    <w:rsid w:val="13517FF7"/>
    <w:rsid w:val="16585B40"/>
    <w:rsid w:val="16750620"/>
    <w:rsid w:val="1E0A7720"/>
    <w:rsid w:val="1FCC2438"/>
    <w:rsid w:val="204607B7"/>
    <w:rsid w:val="2441528D"/>
    <w:rsid w:val="2EAE0F42"/>
    <w:rsid w:val="30283CC0"/>
    <w:rsid w:val="3154318D"/>
    <w:rsid w:val="33301D0B"/>
    <w:rsid w:val="34F860CC"/>
    <w:rsid w:val="36543D51"/>
    <w:rsid w:val="391C1B5F"/>
    <w:rsid w:val="3A06128C"/>
    <w:rsid w:val="3C6329C5"/>
    <w:rsid w:val="3F5F7F07"/>
    <w:rsid w:val="427D5E63"/>
    <w:rsid w:val="48BA7E81"/>
    <w:rsid w:val="4C1D088B"/>
    <w:rsid w:val="4CAE1DDD"/>
    <w:rsid w:val="4D98024B"/>
    <w:rsid w:val="4EF70D4B"/>
    <w:rsid w:val="5394125E"/>
    <w:rsid w:val="59F128BF"/>
    <w:rsid w:val="5B417F4A"/>
    <w:rsid w:val="5D213C1A"/>
    <w:rsid w:val="5E72057F"/>
    <w:rsid w:val="63C11A36"/>
    <w:rsid w:val="66F43AF7"/>
    <w:rsid w:val="672C1A82"/>
    <w:rsid w:val="68336E40"/>
    <w:rsid w:val="694B0980"/>
    <w:rsid w:val="695F613F"/>
    <w:rsid w:val="6A926AF6"/>
    <w:rsid w:val="6B317A09"/>
    <w:rsid w:val="6D617FAC"/>
    <w:rsid w:val="726C0742"/>
    <w:rsid w:val="79DA711C"/>
    <w:rsid w:val="7A561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oc 2"/>
    <w:basedOn w:val="1"/>
    <w:next w:val="1"/>
    <w:qFormat/>
    <w:uiPriority w:val="39"/>
    <w:pPr>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895</Words>
  <Characters>943</Characters>
  <Lines>0</Lines>
  <Paragraphs>0</Paragraphs>
  <TotalTime>9</TotalTime>
  <ScaleCrop>false</ScaleCrop>
  <LinksUpToDate>false</LinksUpToDate>
  <CharactersWithSpaces>943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2026-03-02T00:03:00Z</dcterms:created>
  <dc:creator>Administrator</dc:creator>
  <cp:lastModifiedBy>微信用户</cp:lastModifiedBy>
  <dcterms:modified xsi:type="dcterms:W3CDTF">2026-03-09T06:21:57Z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eyJoZGlkIjoiZmU1NDk5N2EyNDM3ZTRkYzg3NmM2ZDQyMTcwNzE3ZDgiLCJ1c2VySWQiOiIxMjE1MDgzMjg1In0=</vt:lpwstr>
  </property>
  <property fmtid="{D5CDD505-2E9C-101B-9397-08002B2CF9AE}" pid="4" name="ICV">
    <vt:lpwstr>4A128EBEA55E43859846C53C2BA9C2DC_13</vt:lpwstr>
  </property>
</Properties>
</file>