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rPr>
          <w:rFonts w:hint="eastAsia" w:ascii="仿宋_GB2312"/>
        </w:rPr>
      </w:pPr>
      <w:bookmarkStart w:id="0" w:name="_GoBack"/>
      <w:bookmarkEnd w:id="0"/>
      <w:r>
        <w:rPr>
          <w:rFonts w:hint="eastAsia" w:ascii="黑体" w:hAnsi="黑体" w:eastAsia="黑体"/>
        </w:rPr>
        <w:t>附件3</w:t>
      </w:r>
    </w:p>
    <w:p>
      <w:pPr>
        <w:spacing w:line="600" w:lineRule="exact"/>
        <w:jc w:val="center"/>
        <w:rPr>
          <w:rFonts w:hint="eastAsia" w:ascii="方正小标宋简体" w:hAnsi="方正小标宋简体" w:eastAsia="方正小标宋简体"/>
          <w:sz w:val="36"/>
        </w:rPr>
      </w:pPr>
      <w:r>
        <w:rPr>
          <w:rFonts w:hint="eastAsia" w:ascii="方正小标宋简体" w:hAnsi="方正小标宋简体" w:eastAsia="方正小标宋简体" w:cs="Arial"/>
          <w:sz w:val="36"/>
        </w:rPr>
        <w:t>涞源县市场监督管理局</w:t>
      </w:r>
      <w:r>
        <w:rPr>
          <w:rFonts w:hint="eastAsia" w:ascii="方正小标宋简体" w:hAnsi="方正小标宋简体" w:eastAsia="方正小标宋简体"/>
          <w:sz w:val="36"/>
        </w:rPr>
        <w:t>权责清单事项总表</w:t>
      </w:r>
    </w:p>
    <w:p>
      <w:pPr>
        <w:spacing w:line="600" w:lineRule="exact"/>
        <w:jc w:val="center"/>
        <w:rPr>
          <w:rFonts w:hint="eastAsia" w:ascii="楷体_GB2312" w:hAnsi="楷体_GB2312" w:eastAsia="楷体_GB2312"/>
          <w:sz w:val="36"/>
        </w:rPr>
      </w:pPr>
      <w:r>
        <w:rPr>
          <w:rFonts w:hint="eastAsia" w:ascii="楷体_GB2312" w:hAnsi="楷体_GB2312" w:eastAsia="楷体_GB2312"/>
        </w:rPr>
        <w:t>（共</w:t>
      </w:r>
      <w:r>
        <w:rPr>
          <w:rFonts w:hint="eastAsia" w:ascii="楷体_GB2312" w:hAnsi="楷体_GB2312" w:eastAsia="楷体_GB2312"/>
          <w:lang w:val="en-US" w:eastAsia="zh-CN"/>
        </w:rPr>
        <w:t>3</w:t>
      </w:r>
      <w:r>
        <w:rPr>
          <w:rFonts w:hint="eastAsia" w:ascii="楷体_GB2312" w:hAnsi="楷体_GB2312" w:eastAsia="楷体_GB2312"/>
        </w:rPr>
        <w:t>类、</w:t>
      </w:r>
      <w:r>
        <w:rPr>
          <w:rFonts w:hint="eastAsia" w:ascii="楷体_GB2312" w:hAnsi="楷体_GB2312" w:eastAsia="楷体_GB2312"/>
          <w:lang w:val="en-US" w:eastAsia="zh-CN"/>
        </w:rPr>
        <w:t>579</w:t>
      </w:r>
      <w:r>
        <w:rPr>
          <w:rFonts w:hint="eastAsia" w:ascii="楷体_GB2312" w:hAnsi="楷体_GB2312" w:eastAsia="楷体_GB2312"/>
        </w:rPr>
        <w:t>项）</w:t>
      </w:r>
    </w:p>
    <w:p>
      <w:pPr>
        <w:spacing w:line="600" w:lineRule="exact"/>
        <w:rPr>
          <w:rFonts w:hint="eastAsia" w:ascii="仿宋_GB2312"/>
        </w:rPr>
      </w:pPr>
      <w:r>
        <w:rPr>
          <w:rFonts w:hint="eastAsia" w:ascii="楷体_GB2312" w:hAnsi="楷体_GB2312" w:eastAsia="楷体_GB2312"/>
          <w:sz w:val="28"/>
        </w:rPr>
        <w:t>单位：</w:t>
      </w:r>
      <w:r>
        <w:rPr>
          <w:rFonts w:hint="eastAsia" w:ascii="楷体_GB2312" w:hAnsi="楷体_GB2312" w:eastAsia="楷体_GB2312" w:cs="Arial"/>
          <w:sz w:val="28"/>
        </w:rPr>
        <w:t>涞源县市场监督管理局（公章）</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2"/>
        <w:gridCol w:w="3200"/>
        <w:gridCol w:w="6563"/>
        <w:gridCol w:w="26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autoSpaceDE w:val="0"/>
              <w:autoSpaceDN w:val="0"/>
              <w:adjustRightInd w:val="0"/>
              <w:ind w:left="0" w:leftChars="0" w:right="0" w:rightChars="0" w:firstLine="0" w:firstLineChars="0"/>
              <w:jc w:val="center"/>
              <w:rPr>
                <w:rFonts w:hint="eastAsia" w:ascii="黑体" w:hAnsi="黑体" w:eastAsia="黑体"/>
                <w:color w:val="000000"/>
                <w:sz w:val="32"/>
                <w:vertAlign w:val="baseline"/>
                <w:lang w:val="en-US" w:eastAsia="zh-CN"/>
              </w:rPr>
            </w:pPr>
            <w:r>
              <w:rPr>
                <w:rFonts w:hint="eastAsia" w:ascii="黑体" w:hAnsi="黑体" w:eastAsia="黑体"/>
                <w:color w:val="000000"/>
                <w:sz w:val="32"/>
                <w:szCs w:val="28"/>
                <w:lang w:val="zh-CN"/>
              </w:rPr>
              <w:t>总序号</w:t>
            </w:r>
          </w:p>
        </w:tc>
        <w:tc>
          <w:tcPr>
            <w:tcW w:w="3200" w:type="dxa"/>
            <w:noWrap w:val="0"/>
            <w:vAlign w:val="center"/>
          </w:tcPr>
          <w:p>
            <w:pPr>
              <w:autoSpaceDE w:val="0"/>
              <w:autoSpaceDN w:val="0"/>
              <w:adjustRightInd w:val="0"/>
              <w:ind w:left="0" w:leftChars="0" w:right="0" w:rightChars="0" w:firstLine="0" w:firstLineChars="0"/>
              <w:jc w:val="center"/>
              <w:rPr>
                <w:rFonts w:hint="eastAsia" w:ascii="黑体" w:hAnsi="黑体" w:eastAsia="黑体"/>
                <w:color w:val="000000"/>
                <w:sz w:val="32"/>
                <w:vertAlign w:val="baseline"/>
                <w:lang w:val="en-US" w:eastAsia="zh-CN"/>
              </w:rPr>
            </w:pPr>
            <w:r>
              <w:rPr>
                <w:rFonts w:hint="eastAsia" w:ascii="黑体" w:hAnsi="黑体" w:eastAsia="黑体"/>
                <w:color w:val="000000"/>
                <w:sz w:val="32"/>
                <w:szCs w:val="28"/>
                <w:lang w:val="zh-CN"/>
              </w:rPr>
              <w:t>类别及序号</w:t>
            </w:r>
          </w:p>
        </w:tc>
        <w:tc>
          <w:tcPr>
            <w:tcW w:w="6563" w:type="dxa"/>
            <w:noWrap w:val="0"/>
            <w:vAlign w:val="center"/>
          </w:tcPr>
          <w:p>
            <w:pPr>
              <w:autoSpaceDE w:val="0"/>
              <w:autoSpaceDN w:val="0"/>
              <w:adjustRightInd w:val="0"/>
              <w:ind w:left="0" w:leftChars="0" w:right="0" w:rightChars="0" w:firstLine="0" w:firstLineChars="0"/>
              <w:jc w:val="center"/>
              <w:rPr>
                <w:rFonts w:hint="eastAsia" w:ascii="黑体" w:hAnsi="黑体" w:eastAsia="黑体"/>
                <w:color w:val="000000"/>
                <w:sz w:val="32"/>
                <w:vertAlign w:val="baseline"/>
                <w:lang w:val="en-US" w:eastAsia="zh-CN"/>
              </w:rPr>
            </w:pPr>
            <w:r>
              <w:rPr>
                <w:rFonts w:hint="eastAsia" w:ascii="黑体" w:hAnsi="黑体" w:eastAsia="黑体"/>
                <w:color w:val="000000"/>
                <w:sz w:val="32"/>
                <w:szCs w:val="28"/>
                <w:lang w:val="zh-CN"/>
              </w:rPr>
              <w:t>项目名称及数量</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黑体" w:hAnsi="黑体" w:eastAsia="黑体"/>
                <w:color w:val="000000"/>
                <w:sz w:val="32"/>
                <w:vertAlign w:val="baseline"/>
                <w:lang w:val="en-US" w:eastAsia="zh-CN"/>
              </w:rPr>
            </w:pPr>
            <w:r>
              <w:rPr>
                <w:rFonts w:hint="eastAsia" w:ascii="黑体" w:hAnsi="黑体" w:eastAsia="黑体"/>
                <w:color w:val="000000"/>
                <w:sz w:val="32"/>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autoSpaceDE w:val="0"/>
              <w:autoSpaceDN w:val="0"/>
              <w:adjustRightInd w:val="0"/>
              <w:ind w:left="0" w:leftChars="0" w:right="0" w:rightChars="0" w:firstLine="0" w:firstLineChars="0"/>
              <w:jc w:val="center"/>
              <w:rPr>
                <w:rFonts w:hint="eastAsia" w:ascii="宋体" w:hAnsi="宋体" w:eastAsia="宋体" w:cs="宋体"/>
                <w:color w:val="000000"/>
                <w:sz w:val="18"/>
                <w:szCs w:val="18"/>
                <w:lang w:val="zh-CN"/>
              </w:rPr>
            </w:pPr>
          </w:p>
        </w:tc>
        <w:tc>
          <w:tcPr>
            <w:tcW w:w="3200" w:type="dxa"/>
            <w:noWrap w:val="0"/>
            <w:vAlign w:val="center"/>
          </w:tcPr>
          <w:p>
            <w:pPr>
              <w:autoSpaceDE w:val="0"/>
              <w:autoSpaceDN w:val="0"/>
              <w:adjustRightInd w:val="0"/>
              <w:ind w:left="0" w:leftChars="0" w:right="0" w:rightChars="0" w:firstLine="0" w:firstLineChars="0"/>
              <w:jc w:val="center"/>
              <w:rPr>
                <w:rFonts w:hint="eastAsia" w:ascii="宋体" w:hAnsi="宋体" w:eastAsia="宋体" w:cs="宋体"/>
                <w:color w:val="000000"/>
                <w:sz w:val="18"/>
                <w:szCs w:val="18"/>
                <w:lang w:val="en-US" w:eastAsia="zh-CN"/>
              </w:rPr>
            </w:pPr>
            <w:r>
              <w:rPr>
                <w:rFonts w:hint="eastAsia" w:ascii="微软雅黑" w:hAnsi="微软雅黑" w:eastAsia="微软雅黑" w:cs="微软雅黑"/>
                <w:color w:val="000000"/>
                <w:sz w:val="22"/>
                <w:szCs w:val="22"/>
                <w:lang w:val="en-US" w:eastAsia="zh-CN"/>
              </w:rPr>
              <w:t>一、行政许可</w:t>
            </w:r>
          </w:p>
        </w:tc>
        <w:tc>
          <w:tcPr>
            <w:tcW w:w="6563" w:type="dxa"/>
            <w:noWrap w:val="0"/>
            <w:vAlign w:val="center"/>
          </w:tcPr>
          <w:p>
            <w:pPr>
              <w:autoSpaceDE w:val="0"/>
              <w:autoSpaceDN w:val="0"/>
              <w:adjustRightInd w:val="0"/>
              <w:ind w:left="0" w:leftChars="0" w:right="0" w:rightChars="0" w:firstLine="0" w:firstLineChars="0"/>
              <w:jc w:val="center"/>
              <w:rPr>
                <w:rFonts w:hint="eastAsia" w:ascii="宋体" w:hAnsi="宋体" w:eastAsia="宋体" w:cs="宋体"/>
                <w:color w:val="000000"/>
                <w:sz w:val="18"/>
                <w:szCs w:val="18"/>
                <w:lang w:val="zh-CN"/>
              </w:rPr>
            </w:pPr>
            <w:r>
              <w:rPr>
                <w:rFonts w:hint="eastAsia" w:ascii="宋体" w:hAnsi="宋体" w:eastAsia="宋体" w:cs="宋体"/>
                <w:color w:val="000000"/>
                <w:sz w:val="18"/>
                <w:szCs w:val="18"/>
                <w:vertAlign w:val="baseline"/>
                <w:lang w:val="en-US" w:eastAsia="zh-CN"/>
              </w:rPr>
              <w:t>共0项</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宋体" w:hAnsi="宋体" w:eastAsia="宋体" w:cs="宋体"/>
                <w:color w:val="000000"/>
                <w:sz w:val="18"/>
                <w:szCs w:val="1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c>
          <w:tcPr>
            <w:tcW w:w="3200"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r>
              <w:rPr>
                <w:rFonts w:hint="eastAsia" w:ascii="仿宋_GB2312"/>
                <w:color w:val="000000"/>
                <w:vertAlign w:val="baseline"/>
                <w:lang w:val="en-US" w:eastAsia="zh-CN"/>
              </w:rPr>
              <w:t>二、行政处罚</w:t>
            </w:r>
          </w:p>
        </w:tc>
        <w:tc>
          <w:tcPr>
            <w:tcW w:w="6563"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宋体" w:hAnsi="宋体" w:eastAsia="宋体" w:cs="宋体"/>
                <w:color w:val="000000"/>
                <w:sz w:val="20"/>
                <w:szCs w:val="20"/>
                <w:vertAlign w:val="baseline"/>
                <w:lang w:val="en-US" w:eastAsia="zh-CN"/>
              </w:rPr>
            </w:pPr>
            <w:r>
              <w:rPr>
                <w:rFonts w:hint="eastAsia" w:ascii="宋体" w:hAnsi="宋体" w:eastAsia="宋体" w:cs="宋体"/>
                <w:color w:val="000000"/>
                <w:sz w:val="20"/>
                <w:szCs w:val="20"/>
                <w:vertAlign w:val="baseline"/>
                <w:lang w:val="en-US" w:eastAsia="zh-CN"/>
              </w:rPr>
              <w:t>共545项</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w:t>
            </w:r>
          </w:p>
        </w:tc>
        <w:tc>
          <w:tcPr>
            <w:tcW w:w="6563" w:type="dxa"/>
            <w:noWrap w:val="0"/>
            <w:vAlign w:val="center"/>
          </w:tcPr>
          <w:p>
            <w:pPr>
              <w:keepNext w:val="0"/>
              <w:keepLines w:val="0"/>
              <w:widowControl/>
              <w:suppressLineNumbers w:val="0"/>
              <w:jc w:val="both"/>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发布虚假广告的处罚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w:t>
            </w:r>
          </w:p>
        </w:tc>
        <w:tc>
          <w:tcPr>
            <w:tcW w:w="6563"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广告内容存在禁止性条款的处罚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w:t>
            </w:r>
          </w:p>
        </w:tc>
        <w:tc>
          <w:tcPr>
            <w:tcW w:w="6563"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广告中对商品的性能、产地、用途、质量、价格、生产者、有效期限、允诺或者对服务的内容、形式、质量、价格、允诺有表示的，不清楚、明白的处罚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w:t>
            </w:r>
          </w:p>
        </w:tc>
        <w:tc>
          <w:tcPr>
            <w:tcW w:w="6563"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both"/>
              <w:textAlignment w:val="auto"/>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color w:val="000000"/>
                <w:sz w:val="18"/>
                <w:szCs w:val="18"/>
                <w:vertAlign w:val="baseline"/>
                <w:lang w:val="en-US" w:eastAsia="zh-CN"/>
              </w:rPr>
              <w:t>广告使用数据、统计资料、调查结果、文摘、引用语，不真实、准确，不表明出处的处罚……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广告中涉及专利产品或者专利方法的，不标明专利号和专利种类。未取得专利权的，谎称取得专利权。或使用未授予专利权的专利申请和已经终止、撤销、无效的专利做广告的处罚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6</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利用广告贬低其他生产经营者的商品或者服务的处罚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7</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广告不具有可识别性、不能够使消费者辩明其为广告。大众传播媒介以新闻报道形式发布广告。通过大众传播媒介发布的广告没有广告标记，未与其他非广告信息相区别，使消费者产生误解的处罚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8</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药品、医疗器械广告含有违法内容的处罚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9</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药品广告的内容不以国务院卫生行政部门或者省、自治区、直辖市卫生行政部门批准的说明书为准。国家规定的应当在医生指导下使用的治疗药品广告中，不注明“按医生处方购买和使用”的处罚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10</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为麻醉药品、精神药品、毒性药品、放射性药品等特殊性药品做广告的处罚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11</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农药广告含有违法内容的处罚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12</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食品、酒类、化妆品广告的内容不符合卫生许可的事项，或使用医疗用语或者易与药品混淆的用语的处罚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13</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利用广播、电影、电视、报纸、期刊发布烟草广告。在各类等候室、影剧院、会议厅堂、体育比赛场馆等公共场所设置烟草广告的处罚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14</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利用媒介发布药品、医疗器械、农药、兽药等商品的广告和法律、行政法规规定应当进行审查的其他广告，不在发布前依照有关法律、行政法规由有关行政主管部门（以下简称广告审查机关）对广告内容进行审查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15</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广告主提供虚假证明文件的处罚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16</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伪造、变造或者转让广告审查决定文件的处罚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17</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国内企业在境外发布广告，外国企业（组织）、外籍人员在境内承揽发布广告，未委托在中国注册的具有广告经营资格的企业代理的处罚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18</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广告内容不真实、健康、清晰、明白，弄虚作假</w:t>
            </w:r>
            <w:r>
              <w:rPr>
                <w:rFonts w:hint="eastAsia" w:ascii="宋体" w:hAnsi="宋体" w:eastAsia="宋体" w:cs="宋体"/>
                <w:color w:val="000000"/>
                <w:sz w:val="18"/>
                <w:szCs w:val="18"/>
                <w:lang w:eastAsia="zh-CN"/>
              </w:rPr>
              <w:t>的</w:t>
            </w:r>
            <w:r>
              <w:rPr>
                <w:rFonts w:hint="eastAsia" w:ascii="宋体" w:hAnsi="宋体" w:eastAsia="宋体" w:cs="宋体"/>
                <w:color w:val="000000"/>
                <w:sz w:val="18"/>
                <w:szCs w:val="18"/>
              </w:rPr>
              <w:t>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19</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广告经营者无证经营广告业务的，或者超越经营范围经营广告业务</w:t>
            </w:r>
            <w:r>
              <w:rPr>
                <w:rFonts w:hint="eastAsia" w:ascii="宋体" w:hAnsi="宋体" w:eastAsia="宋体" w:cs="宋体"/>
                <w:color w:val="000000"/>
                <w:sz w:val="18"/>
                <w:szCs w:val="18"/>
                <w:lang w:eastAsia="zh-CN"/>
              </w:rPr>
              <w:t>的</w:t>
            </w:r>
            <w:r>
              <w:rPr>
                <w:rFonts w:hint="eastAsia" w:ascii="宋体" w:hAnsi="宋体" w:eastAsia="宋体" w:cs="宋体"/>
                <w:color w:val="000000"/>
                <w:sz w:val="18"/>
                <w:szCs w:val="18"/>
              </w:rPr>
              <w:t>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20</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广告客户申请刊播、设置、张贴广告的，其内容超越广告客户的经营范围或者国家许可的范围的处罚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21</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新闻单位以新闻报道形式刊播广告，收取费用；或新闻记者借采访名义招揽广告的处罚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22</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利用广播、电视、报刊为卷烟做广告。未获得国家级、部级、省级各类奖的酒、或未经工商行政管理机关批准而做广告的处罚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23</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申请刊播、设置、张贴相关广告，不按规定提交广告证明的处罚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24</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广告经营者承办或者代理广告业务，未查验证明、审查广告内容。发布违反本条例规定的广告的处罚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25</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不按规定设置、张贴户外广告的处罚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26</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广告收费标准，不按规定报当地工商行政管理机关和物价管理机关备案的处罚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27</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广告业务代理费不按规定标准收取的处罚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28</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广告主自行发布一般形式印刷品广告，不标明广告主的名称、地址；广告主委托广告经营者设计、制作、发布一般形式印刷品广告，不同时标明广告经营者的名称、地址的处罚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29</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广告经营者不在每期固定形式印刷品广告首页顶部位置按规定标明固定形式印刷品广告名称、广告经营者名称和地址、登记证号、期数、发布时间、统一标志“DM”的处罚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30</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固定形式印刷品广告的首页和底页内容不是广告、广告经营者将广告标题、目录印制在首页上。或固定形式印刷品广告使用主办、协办、出品人、编辑部、编辑、出版、本刊、杂志、专刊等容易与报纸、期刊相混淆的用语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31</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固定形式印刷品广告中的广告目录或索引不是商品（商标）或广告主的名称，其所对应的广告内容不能具体明确地表明广告主及其所推销的商品或服务，广告经营者以新闻报道形式发布广告的处罚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32</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广告经营者不按照核准的名称、规格、样式发布固定形式印刷品广告；不接受工商行政管理机关的监督检查，不按要求报送固定形式印刷品广告样本及其他有关材料，隐瞒真实情况、提供虚假材料的处罚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33</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广告经营者涂改、倒卖、出租、出借《固定形式印刷品广告登记证》，或者将固定形式印刷品广告转让他人发布经营的处罚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34</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商场、药店、医疗服务机构、娱乐场所以及其他公共场所的管理者不履行管理职责的处罚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35</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印刷品广告的印制企业印制含有违法内容的印刷品广告的处罚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36</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对违反《兽药广告审查办法》第十八条的行政处罚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37</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对广告发布者发布未注明广告审查批准号或该批准号已过期、被撤销的农药广告或广告发布者发布农药广告，未查验《农药广告审查表》原件或经广告审查机关签章的复印件并保存一年的行政处罚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38</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违反《广告法》第四十一条的处罚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39</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对未经审查批准发布的药品广告，或者发布的药品广告与审查批准的内容不一致的处罚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40</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发布药品广告，构成虚假广告或者引人误解的虚假宣传的处罚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41</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发布下列广告：（一）麻醉药品、精神药品、医疗用毒性药品、放射性药品；（二）医疗机构配制的制剂；（三）军队特需药品；（四）国家食品药品监督管理局依法明令停止或者禁止生产、销售和使用的药品；（五）批准试生产的药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42</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在大众传播媒介发布广告或者以其他方式进行以公众为对象的广告宣传处方药。以赠送医学、药学专业刊物等形式向公众发布处方药广告的处罚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43</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对处方药名称与该药品的商标、生产企业字号相同的，使用该商标、企业字号在医学、药学专业刊物以外的媒介变相发布广告。以处方药名称或者以处方药名称注册的商标以及企业字号为各种活动冠名的处罚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44</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药品广告内容涉及药品适应症或者功能主治、药理作用等内容的宣传，未以国务院食品药品监督管理部门批准的说明书为准，夸大或者恶意隐瞒宣传，含有说明书以外的理论、观点等内容的处罚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45</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药品广告中没有标明药品的通用名称、忠告语、药品广告批准文号、药品生产批准文号；以非处方药商品名称为各种活动冠名的，发布药品商品名称以外的内容的处罚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46</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药品广告没有标明药品生产企业或者药品经营企业名称，或者单独出现“咨询热线”、“咨询电话”等内容的。</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47</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非处方药广告没有同时标明非处方药专用标识（OTC）的处罚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48</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未经批准，药品广告中以产品注册商标代替药品名称进行宣传的处罚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49</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未按规定标识忠告语的处罚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50</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药品广告中涉及改善和增强性功能内容的，没有与经批准的药品说明书中的适应症或者功能主治完全一致。</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51</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电视台、广播电台在7：00—22：00发布含有上款内容的广告的处罚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52</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违反药品广告中有关药品功能疗效的宣传行为的处罚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53</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非处方药广告使用公众难以理解和容易引起混淆的医学、药学术语，造成公众对药品功效与安全性的误解的处罚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vMerge w:val="restart"/>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54</w:t>
            </w:r>
          </w:p>
        </w:tc>
        <w:tc>
          <w:tcPr>
            <w:tcW w:w="3200" w:type="dxa"/>
            <w:vMerge w:val="restart"/>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54</w:t>
            </w:r>
          </w:p>
        </w:tc>
        <w:tc>
          <w:tcPr>
            <w:tcW w:w="6563" w:type="dxa"/>
            <w:noWrap w:val="0"/>
            <w:vAlign w:val="center"/>
          </w:tcPr>
          <w:p>
            <w:pPr>
              <w:keepNext w:val="0"/>
              <w:keepLines w:val="0"/>
              <w:widowControl/>
              <w:suppressLineNumbers w:val="0"/>
              <w:jc w:val="both"/>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药品广告含有以下内容：</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vMerge w:val="continue"/>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c>
          <w:tcPr>
            <w:tcW w:w="3200" w:type="dxa"/>
            <w:vMerge w:val="continue"/>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（一）含有不科学的表述或者使用不恰当的表现形式，引起公众对所处健康状况和所患疾病产生不必要的担忧和恐惧，或者使公众误解不使用该药品会患某种疾病或加重病情的；</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vMerge w:val="continue"/>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c>
          <w:tcPr>
            <w:tcW w:w="3200" w:type="dxa"/>
            <w:vMerge w:val="continue"/>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（二）含有免费治疗、免费赠送、有奖销售、以药品作为礼品或者奖品等促销药品内容的；</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vMerge w:val="continue"/>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c>
          <w:tcPr>
            <w:tcW w:w="3200" w:type="dxa"/>
            <w:vMerge w:val="continue"/>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（三）含有“家庭必备”或者类似内容的；</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vMerge w:val="continue"/>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c>
          <w:tcPr>
            <w:tcW w:w="3200" w:type="dxa"/>
            <w:vMerge w:val="continue"/>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（四）含有“无效退款”、“保险公司保险”等保证内容的；</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vMerge w:val="continue"/>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c>
          <w:tcPr>
            <w:tcW w:w="3200" w:type="dxa"/>
            <w:vMerge w:val="continue"/>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（五）含有评比、排序、推荐、指定、选用、获奖等综合性评价内容的处罚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vMerge w:val="restart"/>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55</w:t>
            </w:r>
          </w:p>
        </w:tc>
        <w:tc>
          <w:tcPr>
            <w:tcW w:w="3200" w:type="dxa"/>
            <w:vMerge w:val="restart"/>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55</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药品广告含有利用医药科研单位、学术机构、医疗机构或者专家、医生、患者的名义和形象作证明的内容；药品广告使用国家机关和国家机关工作人员的名义；</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vMerge w:val="continue"/>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c>
          <w:tcPr>
            <w:tcW w:w="3200" w:type="dxa"/>
            <w:vMerge w:val="continue"/>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药品广告含有军队单位或者军队人员的名义、形象。利用军队装备、设施从事药品广告宣传的处罚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56</w:t>
            </w:r>
          </w:p>
        </w:tc>
        <w:tc>
          <w:tcPr>
            <w:tcW w:w="6563" w:type="dxa"/>
            <w:noWrap w:val="0"/>
            <w:vAlign w:val="center"/>
          </w:tcPr>
          <w:p>
            <w:pPr>
              <w:keepNext w:val="0"/>
              <w:keepLines w:val="0"/>
              <w:widowControl/>
              <w:suppressLineNumbers w:val="0"/>
              <w:jc w:val="both"/>
              <w:textAlignment w:val="center"/>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i w:val="0"/>
                <w:color w:val="000000"/>
                <w:kern w:val="0"/>
                <w:sz w:val="18"/>
                <w:szCs w:val="18"/>
                <w:u w:val="none"/>
                <w:lang w:val="en-US" w:eastAsia="zh-CN" w:bidi="ar"/>
              </w:rPr>
              <w:t>药品广告含有涉及公共信息、公共事件或其他与公共利益相关联的内容，如各类疾病信息、经济社会发展成果或医药科学以外的科技成果的处罚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57</w:t>
            </w:r>
          </w:p>
        </w:tc>
        <w:tc>
          <w:tcPr>
            <w:tcW w:w="6563" w:type="dxa"/>
            <w:noWrap w:val="0"/>
            <w:vAlign w:val="center"/>
          </w:tcPr>
          <w:p>
            <w:pPr>
              <w:keepNext w:val="0"/>
              <w:keepLines w:val="0"/>
              <w:widowControl/>
              <w:suppressLineNumbers w:val="0"/>
              <w:jc w:val="both"/>
              <w:textAlignment w:val="center"/>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i w:val="0"/>
                <w:color w:val="000000"/>
                <w:kern w:val="0"/>
                <w:sz w:val="18"/>
                <w:szCs w:val="18"/>
                <w:u w:val="none"/>
                <w:lang w:val="en-US" w:eastAsia="zh-CN" w:bidi="ar"/>
              </w:rPr>
              <w:t>药品广告在未成年人出版物和广播电视频道、节目、栏目上发布；药品广告以儿童为诉求对象，以儿童名义介绍药品的处罚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58</w:t>
            </w:r>
          </w:p>
        </w:tc>
        <w:tc>
          <w:tcPr>
            <w:tcW w:w="6563" w:type="dxa"/>
            <w:noWrap w:val="0"/>
            <w:vAlign w:val="center"/>
          </w:tcPr>
          <w:p>
            <w:pPr>
              <w:keepNext w:val="0"/>
              <w:keepLines w:val="0"/>
              <w:widowControl/>
              <w:suppressLineNumbers w:val="0"/>
              <w:jc w:val="both"/>
              <w:textAlignment w:val="center"/>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i w:val="0"/>
                <w:color w:val="000000"/>
                <w:kern w:val="0"/>
                <w:sz w:val="18"/>
                <w:szCs w:val="18"/>
                <w:u w:val="none"/>
                <w:lang w:val="en-US" w:eastAsia="zh-CN" w:bidi="ar"/>
              </w:rPr>
              <w:t>药品广告含有医疗机构的名称、地址、联系办法、诊疗项目、诊疗方法以及有关义诊、医疗（热线）咨询、开设特约门诊等医疗服务的内容的处罚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59</w:t>
            </w:r>
          </w:p>
        </w:tc>
        <w:tc>
          <w:tcPr>
            <w:tcW w:w="6563" w:type="dxa"/>
            <w:noWrap w:val="0"/>
            <w:vAlign w:val="center"/>
          </w:tcPr>
          <w:p>
            <w:pPr>
              <w:keepNext w:val="0"/>
              <w:keepLines w:val="0"/>
              <w:widowControl/>
              <w:suppressLineNumbers w:val="0"/>
              <w:jc w:val="both"/>
              <w:textAlignment w:val="center"/>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i w:val="0"/>
                <w:color w:val="000000"/>
                <w:kern w:val="0"/>
                <w:sz w:val="18"/>
                <w:szCs w:val="18"/>
                <w:u w:val="none"/>
                <w:lang w:val="en-US" w:eastAsia="zh-CN" w:bidi="ar"/>
              </w:rPr>
              <w:t>对在药品广告中必须标示的内容，其字体和颜色不清晰可见、不易于辨认。上述内容在电视、电影、互联网、显示屏等媒体发布时，出现时间少于5秒的处罚。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60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60</w:t>
            </w:r>
          </w:p>
        </w:tc>
        <w:tc>
          <w:tcPr>
            <w:tcW w:w="6563" w:type="dxa"/>
            <w:noWrap w:val="0"/>
            <w:vAlign w:val="center"/>
          </w:tcPr>
          <w:p>
            <w:pPr>
              <w:keepNext w:val="0"/>
              <w:keepLines w:val="0"/>
              <w:widowControl/>
              <w:suppressLineNumbers w:val="0"/>
              <w:jc w:val="both"/>
              <w:textAlignment w:val="center"/>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i w:val="0"/>
                <w:color w:val="000000"/>
                <w:kern w:val="0"/>
                <w:sz w:val="18"/>
                <w:szCs w:val="18"/>
                <w:u w:val="none"/>
                <w:lang w:val="en-US" w:eastAsia="zh-CN" w:bidi="ar"/>
              </w:rPr>
              <w:t>对广告主伪造、变造证明文件发布酒类广告的处罚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61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61</w:t>
            </w:r>
          </w:p>
        </w:tc>
        <w:tc>
          <w:tcPr>
            <w:tcW w:w="6563" w:type="dxa"/>
            <w:noWrap w:val="0"/>
            <w:vAlign w:val="center"/>
          </w:tcPr>
          <w:p>
            <w:pPr>
              <w:keepNext w:val="0"/>
              <w:keepLines w:val="0"/>
              <w:widowControl/>
              <w:suppressLineNumbers w:val="0"/>
              <w:jc w:val="both"/>
              <w:textAlignment w:val="center"/>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i w:val="0"/>
                <w:color w:val="000000"/>
                <w:kern w:val="0"/>
                <w:sz w:val="18"/>
                <w:szCs w:val="18"/>
                <w:u w:val="none"/>
                <w:lang w:val="en-US" w:eastAsia="zh-CN" w:bidi="ar"/>
              </w:rPr>
              <w:t>对广告经营者经营、广告发布者发布内容不实或者证明文件不全的酒类广告的处罚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62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62</w:t>
            </w:r>
          </w:p>
        </w:tc>
        <w:tc>
          <w:tcPr>
            <w:tcW w:w="6563" w:type="dxa"/>
            <w:noWrap w:val="0"/>
            <w:vAlign w:val="center"/>
          </w:tcPr>
          <w:p>
            <w:pPr>
              <w:keepNext w:val="0"/>
              <w:keepLines w:val="0"/>
              <w:widowControl/>
              <w:suppressLineNumbers w:val="0"/>
              <w:jc w:val="both"/>
              <w:textAlignment w:val="center"/>
              <w:rPr>
                <w:rFonts w:hint="eastAsia" w:ascii="宋体" w:hAnsi="宋体" w:eastAsia="宋体" w:cs="宋体"/>
                <w:color w:val="000000"/>
                <w:kern w:val="2"/>
                <w:sz w:val="18"/>
                <w:szCs w:val="18"/>
                <w:vertAlign w:val="baseline"/>
                <w:lang w:val="en-US" w:eastAsia="zh-CN" w:bidi="ar-SA"/>
              </w:rPr>
            </w:pPr>
            <w:r>
              <w:rPr>
                <w:rFonts w:hint="eastAsia" w:ascii="宋体" w:hAnsi="宋体" w:eastAsia="宋体" w:cs="宋体"/>
                <w:i w:val="0"/>
                <w:color w:val="000000"/>
                <w:kern w:val="0"/>
                <w:sz w:val="18"/>
                <w:szCs w:val="18"/>
                <w:u w:val="none"/>
                <w:lang w:val="en-US" w:eastAsia="zh-CN" w:bidi="ar"/>
              </w:rPr>
              <w:t>对酒类广告不符合卫生许可的事项，或使用医疗用语或者易与药品相混淆的用语的处罚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63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63</w:t>
            </w:r>
          </w:p>
        </w:tc>
        <w:tc>
          <w:tcPr>
            <w:tcW w:w="6563" w:type="dxa"/>
            <w:noWrap w:val="0"/>
            <w:vAlign w:val="center"/>
          </w:tcPr>
          <w:p>
            <w:pPr>
              <w:keepNext w:val="0"/>
              <w:keepLines w:val="0"/>
              <w:widowControl/>
              <w:suppressLineNumbers w:val="0"/>
              <w:jc w:val="both"/>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20"/>
                <w:szCs w:val="20"/>
                <w:u w:val="none"/>
                <w:lang w:val="en-US" w:eastAsia="zh-CN" w:bidi="ar"/>
              </w:rPr>
              <w:t>酒类广告中出现以下内容：</w:t>
            </w:r>
            <w:r>
              <w:rPr>
                <w:rFonts w:hint="eastAsia" w:ascii="宋体" w:hAnsi="宋体" w:eastAsia="宋体" w:cs="宋体"/>
                <w:color w:val="000000"/>
                <w:sz w:val="20"/>
                <w:szCs w:val="20"/>
              </w:rPr>
              <w:t>（一）鼓动、倡导、引诱人们饮酒或者宣传无节制饮酒；（二）饮酒的动作；（三）未成年人的形象；（四）表现驾驶车、船、飞机等具有潜在危险的活动；（五）诸如可以“消除紧张和焦虑”、“增加体力”等不科学的明示或者暗示；（六）把个人、商业、社会、体育、性生活或者其他方面的成功归因于饮酒的明示或者暗示；（七）关于酒类商品的各种评优、评奖、评名牌、推荐等评比结果；（八）不符合社会主义精神文明建设的要求，违背社会良好风尚和不科学、不真实的其他内容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vMerge w:val="restart"/>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64</w:t>
            </w:r>
          </w:p>
        </w:tc>
        <w:tc>
          <w:tcPr>
            <w:tcW w:w="3200" w:type="dxa"/>
            <w:vMerge w:val="restart"/>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64</w:t>
            </w:r>
          </w:p>
        </w:tc>
        <w:tc>
          <w:tcPr>
            <w:tcW w:w="6563" w:type="dxa"/>
            <w:vMerge w:val="restart"/>
            <w:noWrap w:val="0"/>
            <w:vAlign w:val="center"/>
          </w:tcPr>
          <w:p>
            <w:pPr>
              <w:keepNext w:val="0"/>
              <w:keepLines w:val="0"/>
              <w:widowControl/>
              <w:suppressLineNumbers w:val="0"/>
              <w:jc w:val="both"/>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违反下列规定，在大众媒体发布酒类广告：</w:t>
            </w:r>
            <w:r>
              <w:rPr>
                <w:rFonts w:hint="eastAsia" w:ascii="宋体" w:hAnsi="宋体" w:eastAsia="宋体" w:cs="宋体"/>
                <w:color w:val="000000"/>
                <w:sz w:val="18"/>
                <w:szCs w:val="18"/>
              </w:rPr>
              <w:t>（一）电视：每套节目每日发布的酒类广告，在特殊时段（19：00——21：00）不超过二条，普通时段每日不超过十条；（二）广播：每套节目每小时发布的酒类广告，不得超过二条；（三）报纸、期刊：每期发布的酒类广告，不得超过二条，并不得在报纸第一版、期刊封面发布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vMerge w:val="continue"/>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c>
          <w:tcPr>
            <w:tcW w:w="3200" w:type="dxa"/>
            <w:vMerge w:val="continue"/>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p>
        </w:tc>
        <w:tc>
          <w:tcPr>
            <w:tcW w:w="6563" w:type="dxa"/>
            <w:vMerge w:val="continue"/>
            <w:noWrap w:val="0"/>
            <w:vAlign w:val="center"/>
          </w:tcPr>
          <w:p>
            <w:pPr>
              <w:keepNext w:val="0"/>
              <w:keepLines w:val="0"/>
              <w:widowControl/>
              <w:suppressLineNumbers w:val="0"/>
              <w:jc w:val="both"/>
              <w:textAlignment w:val="center"/>
              <w:rPr>
                <w:rFonts w:hint="eastAsia" w:ascii="宋体" w:hAnsi="宋体" w:eastAsia="宋体" w:cs="宋体"/>
                <w:i w:val="0"/>
                <w:color w:val="000000"/>
                <w:kern w:val="2"/>
                <w:sz w:val="18"/>
                <w:szCs w:val="18"/>
                <w:u w:val="none"/>
                <w:lang w:val="en-US" w:eastAsia="zh-CN" w:bidi="ar-SA"/>
              </w:rPr>
            </w:pP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65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65</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食品广告含有“最新科学”、“最新技术”、“最先进加工工艺”等绝对化的语言或者表示的处罚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66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66</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食品广告出现与药品相混淆的用语，不得直接或者间接地宣传治疗作用，也不得借助宣传某些成分的作用明示或者暗示该食品的治疗作用的处罚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67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67</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对食品广告明示或者暗示可以替代母乳，使用哺乳妇女和婴儿的形象的处罚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68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68</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对食品广告中使用医疗机构、医生的名义或者形象。食品广告中涉及特定功效的，利用专家、消费者的名义或者形象做证明的处罚。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69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69</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对保健食品的广告内容未以国务院卫生行政部门批准的说明书和标签为准，任意扩大范围的处罚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70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70</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对保健食品与其他保健食品或者药品进行功效对比的处罚。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71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71</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保健食品、新资源食品、特殊营养食品的批准文号没有在其广告中同时发布的处罚。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72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72</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对普通食品、新资源食品、特殊营养食品广告宣传保健功能，借助宣传某些成分的作用明示或者暗示其保健作用的处罚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73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73</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对普通食品广告宣传该食品含有新资源食品中的成分或者特殊营养成分的处罚。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74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74</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对未经工商行政管理机关登记发布户外广告的处罚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75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75</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对提交虚假文件或者采取其他欺骗手段取得《户外广告登记证》的处罚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76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76</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对擅自改变规格发布户外广告、不按照核准登记的发布期限、形式、数量或者内容发布户外广告的处罚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77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77</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对未按规定在右下角清晰标明户外广告登记证号的处罚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78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78</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对伪造、涂改、出租、出借、倒卖或者以其他形式转让《户外广告登记证》的处罚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79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79</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对利用广播、电视、电影节目以及报纸、期刊的文章，变相发布烟草广告处罚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80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80</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对其他商品、服务的商标名称及服务项目名称与烟草制品商标名称相同的，该商品、服务的广告，不以易于辨认的方式，明确表示商品名称、服务种类，或含有该商品、服务与烟草制品有关的表示的处罚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81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81</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对在各类临时性广告经营活动中，凡利用烟草经营者名称、烟草制品商标为活动冠名、冠杯的，通过广播、电视、电影、报纸、期刊发布带有冠名、冠杯内容的赛事、演出等广告的处罚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82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82</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烟草经营者利用广播、电视、电影、报纸、期刊发布下列广告时，出现烟草制品名称、商标、包装、装潢。出现的企业名称与烟草商标名称相同时，以特殊设计的办法突出企业名称：（一）社会公益广告；（二）迁址、换房、更名等启事广告；（三）招工、招聘、寻求合作、寻求服务等企业经营广告；（四）广播、电影、电视节目首尾处出现的鸣谢单位或者赞助单位名称；（五）报纸、期刊报花、栏头上标明的协办单位名称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83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83</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在国家禁止范围以外的媒介或者场所发布烟草广告，未经省级以上广告监督管理机关或者其授权的省辖市广告监督管理机关批准。烟草经营者或者其被委托人直接向商业、服务业的销售点和居民住所发送广告品，未经所在地县级以上广告监督管理机关批准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84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84</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对烟草广告中有下列情形：（一）吸烟形象；（二）未成年人形象；（三）鼓励、怂恿吸烟的；（四）表示吸烟有利人体健康、解除疲劳、缓解精神紧张的；（五）其他违反国家广告管理规定的处罚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85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85</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利用广播、电影、电视、报纸、期刊发布烟草广告。在各类等候室、影剧院、会议厅堂、体育比赛场馆等公共场所设置烟草广告的处罚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86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86</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属下列情况的房地产，发布广告：（一）在未经依法取得国有土地使用权的土地上开发建设的；（二）在未经国家征用的集体所有的土地上建设的；（三）司法机关和行政机关依法裁定、决定查封或者以其他形式限制房地产权利的，（四）预售房地产，但未取得该项目预售许可证的；（五）权属有争议的；（六）违反国家有关规定建设的；（七）不符合工程质量标准，经验收不合格的（八）法律、行政法规规定禁止的其他情形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87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87</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对发布房地产广告，不具有或者不提供相应真实、合法、有效的证明文件：（一）房地产开发企业、房地产权利人、房地产中介服务机构的营业执照或者其他主体资格证明的处罚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88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88</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房地产预售、销售广告，不载明以下事项：（一）开发企业名称；（二）中介服务机构代理销售的，载明该机构名称；（三）预售或者销售许可证书号。广告中仅介绍房地产项目名称的，可以不必载明上述事项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89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89</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对房地产广告含有风水、占卜等封建迷信内容，对项目情况进行的说明、渲染，或有悖社会良好风尚的处罚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90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90</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对房地产广告中涉及所有权或者使用权的，所有或者使用的基本单位不具有实际意义的完整的生产、生活空间的处罚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91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91</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对房地产广告中不清楚表示为实际的销售价格，或不明示价格的有效期限的处罚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92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92</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对房地产中表现项目位置的以所需时间来表示距离；房地产广告中的项目位置示意图，不准确、不清楚或比例不恰当的处罚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93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93</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对房地产广告中涉及的交通、商业、文化教育设施及其他市政条件等，已在规划或者建设中，但未在广告中注明的处罚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94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94</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对房地产广告中涉及面积的，未表明是建筑面积或者使用面积的处罚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95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95</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对房地产广告涉及内部结构、装修装饰的，不真实、准确；预售、预租商品房广告涉及装修装饰内容的处罚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96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96</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对房地产广告中利用其他项目的形象、环境作为本项目的效果处罚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97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97</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对房地产广告中使用建筑设计效果图或者模型照的，不在广告中注明的处罚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98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98</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对房地产广告中出现融资或者变相融资的内容，含有升值或者投资回报的承诺处罚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99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99</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对房地产广告中涉及贷款服务的，不载明提供贷款的银行名称及贷款额度、年期的处罚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100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100</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对房地产广告中含有广告主能够为入住者办理户口、就业、升学等事项的承诺的处罚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101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101</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房地产广告中涉及物业管理内容的，不符合国家有关规定房地产广告涉及尚未实现的物业管理内容，未在广告中注明的处罚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102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102</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房地产广告中涉及资产评估的，不表明评估单位、估价师和评估时间；使用其他数据，统计资料、文摘，引用语的，不真实、准确，不表明出处的处罚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103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103</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房地产广告不真实、合法、科学、准确，符合社会主义精神文明建设要求，不得欺骗和误导公众的处罚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104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104</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发布房地产广告，不具有或者未提供下列相应真实、合法、有效的证明文件：（一）房地产开发企业、房地产权利人、房地产中介服务机构的营业执照或者其它主体资格证明；（二）建设主管部门颁发的房地产开发企业资质证书；（三）土地主管部门颁发的项目土地使用权证明；（四）工程竣工验收合格证明；（五）发布房地产项目预售、出售广告，应当具有地方政府建设主管部门颁发的预售、销售许可证证明；出租、项目转让广告，应当具有相应的产权证明；（六）中介机构发布所代理的房地产项目广告，应当提供业主委托证明；（七）工商行政管理机关规定的其它证明；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105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105</w:t>
            </w:r>
          </w:p>
        </w:tc>
        <w:tc>
          <w:tcPr>
            <w:tcW w:w="6563" w:type="dxa"/>
            <w:noWrap w:val="0"/>
            <w:vAlign w:val="center"/>
          </w:tcPr>
          <w:p>
            <w:pPr>
              <w:keepNext w:val="0"/>
              <w:keepLines w:val="0"/>
              <w:widowControl/>
              <w:suppressLineNumbers w:val="0"/>
              <w:jc w:val="both"/>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发布的广告中使用的语言文字，用语应不清晰、不准确，用字不规范、不标准的处罚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106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106</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20"/>
                <w:szCs w:val="20"/>
                <w:u w:val="none"/>
                <w:lang w:val="en-US" w:eastAsia="zh-CN" w:bidi="ar"/>
              </w:rPr>
              <w:t>广告用语用字不使用普通话和规范汉字的处罚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vMerge w:val="restart"/>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107</w:t>
            </w:r>
          </w:p>
        </w:tc>
        <w:tc>
          <w:tcPr>
            <w:tcW w:w="3200" w:type="dxa"/>
            <w:vMerge w:val="restart"/>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107</w:t>
            </w:r>
          </w:p>
        </w:tc>
        <w:tc>
          <w:tcPr>
            <w:tcW w:w="6563" w:type="dxa"/>
            <w:noWrap w:val="0"/>
            <w:vAlign w:val="center"/>
          </w:tcPr>
          <w:p>
            <w:pPr>
              <w:keepNext w:val="0"/>
              <w:keepLines w:val="0"/>
              <w:widowControl/>
              <w:suppressLineNumbers w:val="0"/>
              <w:jc w:val="both"/>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color w:val="000000"/>
                <w:sz w:val="20"/>
                <w:szCs w:val="20"/>
              </w:rPr>
              <w:t>广告用语用字，出现下列情形的处罚：（一）使用错别字；（二）违反国家法律、法规规定使用繁体字；（三）使用国家已废止的异体字和简化字；（四）使用国家已废止的印刷字形； （五）其他不规范使用的语言文字的处罚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vMerge w:val="continue"/>
            <w:noWrap w:val="0"/>
            <w:vAlign w:val="center"/>
          </w:tcPr>
          <w:p>
            <w:pPr>
              <w:spacing w:beforeLines="0" w:afterLines="0"/>
              <w:jc w:val="center"/>
              <w:rPr>
                <w:rFonts w:hint="eastAsia" w:ascii="宋体" w:hAnsi="宋体"/>
                <w:color w:val="000000"/>
                <w:sz w:val="24"/>
              </w:rPr>
            </w:pPr>
          </w:p>
        </w:tc>
        <w:tc>
          <w:tcPr>
            <w:tcW w:w="3200" w:type="dxa"/>
            <w:vMerge w:val="continue"/>
            <w:noWrap w:val="0"/>
            <w:vAlign w:val="center"/>
          </w:tcPr>
          <w:p>
            <w:pPr>
              <w:spacing w:beforeLines="0" w:afterLines="0"/>
              <w:jc w:val="center"/>
              <w:rPr>
                <w:rFonts w:hint="eastAsia" w:ascii="宋体" w:hAnsi="宋体"/>
                <w:color w:val="000000"/>
                <w:sz w:val="24"/>
              </w:rPr>
            </w:pPr>
          </w:p>
        </w:tc>
        <w:tc>
          <w:tcPr>
            <w:tcW w:w="6563" w:type="dxa"/>
            <w:noWrap w:val="0"/>
            <w:vAlign w:val="center"/>
          </w:tcPr>
          <w:p>
            <w:pPr>
              <w:keepNext w:val="0"/>
              <w:keepLines w:val="0"/>
              <w:widowControl/>
              <w:suppressLineNumbers w:val="0"/>
              <w:jc w:val="both"/>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广告中成语的使用不符合国家有关规定，引起误导，对社会造成不良影响的处罚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108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108</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20"/>
                <w:szCs w:val="20"/>
                <w:u w:val="none"/>
                <w:lang w:val="en-US" w:eastAsia="zh-CN" w:bidi="ar"/>
              </w:rPr>
              <w:t>广告中因创意等需要使用的手书体字、美术字、变体字、古文字，不易于辨认，引起误导的处罚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vMerge w:val="restart"/>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109</w:t>
            </w:r>
          </w:p>
        </w:tc>
        <w:tc>
          <w:tcPr>
            <w:tcW w:w="3200" w:type="dxa"/>
            <w:vMerge w:val="restart"/>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109</w:t>
            </w:r>
          </w:p>
        </w:tc>
        <w:tc>
          <w:tcPr>
            <w:tcW w:w="6563" w:type="dxa"/>
            <w:noWrap w:val="0"/>
            <w:vAlign w:val="center"/>
          </w:tcPr>
          <w:p>
            <w:pPr>
              <w:keepNext w:val="0"/>
              <w:keepLines w:val="0"/>
              <w:widowControl/>
              <w:suppressLineNumbers w:val="0"/>
              <w:jc w:val="both"/>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color w:val="000000"/>
                <w:sz w:val="20"/>
                <w:szCs w:val="20"/>
              </w:rPr>
              <w:t>广告中单独使用汉语拼音；广告使用汉语拼音时，不正确、不规范，未与规范汉字同时使用的处罚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vMerge w:val="continue"/>
            <w:noWrap w:val="0"/>
            <w:vAlign w:val="center"/>
          </w:tcPr>
          <w:p>
            <w:pPr>
              <w:spacing w:beforeLines="0" w:afterLines="0"/>
              <w:jc w:val="center"/>
              <w:rPr>
                <w:rFonts w:hint="eastAsia" w:ascii="宋体" w:hAnsi="宋体"/>
                <w:color w:val="000000"/>
                <w:sz w:val="24"/>
              </w:rPr>
            </w:pPr>
          </w:p>
        </w:tc>
        <w:tc>
          <w:tcPr>
            <w:tcW w:w="3200" w:type="dxa"/>
            <w:vMerge w:val="continue"/>
            <w:noWrap w:val="0"/>
            <w:vAlign w:val="center"/>
          </w:tcPr>
          <w:p>
            <w:pPr>
              <w:spacing w:beforeLines="0" w:afterLines="0"/>
              <w:jc w:val="center"/>
              <w:rPr>
                <w:rFonts w:hint="eastAsia" w:ascii="宋体" w:hAnsi="宋体"/>
                <w:color w:val="000000"/>
                <w:sz w:val="24"/>
              </w:rPr>
            </w:pPr>
          </w:p>
        </w:tc>
        <w:tc>
          <w:tcPr>
            <w:tcW w:w="6563" w:type="dxa"/>
            <w:noWrap w:val="0"/>
            <w:vAlign w:val="center"/>
          </w:tcPr>
          <w:p>
            <w:pPr>
              <w:keepNext w:val="0"/>
              <w:keepLines w:val="0"/>
              <w:widowControl/>
              <w:suppressLineNumbers w:val="0"/>
              <w:jc w:val="both"/>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color w:val="000000"/>
                <w:sz w:val="20"/>
                <w:szCs w:val="20"/>
              </w:rPr>
              <w:t>广告中单独使用外国语言文字或者在同一广告语句中夹杂使用外国语言文字的处罚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110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110</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20"/>
                <w:szCs w:val="20"/>
                <w:u w:val="none"/>
                <w:lang w:val="en-US" w:eastAsia="zh-CN" w:bidi="ar"/>
              </w:rPr>
              <w:t>广告中出现的注册商标定型字、文物古迹中原有的文字以及经国家有关部门认可的企业字号用字等，与原形不一致，引起误导的处罚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vMerge w:val="restart"/>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111</w:t>
            </w:r>
          </w:p>
        </w:tc>
        <w:tc>
          <w:tcPr>
            <w:tcW w:w="3200" w:type="dxa"/>
            <w:vMerge w:val="restart"/>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111</w:t>
            </w:r>
          </w:p>
        </w:tc>
        <w:tc>
          <w:tcPr>
            <w:tcW w:w="6563" w:type="dxa"/>
            <w:noWrap w:val="0"/>
            <w:vAlign w:val="center"/>
          </w:tcPr>
          <w:p>
            <w:pPr>
              <w:keepNext w:val="0"/>
              <w:keepLines w:val="0"/>
              <w:widowControl/>
              <w:suppressLineNumbers w:val="0"/>
              <w:jc w:val="both"/>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color w:val="000000"/>
                <w:sz w:val="20"/>
                <w:szCs w:val="20"/>
              </w:rPr>
              <w:t>化妆品广告不符合真实、健康、科学、准确的要求、欺骗和误导消费者的处罚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vMerge w:val="continue"/>
            <w:noWrap w:val="0"/>
            <w:vAlign w:val="center"/>
          </w:tcPr>
          <w:p>
            <w:pPr>
              <w:spacing w:beforeLines="0" w:afterLines="0"/>
              <w:jc w:val="center"/>
              <w:rPr>
                <w:rFonts w:hint="eastAsia" w:ascii="宋体" w:hAnsi="宋体"/>
                <w:color w:val="000000"/>
                <w:sz w:val="24"/>
              </w:rPr>
            </w:pPr>
          </w:p>
        </w:tc>
        <w:tc>
          <w:tcPr>
            <w:tcW w:w="3200" w:type="dxa"/>
            <w:vMerge w:val="continue"/>
            <w:noWrap w:val="0"/>
            <w:vAlign w:val="center"/>
          </w:tcPr>
          <w:p>
            <w:pPr>
              <w:spacing w:beforeLines="0" w:afterLines="0"/>
              <w:jc w:val="center"/>
              <w:rPr>
                <w:rFonts w:hint="eastAsia" w:ascii="宋体" w:hAnsi="宋体"/>
                <w:color w:val="000000"/>
                <w:sz w:val="24"/>
              </w:rPr>
            </w:pPr>
          </w:p>
        </w:tc>
        <w:tc>
          <w:tcPr>
            <w:tcW w:w="6563" w:type="dxa"/>
            <w:noWrap w:val="0"/>
            <w:vAlign w:val="center"/>
          </w:tcPr>
          <w:p>
            <w:pPr>
              <w:keepNext w:val="0"/>
              <w:keepLines w:val="0"/>
              <w:widowControl/>
              <w:suppressLineNumbers w:val="0"/>
              <w:jc w:val="both"/>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color w:val="000000"/>
                <w:sz w:val="20"/>
                <w:szCs w:val="20"/>
              </w:rPr>
              <w:t>广告客户对可能引起不良反应的化妆品，未在广告中注明使用方法、注意事项的处罚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112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112</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20"/>
                <w:szCs w:val="20"/>
              </w:rPr>
              <w:t>化妆品广告中出现下列内容：使用最新创造、最新发明、纯天然制品、无副作用等绝对化语言的；有涉及化妆品性能或者功能、销量等方面数据的处罚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113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113</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20"/>
                <w:szCs w:val="20"/>
              </w:rPr>
              <w:t>化妆品广告中出现下列内容的处罚：（一）化妆品名称、制法、成份效用或者性能有虚假夸大的；（二）使用他人名义保证或者以暗示方法使人误解其效用的；（三）宣传医疗作用或者使用医疗术语的；（四）有贬低同类产品的；（七）违反其它法律、法规规定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color w:val="000000"/>
                <w:vertAlign w:val="baseline"/>
                <w:lang w:val="en-US" w:eastAsia="zh-CN"/>
              </w:rPr>
            </w:pPr>
            <w:r>
              <w:rPr>
                <w:rFonts w:hint="eastAsia" w:ascii="仿宋_GB2312"/>
                <w:color w:val="000000"/>
                <w:vertAlign w:val="baseline"/>
                <w:lang w:val="en-US" w:eastAsia="zh-CN"/>
              </w:rPr>
              <w:t>114</w:t>
            </w:r>
          </w:p>
        </w:tc>
        <w:tc>
          <w:tcPr>
            <w:tcW w:w="3200" w:type="dxa"/>
            <w:noWrap w:val="0"/>
            <w:vAlign w:val="center"/>
          </w:tcPr>
          <w:p>
            <w:pPr>
              <w:spacing w:beforeLines="0" w:afterLines="0"/>
              <w:jc w:val="center"/>
              <w:rPr>
                <w:rFonts w:hint="default" w:ascii="宋体" w:hAnsi="宋体" w:eastAsia="仿宋_GB2312" w:cs="Times New Roman"/>
                <w:color w:val="000000"/>
                <w:kern w:val="2"/>
                <w:sz w:val="24"/>
                <w:szCs w:val="32"/>
                <w:lang w:val="en-US" w:eastAsia="zh-CN" w:bidi="ar-SA"/>
              </w:rPr>
            </w:pPr>
            <w:r>
              <w:rPr>
                <w:rFonts w:hint="eastAsia" w:ascii="宋体" w:hAnsi="宋体" w:cs="Times New Roman"/>
                <w:color w:val="000000"/>
                <w:kern w:val="2"/>
                <w:sz w:val="24"/>
                <w:szCs w:val="32"/>
                <w:lang w:val="en-US" w:eastAsia="zh-CN" w:bidi="ar-SA"/>
              </w:rPr>
              <w:t>114</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20"/>
                <w:szCs w:val="20"/>
              </w:rPr>
              <w:t>广告经营者承办或者代理化妆品广告，不查验证明，审查广告内容。对不符合规定的，予以承办或者代理的处罚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115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115</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化妆品引起严重的皮肤过敏反应或者给消费者造成严重人身伤害事故的处罚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116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116</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化妆品质量下降而未达到规定标准的处罚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117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117</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营业执照、《化妆品生产企业卫生许可证》或者《化妆品生产许可证》被吊销的处罚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118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118</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广告证明出具者出具非法、虚假证明的处罚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119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119</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未取得《医疗广告审查证明》发布医疗广告的处罚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120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120</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非医疗机构发布医疗广告，医疗机构以内部科室名义发布医疗广告的处罚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121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121</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医疗广告内容超出以下项目的处罚：1.医疗机构第一名称；2.医疗机构地址；3.所有制形式；4.医疗机构类别；5.诊疗项目；6.床位数；7.接诊时间；8.联系电话。</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122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122</w:t>
            </w:r>
          </w:p>
        </w:tc>
        <w:tc>
          <w:tcPr>
            <w:tcW w:w="6563" w:type="dxa"/>
            <w:noWrap w:val="0"/>
            <w:vAlign w:val="center"/>
          </w:tcPr>
          <w:p>
            <w:pPr>
              <w:spacing w:beforeLines="0" w:afterLine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医疗机构发布的医疗机构第一名称、医疗机构地址、所有制形式、医疗机构类别、诊疗科目、床位数的内容与卫生行政部门、中医药管理部门核发的《医疗机构执业许可证》或其副本载明的内容不一致的处罚。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123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123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医疗机构的表现形式含有涉及医疗技术、诊疗方法、疾病名称、药物、保证治愈或者隐含保证治愈、宣传治愈率、有效率等诊疗效果、淫秽、迷信、荒诞、贬低他人等情形的处罚。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124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124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医疗广告的表现形式含有利用患者、卫生技术人员、医学教育科研机构及人员以及其他社会社团、组织的名义、形象作证明的处罚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125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125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医疗广告的表现形式含有使用解放军和武警部队名义的情形的处罚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126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126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《医疗广告审查证明》超出有效期的处罚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127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127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发布医疗广告未标注医疗机构第一名称和《医疗广告审查证明》文号的处罚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128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128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利用新闻形式、医疗资讯服务类专题节（栏）目发布或变相发布医疗广告的，或有关医疗机构的人物专访、专题报道等宣传内容出现有关医疗机构的地址、联系方式等医疗广告内容；或在同一媒介的同一时间段或者版面发布该医疗机构的广告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129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129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医疗机构未按照《医疗广告审查证明》核准的广告成品样件内容与媒体类别发布医疗广告的处罚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130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130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广告经营者、广告发布者发布医疗广告，未查验《医疗广告审查证明》，核实广告内容的</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131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131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未取得中医医疗广告批准文号，发布中医医疗广告的处罚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132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132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篡改经批准的中医医疗广告内容的处罚。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133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133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法律、行政法规规定必须使用注册商标的商品，未经核准注册而在市场销售的处罚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134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134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将未注册商标冒充注册商标使用的处罚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135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135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对违反《商标法》第五十二条的行政处罚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136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136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生产、经营者将“驰名商标”字样用于商品、商品包装或者容器上，或者用于广告宣传、展览以及其他商业活动中的处罚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137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137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对侵犯注册商标专用权行为的行政处罚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138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138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办理商标事宜过程中，伪造、变造或者使用伪造、变造的法律文件、印章、签名的；以诋毁其他商标代理机构等手段招徕商标代理业务或者以其他不正当手段扰乱商标代理市场秩序的处罚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139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139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将他人注册商标、未注册的驰名商标作为企业名称中的字号使用，误导公众，构成不正当竞争行为的处罚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140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140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对经许可使用他人注册商标未在商品上标明被许可人的名称和商品产地的处罚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141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141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就相同或者类似商品申请注册的商标是复制、摹仿或者翻译他人未在中国注册的驰名商标，容易导致混淆的；就不相同或者不相类似商品申请注册的商标是复制、摹仿或者翻译他人已经在中国注册的驰名商标，误导公众，致使该驰名商标注册人的利益可能受到损害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142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142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对违反《特殊标志管理条例》第十五条的行政处罚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143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143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对违反《特殊标志管理条例》第十六条的行政处罚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144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144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侵犯奥林匹克标志专用权的处罚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145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145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侵犯世界博览会标志专用权的处罚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146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146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对违反《商标印制管理办法》第十一条的行政处罚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147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147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对擅自设立商标印刷企业或者擅自从事商标印刷经营活动的处罚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148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148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对印刷企业接受委托印刷注册商标标识、广告宣传品，违反国家有关注册商标、广告印刷管理规定的处罚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149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149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对集体商标、证明商标注册人没有对该商标使用进行有效管理或者控制，致使该商标使用的商品达不到其使用管理规则的要求，对消费者造成损害的处罚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150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150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集体商标注册人的成员发生变化的，注册人未向商标局申请变更注册事项的处罚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151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151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证明商标注册人准许他人使用其商标的，注册人未在一年内报商标局备案的处罚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152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152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集体商标注册人的集体成员，在未履行该集体商标使用管理规则规定的手续时，而该集体商标地。集体商标许可非集体成员使用的处罚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153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153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符合证明商标使用管理规则规定条件的，在履行该证明商标使用管理规则规定的手续后，注册人拒绝办理手续的处罚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154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154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证明商标的注册人在自己提供的商品上使用该证明商标的处罚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155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155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对违法认定或者采取其他方式变相认定著名商标的处罚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156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156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对未经著名商标注册人许可，擅自印制和使用著名商标所指商品特有的相同或近似的包装装潢的处罚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157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157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对非类似商品的生产者将与著名商标相同或者近似的文字、图形作为其商品名称、装潢或者作为未注册商标使用，以此暗示该商品与著名商标注册人存在某种联系的处罚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158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158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著名商标申请人弄虚作假，或者以其它不正当手段骗取著名商标的；工商行政管理人员和著名商标评审委员会组成人员在推荐、评审和认定著名商标的工作中，有徇私舞弊行为的；在有效期内，丧失了著名商标条件的；著名商标注册人违反商标法律、法规的有关规定，经工商行政管理部门责令限期改正仍不改正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159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159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对广告经营单位在广告经营资格检查中隐瞒真实情况，弄虚作假的处罚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160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160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对违反《食品广告发布暂行规定》的有关规定的处罚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161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161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对违反《医疗器械广告审查发布标准》第十七的行政处罚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162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162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对销售明知或者应知是仿冒知名商品特有的名称、包装、装潢的商品的处罚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163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163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对政府及其所属部门滥用行政权力，限定他人购买其提供的或者其指定的经营者提供的商品或者服务；被指定的经营者借机销售质次价高商品、提供质次价高服务或者滥收费行政处罚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164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164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对影视、广播、报刊等大众传播媒介以及行业组织和消费者协会等非广告性组织以任何名义、方式对经营者或者商品质量、商品价格、服务质量、服务价格等作虚假或者误导性宣传的处罚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165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165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对违反《河北省反不正当竞争条例》第三十六条的行政处罚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166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166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对经营者未经授权以特约经销、指定经销、总代理、特约修理或者其他类似名义从事欺骗性经营活动；以任何名义或者方式进行传销或者变相传销活动的处罚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167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167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供水、供电、供热、供气、邮政、电信等公用企业、事业组织或者其他依法具有独占地位的经营者，实施限制竞争行为；以及营利性的金融机构开展业务，从事不正当竞争行为；以及被指定的经营者借机销售质次价高商品、提供质次价高服务或者滥收费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168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168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对违反《河北省反不正当竞争条例》第四十三条 的行政处罚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169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169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有奖销售中经营者对所设奖的种类、中奖概率、最高奖金额、总金额及其奖品种类、数量、质量、兑奖时间、地点、方式不予明示或者擅自变更已经明示的事项的处罚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170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170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对谎称有奖、故意让内定人员中奖或者对中奖者不予兑奖的处罚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171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171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对将设有中奖标志的商品、奖券不投放市场或者不与商品、奖券同时投放市场处罚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172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172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对将带有不同奖金金额或者奖品标志的商品、奖券按不同时间投放市场处罚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173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173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对利用有奖销售手段推销质次价高商品的处罚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174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174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对同一次有奖销售活动设定两次以上获奖机会的，最高奖金数额之和超过五千元处罚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175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175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对以就业机会作为有奖销售的处罚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176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176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对其他不正当有奖销售行为的处罚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177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177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对经营者的诋毁商誉行为的处罚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178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178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对投标者串通投标或投标者和招标者串通排挤竞争对手的行政处罚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179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179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对监督检查部门在监督检查不正当竞争行为时，被检查的经营者、利害关系人和证明人拒绝、拖延或者谎报情况的处罚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180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180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对违反《关于禁止有奖销售活动中不正当竞争行为的若干规定》第七条的行政处罚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181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181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对采取暴力、威胁等手段，欺行霸市、强买强卖，阻碍外地产品或者服务进入本地市场的处罚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182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182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对组织策划传销、介绍、诱骗、胁迫他人参加传销、参加传销的处罚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183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183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对为传销行为提供经营场所、培训场所、货源、保管、仓储等条件和提供互联网信息服务的处罚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184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184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对传销当事人擅自动用、调换、转移、损毁被查封、扣押财物的处罚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185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185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对未经批准从事直销活动处罚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186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186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对申请人通过欺骗、贿赂等手段取得直销经营许可的处罚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187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187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对直销企业相关事项发生重大变更未履行报批手续的处罚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188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188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对直销企业违反规定，超出直销产品范围从事直销经营活动处罚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189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189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对直销企业及其直销员有欺骗、误导等宣传和推销行为的处罚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190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190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对直销企业及其分支机构违反规定招募直销员处罚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191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191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对未取得直销员证从事直销活动的处罚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192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192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对直销企业违反规定进行直销员业务培训、直销企业以外的单位和个人组织直销员业务培训处罚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193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193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对直销员违反规定向消费者推销产品处罚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194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194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对直销企业未按规定支付直销员报酬、未建立实行完善的换货和退货制度处罚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195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195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对直销企业未依照有关规定进行信息报备和披露处罚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196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196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对直销企业违反有关保证金制度的处罚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197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197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对零售商供应商从事不公平交易行为处罚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198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198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对生产、销售不符合保障人体健康和人身、财产安全的国家标准、行业标准的产品的处罚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199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199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对在产品中掺杂、掺假、以假充真、以次充好，以不合格产品冒充合格产品的处罚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200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200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对生产国家明令淘汰产品的；销售国家明令淘汰并停止销售的产品的处罚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201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201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对销售失效变质的产品的处罚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202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202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对伪造产品产地的，伪造或者冒用他人厂名厂址的，伪造或者冒用认证标志等质量标志的处罚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203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203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对产品或其包装上的标识不真实或不符合规定的处罚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204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204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对拒绝接受依法进行的产品质量监督检查的处罚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205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205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对产品质量检验机构、认证机构伪造检验结果或者出具虚假证明的处罚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206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206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对知道或者应当知道属于禁止生产销售的产品而为其提供运输、保管、仓储等便利条件的，或为以假充真的产品提供制假生产技术的处罚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207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207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对服务业的经营者将禁止销售的产品用于经营性服务的处罚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208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208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对隐匿、转移、变卖、毁损被工商行政管理部门查封、扣押的物品的处罚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209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209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对不按照法定条件、要求从事生产经营活动或者生产、销售不符合法定要求产品的处罚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210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210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对依法应当取得许可证照而未取得许可证照从事生产经营活动的处罚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211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211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对违反《国务院关于加强食品等产品安全监督管理的特别规定》第五条的行政处罚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212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212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对非法生产军服、军服专用材料的处罚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213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213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对买卖军服、军服专用材料的处罚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214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214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对生产、销售军服仿制品的处罚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215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215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对转让军服、军服专用材料生产合同或者生产技术规范，或者委托其他企业生产军服、军服专用材料的处罚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216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216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对销售或者以其他方式转让未经改制、染色等处理的军服、军服专用材料残次品的处罚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217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217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对未将军服生产中剩余的军服专用材料妥善保管、移交的处罚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218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218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对使用军服和中国人民解放军曾经装备的制式服装从事经营活动，或者以“军需”、“军服”、“军品”等用语招揽顾客的处罚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219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219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对未经指定，擅自生产商用密码产品的，或者商用密码产品指定生产单位超过批准范围生产商用密码产品的处罚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220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220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对未经许可，擅自销售商用密码产品的处罚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221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221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对未经批准，擅自进口密码产品以及含有密码技术的设备、出口商用密码产品或者销售境外的密码产品的处罚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222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222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对经许可销售商用密码产品的单位未按照规定销售商用密码产品的处罚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223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223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对未取得废弃电器电子产品处理资格擅自从事废弃电器电子产品处理活动的处罚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224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224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低于经营成本销售塑料购物袋的处罚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225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225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不标明价格或不按规定的内容方式标明价格销售塑料购物袋的处罚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226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226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采取打折或其他方式不按标示的价格向消费者销售塑料购物袋的处罚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227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227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向消费者无偿或变相无偿提供塑料购物袋的处罚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228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228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未在销售凭证上单独列示消费者购买塑料购物袋的数量、单价和款项的处罚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229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229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商品零售场所未向依法设立的塑料购物袋生产厂家、批发商或进口商采购塑料购物袋，未索取相关证照，未建立塑料购物袋购销台账的处罚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230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230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商品零售场所销售不符合国家相关标准的塑料购物袋的处罚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231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231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销售者发现其销售的农产品存在安全隐患，可能对人体健康和生命安全造成损害的，未立即停止销售该农产品、通知生产企业或者供货商，未向工商行政管理部门报告、并及时采取退回供货商或者销毁、无害化处理等有效措施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232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232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对各类市场主体未建立健全农产品进货检查验收、质量抽检、问题农产品主动召回、不合格农产品清退、保存购销台账和质量追溯等制度，未配备农产品质量安全监督员处罚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233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233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对零售商从事违法促销的行政处罚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234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234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对生产、经营假、劣种子的处罚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235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235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对经营的种子应当包装而没有包装的处罚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236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236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对经营的种子没有标签或者标签内容不符合本法规定的处罚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237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237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对伪造、涂改标签或者试验、检验数据的处罚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238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238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对未按规定制作、保存种子生产、经营档案的处罚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239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239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对种子经营者在异地设立分支机构未按规定备案的处罚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240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240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对未经许可登记设立拍卖企业的处罚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241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241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对拍卖人及其工作人员违法竞买处罚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242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242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对拍卖人在自己组织的拍卖活动中拍卖自己的物品或者财产权利的处罚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243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243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对委托人违法参与竞买，或委托他人代为竞买的处罚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244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244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对竞买人之间、竞买人与拍卖人之间恶意串通，损害他人利益处罚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245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245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依照《建筑法》规定被吊销资质证书的处罚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246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246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对违法生产、储存、使用危险化学品，由安全生产监督管理部门责令改正而拒不改正，由原发证机关吊销其相关许可证件，经安全生产监督管理部门提请吊销营业执照的处罚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247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247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危险化学品生产企业、经营企业拒不改正违法行为，由安全生产监督管理部门吊销其危险化学品安全生产许可证、危险化学品经营许可证，经安全生产管理部门提请吊销营业执照的处罚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248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248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对违反《河北省矿产资源管理条例》第三十九条规定，擅自收购、销售或交换统一收购的矿产品的处罚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249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249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有关地方人民政府决定关闭煤矿的处罚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250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250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县级以上地方人民政府负责煤矿安全生产监督管理的部门或者煤矿安全监察机构责令煤矿停产整顿的处罚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251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251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对拍卖企业未按规定进行备案处罚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252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252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对拍卖企业违法发布公告和雇佣非拍卖师的处罚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253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253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对拍卖企业违法贿赂、虚假宣传、侵犯商业秘密的处罚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254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254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对拍卖企业违法拍卖国家禁止的物品处罚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255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255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对未经粮食行政管理部门许可或者未在工商行政管理部门登记擅自从事粮食收购活动的处罚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256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256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对欺骗、贿赂取得粮食收购资格证行为的处罚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257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257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对倒卖陈化粮或者不按照规定使用陈化粮的处罚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258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258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对未取得报废汽车回收企业资格认定的，擅自从事报废汽车回收活动的处罚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259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259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对出售不能使用的报废汽车零配件及未标明“回用件”的处罚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260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260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对擅自从事报废汽车回收活动的处罚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261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261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对擅自出售拼装车或报废汽车整车行为的处罚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262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262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对擅自收购、销售、交换和留用金银的处罚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263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263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对私自熔化、销毁、占有出土无主金银的处罚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264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264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违法经营金银制品、超范围经营以及套购、挪用、克扣金银的处罚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265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265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对违法计价使用金银以及买卖抵押的处罚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266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266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对违法经营野生药材的处罚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267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267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违法发布化妆品广告的处罚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268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268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对违法经营和销售违禁盐产品的处罚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269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269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对违法出售、收购野生植物的处罚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270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270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对违法倒卖、伪造野生植物的有关批准证书的处罚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271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271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对生产、经营假农药、劣质农药的处罚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272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272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对违法生产、经营农药或者违反农药广告管理规定的处罚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273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273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对违法制造、销售不符合国家技术标准的殡葬设备的处罚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274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274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对销售非生猪定点屠宰厂（场）屠宰的生猪产品、未经肉品品质检验或者经肉品品质检验不合格的生猪产品以及注水或者注入其他物质的生猪产品的处罚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275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275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对未取得营业执照擅自从事房地产开发业务的处罚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276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276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对无资质从事房地产开发经营的处罚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277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277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对将验收不合格的房屋交付使用的处罚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278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278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未经许可或者备案擅自生产、经营、购买、运输易制毒化学品，伪造申请材料骗取易制毒化学品生产、经营、购买或者运输许可证，使用他人的或者伪造、变造、失效的许可证生产、经营、购买、运输易制毒化学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279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279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对违反规定擅自从事娱乐场所经营活动的处罚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280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280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对非法研制、仿制、销售、购买、使用印刷人民币的材料、技术和设备的处罚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281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281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对非法买卖流通、制作、仿制人民币的处罚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282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282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对互联网信息服务违反工商法律法规的处罚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283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283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对未经批准擅自设立音像制品出版、制作、复制、进口、批发、零售单位，擅自从事音像制品出版、制作、复制业务或者进口、批发、零售经营活动的处罚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284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284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对被吊销许可证但逾期未到工商行政管理部门办理变更登记或者注销登记的处罚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285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285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对擅自设立文物商店或经营文物拍卖的拍卖企业，或者擅自从事文物的商业经营活动的处罚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286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286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对非法经营文物的处罚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287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287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对境外就业中介机构违法发布广告的处罚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288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288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对药品生产企业、经营企业暗中给予、收受回扣行为的处罚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289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289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对使用不合格计量器具或破坏器具准确度的处罚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290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290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对非法收购和销售国家统一收购矿产品的处罚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291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291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对未取得快递业务经营许可经营快递业务，或者邮政企业以外的单位或者个人经营由邮政企业专营的信件寄递业务或者寄递国家机关公文的处罚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292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292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外商投资经营信件的国内快递业务的处罚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293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293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对非法出售、收购、运输、携带国家或地方重点保护野生动物及其产品的处罚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294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294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对非法仿造、倒卖、转让猎捕证、狩猎证以及驯养繁殖许可证行为的处罚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295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295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对违法生产、销售不符合强制性标准产品的处罚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296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296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对无许可证违法零售烟草制品的处罚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297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297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对生产销售无注册商标及侵犯他人注册商标的烟草制品的处罚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298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298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对非法印制烟草制品商标标识行为的处罚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299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299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矿山建设工程安全设施的设计未经批准擅自施工，由管理矿山企业的主管部门责令停止施工后拒不执行，由管理矿山企业的主管部门提请县级以上人民政府决定由有关主管部门吊销其采矿许可证和营业执照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300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300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矿山建设工程的安全设施未经验收或者验收不合格擅自投入生产，由劳动行政主管部门会同管理矿山企业的主管部门责令停止生产后，拒不停止生产，由劳动行政主管部门提请县级以上人民政府决定由有关主管部门吊销其采矿许可证和营业执照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301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301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已经投入生产的矿山企业不具备安全生产条件而强行开采，由劳动行政主管部门会同管理矿山企业的主管部门责令限期改进后，逾期仍不具备安全生产条件，由劳动行政主管部门提请县级以上人民政府决定由有关主管部门吊销其采矿许可证和营业执照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302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302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对投标人互相串通或与招标人串通的处罚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303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303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对投标人以他人名义投标或骗取中标的处罚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304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304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中标人非法转包情节严重的处罚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305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305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对中标人不履行合同义务的处罚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306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306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对单位违反《出版管理条例》被处以吊销许可证行政处罚的，应当按照国家有关规定到工商行政管理部门办理注销登记或者变更登记，逾期未办理的处罚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307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307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对违反《电影管理条例》规定，擅自设立电影片的制片、发行、放映单位，或者擅自从事制片、进口、发行、放映活动的处罚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308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308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对违反《印刷业管理条例》规定，擅自设立印刷企业或擅自从事印刷活动的处罚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309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309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对印刷企业违法印制商标、广告的处罚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310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310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对在生产、储存、销售、运输、使用爆炸物品中存在不安全隐患的处罚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311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311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对擅自从事实行国营贸易管理或者指定经营管理的货物进出口贸易、扰乱市场秩序的处罚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312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312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非法招用未满十六周岁的未成年人，或者招用已满十六周岁的未成年人从事过重、有毒、有害等危害未成年人身心健康的劳动或者危险作业，由劳动保障部门责令改正，处以罚款；情节严重，经劳动保障部门提请吊销营业执照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313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313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影剧院、录像厅等各类演播场所，放映或者演出渲染暴力、色情、赌博、恐怖活动等危害未成年人身心健康的节目，由政府有关主管部门没收违法播放的音像制品和违法所得，处以罚款；情节严重，经文化行政部门提请吊销营业执照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314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314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营业性歌厅以及其他未成年人不适宜进入的场所、营业性电子游戏场所，不设置明显的未成年人禁止进入标志，或者允许未成年人进入，由文化行政部门责令改正、给予警告、责令停业整顿、没收违法所得，处以罚款；情节严重，经文化行政部门提请吊销营业执照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315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315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对制造、销售仿真枪支的处罚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316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316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对擅自出版法规汇编的处罚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317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317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对应予关停的小钢铁厂逾期不申请注销登记的处罚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318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318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对未经核准擅自从事杀鼠剂经营的处罚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319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319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对违反《河北省技术市场管理条例》第四十三条的行政处罚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320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320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对经营走私汽车或无进口证明的汽车的处罚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321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321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对非法拼（组）装汽车、摩托车的处罚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322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322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对经销非法拼（组）装汽车、摩托车的处罚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323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323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对违法销售种畜禽的处罚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324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324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对销售的种畜禽未附具种畜禽合格证明、检疫合格证明、家畜系谱的，销售、收购国务院畜牧兽医行政主管部门规定应当加施标识而没有标识的畜禽的，或者重复使用畜禽标识的处罚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325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325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对销售不符合国家技术规范的强制性要求的畜禽的处罚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326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326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对在煤炭中掺杂、掺假，以次充好的处罚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327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327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取得生产许可证的企业生产条件、检验手段、生产技术或者工艺发生变化，未依照本条例规定办理重新审查手续而进行销售的处罚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328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328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取得生产许可证的企业未依照本条例规定在产品、包装或者说明书上标注生产许可证标志和编号的处罚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329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329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销售或者在经营活动中使用未取得生产许可证的列入目录产品的处罚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330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330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违法接受并使用他人提供的生产许可证证书、生产许可证标志和编号进行产品销售的处罚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331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331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伪造、变造许可证证书、生产许可证标志和编号进行产品销售的处罚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332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332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不按规定进行营业性演出的处罚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333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333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销售不符合规定的农产品的处罚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334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334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农资经营者没有建立健全进货索证索票制度，在进货时没有查验供货商的经营资格，没有验明产品合格证明和产品标识，没有按照同种农资进货批次向供货商索要具备法定资质的质量检验机构出具的检验报告原件或者由供货商签字、盖章的检验报告复印件，以及产品销售发票或者其他销售凭证等相关票证；没有建立进货台账，没有如实记录产品名称、规格、数量、供货商及其联系方式、进货时间等内容。没有向消费者提供销售凭证，没有按照国家法律、法规规定或者与消费者的约定，承担修理、更换、退货等三包责任和赔偿损失等农资的产品质量责任；发现其提供的农资存在严重缺陷，可能对农业生产、人身健康、生命财产安全造成危害的，没有立即停止销售该农资，通知生产企业或者供货商，没有及时向监管部门报告和告知消费者，采取有效措施，及时追回不合格的农资。已经使用的，没有明确告知消费者真实情况和应当采取的补救措施；不配合工商行政管理部门的监督管理工作；没尽到法律、法规规定的其他义务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335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335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农资交易市场开办者（一）未审查入场经营者的经营资格，对无证无照的，允许其在市场内经营；（二）未明确告知入场经营者对农资的质量管理责任，未以书面形式约定入场经营者建立进货查验、索证索票、进销货台账、质量承诺、不合格产品下架、退市制度，对种子经营者未要求其建立种子经营档案；（三）未建立消费者投诉处理制度，没有配合有关部门处理消费纠纷；（四）没有配合工商行政管理部门的监督管理，发现经营者有本办法第八条所禁止行为的，未及时制止并报告工商行政管理部门；（五）未尽到法律、法规规定的其他义务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336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336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违法买卖重点保护古生物化石的处罚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337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337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利用合同实施欺诈行为的处罚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338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338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利用合同实施危害国家利益、 社会公共利益的行为的处罚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339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339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单位和个人在知道或者应当知道的情况下，为他人利用合同实施欺诈行为、或实施危害国家利益、 社会公共利益的违法行为，提供证明、执照、印章、账户及其他便利条件的</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340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340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经营者在与消费者采用格式条款订立-合同中免除自己依法应承担的责任的处罚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341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341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经营者在与消费者订立的格式条款合同中违法加重消费者责任的处罚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342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342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经营者在与消费者订立的格式合同条款中排除消费者依法应当享有的权利的处罚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343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343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应当取得而未依法取得许可证或者其他批准文件和营业执照，擅自从事经营活动；无须取得许可证或者其他批准文件即可取得营业执照而未依法取得营业执照，擅自从事经营活动；已经依法取得许可证或者其他批准文件，但未依法取得营业执照，擅自从事经营活动；已经办理注销登记或者被吊销营业执照，以及营业执照有效期届满后未按照规定重新办理登记手续，擅自继续从事经营活动；超出核准登记的经营范围、擅自从事应当取得许可证或者其他批准文件方可从事的经营活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344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344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知道或者应当知道属于《无照经营查处取缔办法》规定的无照经营行为而为其提供生产经营场所、运输、保管、仓储等条件的处罚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345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345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当事人擅自动用、调换、转移、损毁被查封、扣押财物的处罚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346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346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证券公司成立后，无正当理由超过三个月未开始营业的，或者开业后自行停业连续三个月以上的处罚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347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347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未领取营业执照，而以合伙企业或者合伙企业分支机构名义从事合伙业务的处罚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348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348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提交虚假文件或者采取其他欺骗手段，取得合伙企业登记的处罚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349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349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合伙企业登记事项发生变更，未依照《合伙企业登记管理办法》规定办理变更登记，经企业登记机关责令限期登记，逾期不登记的处罚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350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350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合伙企业未在其名称中标明“普通合伙”、“特殊普通合伙”或者“有限合伙”字样的处罚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351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351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合伙企业未依照《合伙企业登记管理办法》规定办理清算人成员名单备案，经企业登记机关责令限期办理，逾期未办理的处罚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352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352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合伙企业未将其营业执照正本置放在经营场所醒目位置的，由企业登记机关责令改正；拒不改正的处罚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353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353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合伙企业涂改、出售、出租、出借或者以其他方式转让营业执照的处罚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354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354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未依法取得营业执照而擅自从事再生资源回收经营业务的处罚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355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355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特许人在推广、宣传活动中有欺骗、误导的行为，其发布的广告中含有宣传被特许人从事特许经营活动收益的内容的处罚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356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356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农民专业合作社向登记机关提供虚假登记材料或者采取其他欺诈手段取得登记，情节严重的处罚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357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357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未经登记，擅自设立代表机构或者从事代表机构业务活动的处罚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358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358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代表机构违反本条例规定从事营利性活动的处罚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359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359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提交虚假材料或者采取其他欺诈手段隐瞒真实情况，取得代表机构登记或者备案的处罚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360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360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代表机构提交的年度报告隐瞒真实情况、弄虚作假的处罚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361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361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伪造、涂改、出租、出借、转让登记证、代表证的处罚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362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362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代表机构违反本条例规定从事业务活动以外活动的处罚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363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363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未依照本条例规定提交年度报告的处罚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364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364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未按照登记机关登记的名称从事业务活动的处罚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365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365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未按照中国政府有关部门要求调整驻在场所的处罚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366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366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未依照本条例规定公告其设立、变更情况的处罚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367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367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未依照本条例规定办理有关变更登记、注销登记或者备案的处罚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368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368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从事危害中国国家安全或者社会公共利益等严重违法活动的处罚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369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369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未领取营业执照，而以外商投资合伙企业名义从事合伙业务的处罚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370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370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从事《外商投资产业指导目录》禁止类项目的，或者未经登记从事限制类项目的处罚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371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371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提交虚假文件或者采取其他欺骗手段，取得外商投资合伙企业登记的处罚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372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372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外商投资合伙企业登记事项发生变更，未依照本规定办理变更登记的处罚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373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373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外商投资合伙企业在使用名称中未按照企业登记机关核准的名称标明“普通合伙”、“特殊普通合伙”或者“有限合伙”字样的处罚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374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374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未依照本规定办理不涉及登记事项的协议修改、分支机构及清算人成员名单备案的处罚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375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375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未依照本规定办理外国合伙人《法律文件送达授权委托书》备案的处罚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376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376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外商投资合伙企业的清算人未向企业登记机关报送清算报告，或者报送的清算报告隐瞒重要事实，或者有重大遗漏的处罚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377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377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外商投资合伙企业未将其营业执照正本置放在经营场所醒目位置的处罚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378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378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外商投资合伙企业涂改、出售、出租、出借或者以其他方式转让营业执照的处罚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379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379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外商投资合伙企业的分支机构有本章规定的违法行为的处罚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380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380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销售利用残次零配件或者报废农业机械的发动机、方向机、变速器、车架等部件拼装的农业机械的处罚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381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381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农业机械销售者未依照本条例的规定建立、保存销售记录的处罚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382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382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违反《旅游法》规定，未经许可经营旅行社业务的处罚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383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383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旅游经营者违反本法规定，给予或者收受贿赂的处罚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384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384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经营者提供的商品或者服务不符合保障人身、财产安全要求的处罚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385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385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经营者销售的商品应当检验、检疫而未检验、检疫或者伪造检验、检疫结果的处罚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386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386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经营者对商品或者服务作虚假或者引人误解的宣传的处罚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387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387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经营者拒绝或者拖延有关行政部门责令对缺陷商品或者服务采取停止销售、警示、召回、无害化处理、销毁、停止生产或者服务等措施的处罚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388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388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经营者对消费者提出的修理、重作、更换、退货、补足商品数量、退还货款和服务费用或者赔偿损失的要求，故意拖延或者无理拒绝的处罚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389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389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经营者侵害消费者人格尊严、侵犯消费者人身自由或者侵害消费者个人信息依法得到保护的权利的处罚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390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390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法律、法规规定的对损害消费者权益应当予以处罚的其他情形处罚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391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391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经营者违反规定，拒绝接受工商行政管理部门依法开展的抽检的处罚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392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392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经营者违反规定，私自拆封、毁损备份样品的处罚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393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393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经营者违反规定，未在规定期限内提供相关产品标准的，或者提供虚假企业标准以及与抽检商品相关虚假信息的处罚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394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394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检验不合格的，责令被抽检的经营者限期改正 ，经营者拒不改正的处罚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395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395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经营者违反本办法第二十一条规定，拒绝或者拖延工商行政管理部门责令的对缺陷商品采取停止销售、警示等措施的处罚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396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396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经营者违反本办法第二十二条规定，未停止销售工商行政管理部门公布的有危及人身、财产安全危险且不符合强制性标准商品名单中商品的处罚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397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397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default" w:ascii="Arial" w:hAnsi="Arial" w:eastAsia="宋体" w:cs="Arial"/>
                <w:i w:val="0"/>
                <w:iCs w:val="0"/>
                <w:caps w:val="0"/>
                <w:color w:val="333333"/>
                <w:spacing w:val="0"/>
                <w:kern w:val="2"/>
                <w:sz w:val="21"/>
                <w:szCs w:val="21"/>
                <w:shd w:val="clear" w:color="auto" w:fill="FFFFFF"/>
                <w:lang w:val="en-US" w:eastAsia="zh-CN" w:bidi="ar"/>
              </w:rPr>
              <w:t> 平台内经营者申请将网络经营场所登记为经营场所的，由其入驻的网络交易平台为其出具符合登记机关要求的网络经营场所相关材料</w:t>
            </w:r>
            <w:r>
              <w:rPr>
                <w:rFonts w:hint="eastAsia" w:ascii="Arial" w:hAnsi="Arial" w:eastAsia="宋体" w:cs="Arial"/>
                <w:i w:val="0"/>
                <w:iCs w:val="0"/>
                <w:caps w:val="0"/>
                <w:color w:val="333333"/>
                <w:spacing w:val="0"/>
                <w:kern w:val="2"/>
                <w:sz w:val="21"/>
                <w:szCs w:val="21"/>
                <w:shd w:val="clear" w:color="auto" w:fill="FFFFFF"/>
                <w:lang w:val="en-US" w:eastAsia="zh-CN" w:bidi="ar"/>
              </w:rPr>
              <w:t>的处罚</w:t>
            </w:r>
            <w:r>
              <w:rPr>
                <w:rFonts w:hint="default" w:ascii="Arial" w:hAnsi="Arial" w:eastAsia="宋体" w:cs="Arial"/>
                <w:i w:val="0"/>
                <w:iCs w:val="0"/>
                <w:caps w:val="0"/>
                <w:color w:val="333333"/>
                <w:spacing w:val="0"/>
                <w:kern w:val="2"/>
                <w:sz w:val="21"/>
                <w:szCs w:val="21"/>
                <w:shd w:val="clear" w:color="auto" w:fill="FFFFFF"/>
                <w:lang w:val="en-US" w:eastAsia="zh-CN" w:bidi="ar"/>
              </w:rPr>
              <w:t>。</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398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398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default" w:ascii="Arial" w:hAnsi="Arial" w:eastAsia="宋体" w:cs="Arial"/>
                <w:i w:val="0"/>
                <w:iCs w:val="0"/>
                <w:caps w:val="0"/>
                <w:color w:val="333333"/>
                <w:spacing w:val="0"/>
                <w:kern w:val="2"/>
                <w:sz w:val="21"/>
                <w:szCs w:val="21"/>
                <w:shd w:val="clear" w:color="auto" w:fill="FFFFFF"/>
                <w:lang w:val="en-US" w:eastAsia="zh-CN" w:bidi="ar"/>
              </w:rPr>
              <w:t>网络交易经营者销售的商品或者提供的服务应当符合保障人身、财产安全的要求和环境保护要求，不得销售或者提供法律、行政法规禁止交易，损害国家利益和社会公共利益，违背公序良俗的商品或者服务</w:t>
            </w:r>
            <w:r>
              <w:rPr>
                <w:rFonts w:hint="eastAsia" w:ascii="Arial" w:hAnsi="Arial" w:eastAsia="宋体" w:cs="Arial"/>
                <w:i w:val="0"/>
                <w:iCs w:val="0"/>
                <w:caps w:val="0"/>
                <w:color w:val="333333"/>
                <w:spacing w:val="0"/>
                <w:kern w:val="2"/>
                <w:sz w:val="21"/>
                <w:szCs w:val="21"/>
                <w:shd w:val="clear" w:color="auto" w:fill="FFFFFF"/>
                <w:lang w:val="en-US" w:eastAsia="zh-CN" w:bidi="ar"/>
              </w:rPr>
              <w:t>的处罚</w:t>
            </w:r>
            <w:r>
              <w:rPr>
                <w:rFonts w:hint="default" w:ascii="Arial" w:hAnsi="Arial" w:eastAsia="宋体" w:cs="Arial"/>
                <w:i w:val="0"/>
                <w:iCs w:val="0"/>
                <w:caps w:val="0"/>
                <w:color w:val="333333"/>
                <w:spacing w:val="0"/>
                <w:kern w:val="2"/>
                <w:sz w:val="21"/>
                <w:szCs w:val="21"/>
                <w:shd w:val="clear" w:color="auto" w:fill="FFFFFF"/>
                <w:lang w:val="en-US" w:eastAsia="zh-CN" w:bidi="ar"/>
              </w:rPr>
              <w:t>。</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399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399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20"/>
                <w:szCs w:val="20"/>
                <w:lang w:val="en-US" w:eastAsia="zh-CN" w:bidi="ar-SA"/>
              </w:rPr>
            </w:pPr>
            <w:r>
              <w:rPr>
                <w:rFonts w:hint="default" w:ascii="Arial" w:hAnsi="Arial" w:eastAsia="宋体" w:cs="Arial"/>
                <w:i w:val="0"/>
                <w:iCs w:val="0"/>
                <w:caps w:val="0"/>
                <w:color w:val="333333"/>
                <w:spacing w:val="0"/>
                <w:kern w:val="2"/>
                <w:sz w:val="21"/>
                <w:szCs w:val="21"/>
                <w:shd w:val="clear" w:color="auto" w:fill="FFFFFF"/>
                <w:lang w:val="en-US" w:eastAsia="zh-CN" w:bidi="ar"/>
              </w:rPr>
              <w:t> 网络交易经营者应当在其网站首页或者从事经营活动的主页面显著位置，持续公示经营者主体信息或者该信息的链接标识。鼓励网络交易经营者链接到国家市场监督管理总局电子营业执照亮照系统，公示其营业执照信息</w:t>
            </w:r>
            <w:r>
              <w:rPr>
                <w:rFonts w:hint="eastAsia" w:ascii="Arial" w:hAnsi="Arial" w:eastAsia="宋体" w:cs="Arial"/>
                <w:i w:val="0"/>
                <w:iCs w:val="0"/>
                <w:caps w:val="0"/>
                <w:color w:val="333333"/>
                <w:spacing w:val="0"/>
                <w:kern w:val="2"/>
                <w:sz w:val="21"/>
                <w:szCs w:val="21"/>
                <w:shd w:val="clear" w:color="auto" w:fill="FFFFFF"/>
                <w:lang w:val="en-US" w:eastAsia="zh-CN" w:bidi="ar"/>
              </w:rPr>
              <w:t>的处罚</w:t>
            </w:r>
            <w:r>
              <w:rPr>
                <w:rFonts w:hint="default" w:ascii="Arial" w:hAnsi="Arial" w:eastAsia="宋体" w:cs="Arial"/>
                <w:i w:val="0"/>
                <w:iCs w:val="0"/>
                <w:caps w:val="0"/>
                <w:color w:val="333333"/>
                <w:spacing w:val="0"/>
                <w:kern w:val="2"/>
                <w:sz w:val="21"/>
                <w:szCs w:val="21"/>
                <w:shd w:val="clear" w:color="auto" w:fill="FFFFFF"/>
                <w:lang w:val="en-US" w:eastAsia="zh-CN" w:bidi="ar"/>
              </w:rPr>
              <w:t>。</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400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400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20"/>
                <w:szCs w:val="20"/>
                <w:lang w:val="en-US" w:eastAsia="zh-CN" w:bidi="ar-SA"/>
              </w:rPr>
            </w:pPr>
            <w:r>
              <w:rPr>
                <w:rFonts w:hint="default" w:ascii="Arial" w:hAnsi="Arial" w:eastAsia="宋体" w:cs="Arial"/>
                <w:i w:val="0"/>
                <w:iCs w:val="0"/>
                <w:caps w:val="0"/>
                <w:color w:val="333333"/>
                <w:spacing w:val="0"/>
                <w:kern w:val="2"/>
                <w:sz w:val="21"/>
                <w:szCs w:val="21"/>
                <w:shd w:val="clear" w:color="auto" w:fill="FFFFFF"/>
                <w:lang w:val="en-US" w:eastAsia="zh-CN" w:bidi="ar"/>
              </w:rPr>
              <w:t> 网络交易经营者收集、使用消费者个人信息，应当遵循合法、正当、必要的原则，明示收集、使用信息的目的、方式和范围，并经消费者同意。网络交易经营者收集、使用消费者个人信息，应当公开其收集、使用规则，不得违反法律、法规的规定和双方的约定收集、使用信息</w:t>
            </w:r>
            <w:r>
              <w:rPr>
                <w:rFonts w:hint="eastAsia" w:ascii="Arial" w:hAnsi="Arial" w:eastAsia="宋体" w:cs="Arial"/>
                <w:i w:val="0"/>
                <w:iCs w:val="0"/>
                <w:caps w:val="0"/>
                <w:color w:val="333333"/>
                <w:spacing w:val="0"/>
                <w:kern w:val="2"/>
                <w:sz w:val="21"/>
                <w:szCs w:val="21"/>
                <w:shd w:val="clear" w:color="auto" w:fill="FFFFFF"/>
                <w:lang w:val="en-US" w:eastAsia="zh-CN" w:bidi="ar"/>
              </w:rPr>
              <w:t>的处罚</w:t>
            </w:r>
            <w:r>
              <w:rPr>
                <w:rFonts w:hint="default" w:ascii="Arial" w:hAnsi="Arial" w:eastAsia="宋体" w:cs="Arial"/>
                <w:i w:val="0"/>
                <w:iCs w:val="0"/>
                <w:caps w:val="0"/>
                <w:color w:val="333333"/>
                <w:spacing w:val="0"/>
                <w:kern w:val="2"/>
                <w:sz w:val="21"/>
                <w:szCs w:val="21"/>
                <w:shd w:val="clear" w:color="auto" w:fill="FFFFFF"/>
                <w:lang w:val="en-US" w:eastAsia="zh-CN" w:bidi="ar"/>
              </w:rPr>
              <w:t>。</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401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401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20"/>
                <w:szCs w:val="20"/>
                <w:lang w:val="en-US" w:eastAsia="zh-CN" w:bidi="ar-SA"/>
              </w:rPr>
            </w:pPr>
            <w:r>
              <w:rPr>
                <w:rFonts w:hint="default" w:ascii="Arial" w:hAnsi="Arial" w:eastAsia="宋体" w:cs="Arial"/>
                <w:i w:val="0"/>
                <w:iCs w:val="0"/>
                <w:caps w:val="0"/>
                <w:color w:val="333333"/>
                <w:spacing w:val="0"/>
                <w:kern w:val="2"/>
                <w:sz w:val="21"/>
                <w:szCs w:val="21"/>
                <w:shd w:val="clear" w:color="auto" w:fill="FFFFFF"/>
                <w:lang w:val="en-US" w:eastAsia="zh-CN" w:bidi="ar"/>
              </w:rPr>
              <w:t> 网络交易经营者不得违反《中华人民共和国反不正当竞争法》等规定，实施扰乱市场竞争秩序，损害其他经营者或者消费者合法权益的不正当竞争行为</w:t>
            </w:r>
            <w:r>
              <w:rPr>
                <w:rFonts w:hint="eastAsia" w:ascii="Arial" w:hAnsi="Arial" w:eastAsia="宋体" w:cs="Arial"/>
                <w:i w:val="0"/>
                <w:iCs w:val="0"/>
                <w:caps w:val="0"/>
                <w:color w:val="333333"/>
                <w:spacing w:val="0"/>
                <w:kern w:val="2"/>
                <w:sz w:val="21"/>
                <w:szCs w:val="21"/>
                <w:shd w:val="clear" w:color="auto" w:fill="FFFFFF"/>
                <w:lang w:val="en-US" w:eastAsia="zh-CN" w:bidi="ar"/>
              </w:rPr>
              <w:t>的处罚</w:t>
            </w:r>
            <w:r>
              <w:rPr>
                <w:rFonts w:hint="default" w:ascii="Arial" w:hAnsi="Arial" w:eastAsia="宋体" w:cs="Arial"/>
                <w:i w:val="0"/>
                <w:iCs w:val="0"/>
                <w:caps w:val="0"/>
                <w:color w:val="333333"/>
                <w:spacing w:val="0"/>
                <w:kern w:val="2"/>
                <w:sz w:val="21"/>
                <w:szCs w:val="21"/>
                <w:shd w:val="clear" w:color="auto" w:fill="FFFFFF"/>
                <w:lang w:val="en-US" w:eastAsia="zh-CN" w:bidi="ar"/>
              </w:rPr>
              <w:t>。</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402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402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20"/>
                <w:szCs w:val="20"/>
                <w:lang w:val="en-US" w:eastAsia="zh-CN" w:bidi="ar-SA"/>
              </w:rPr>
            </w:pPr>
            <w:r>
              <w:rPr>
                <w:rFonts w:hint="default" w:ascii="Arial" w:hAnsi="Arial" w:eastAsia="宋体" w:cs="Arial"/>
                <w:i w:val="0"/>
                <w:iCs w:val="0"/>
                <w:caps w:val="0"/>
                <w:color w:val="333333"/>
                <w:spacing w:val="0"/>
                <w:kern w:val="2"/>
                <w:sz w:val="21"/>
                <w:szCs w:val="21"/>
                <w:shd w:val="clear" w:color="auto" w:fill="FFFFFF"/>
                <w:lang w:val="en-US" w:eastAsia="zh-CN" w:bidi="ar"/>
              </w:rPr>
              <w:t> 网络交易经营者未经消费者同意或者请求，不得向其发送商业性信息</w:t>
            </w:r>
            <w:r>
              <w:rPr>
                <w:rFonts w:hint="eastAsia" w:ascii="宋体" w:hAnsi="宋体" w:eastAsia="宋体" w:cs="宋体"/>
                <w:color w:val="000000"/>
                <w:kern w:val="2"/>
                <w:sz w:val="20"/>
                <w:szCs w:val="20"/>
                <w:lang w:val="en-US" w:eastAsia="zh-CN" w:bidi="ar"/>
              </w:rPr>
              <w:t>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403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403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20"/>
                <w:szCs w:val="20"/>
                <w:lang w:val="en-US" w:eastAsia="zh-CN" w:bidi="ar-SA"/>
              </w:rPr>
            </w:pPr>
            <w:r>
              <w:rPr>
                <w:rFonts w:hint="default" w:ascii="Arial" w:hAnsi="Arial" w:eastAsia="宋体" w:cs="Arial"/>
                <w:i w:val="0"/>
                <w:iCs w:val="0"/>
                <w:caps w:val="0"/>
                <w:color w:val="333333"/>
                <w:spacing w:val="0"/>
                <w:kern w:val="2"/>
                <w:sz w:val="21"/>
                <w:szCs w:val="21"/>
                <w:shd w:val="clear" w:color="auto" w:fill="FFFFFF"/>
                <w:lang w:val="en-US" w:eastAsia="zh-CN" w:bidi="ar"/>
              </w:rPr>
              <w:t>网络交易经营者以直接捆绑或者提供多种可选项方式向消费者搭售商品或者服务的，应当以显著方式提醒消费者注意。提供多种可选项方式的，不得将搭售商品或者服务的任何选项设定为消费者默认同意，不得将消费者以往交易中选择的选项在后续独立交易中设定为消费者默认选择。</w:t>
            </w:r>
            <w:r>
              <w:rPr>
                <w:rFonts w:hint="eastAsia" w:ascii="宋体" w:hAnsi="宋体" w:eastAsia="宋体" w:cs="宋体"/>
                <w:color w:val="000000"/>
                <w:kern w:val="2"/>
                <w:sz w:val="20"/>
                <w:szCs w:val="20"/>
                <w:lang w:val="en-US" w:eastAsia="zh-CN" w:bidi="ar"/>
              </w:rPr>
              <w:t>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404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404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20"/>
                <w:szCs w:val="20"/>
                <w:lang w:val="en-US" w:eastAsia="zh-CN" w:bidi="ar-SA"/>
              </w:rPr>
            </w:pPr>
            <w:r>
              <w:rPr>
                <w:rFonts w:hint="default" w:ascii="Arial" w:hAnsi="Arial" w:eastAsia="宋体" w:cs="Arial"/>
                <w:i w:val="0"/>
                <w:iCs w:val="0"/>
                <w:caps w:val="0"/>
                <w:color w:val="333333"/>
                <w:spacing w:val="0"/>
                <w:kern w:val="2"/>
                <w:sz w:val="21"/>
                <w:szCs w:val="21"/>
                <w:shd w:val="clear" w:color="auto" w:fill="FFFFFF"/>
                <w:lang w:val="en-US" w:eastAsia="zh-CN" w:bidi="ar"/>
              </w:rPr>
              <w:t> 网络交易经营者采取自动展期、自动续费等方式提供服务的，应当在消费者接受服务前和自动展期、自动续费等日期前五日，以显著方式提请消费者注意，由消费者自主选择；在服务期间内，应当为消费者提供显著、简便的随时取消或者变更的选项，并不得收取不合理费用。</w:t>
            </w:r>
            <w:r>
              <w:rPr>
                <w:rFonts w:hint="eastAsia" w:ascii="宋体" w:hAnsi="宋体" w:eastAsia="宋体" w:cs="宋体"/>
                <w:color w:val="000000"/>
                <w:kern w:val="2"/>
                <w:sz w:val="20"/>
                <w:szCs w:val="20"/>
                <w:lang w:val="en-US" w:eastAsia="zh-CN" w:bidi="ar"/>
              </w:rPr>
              <w:t>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405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405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20"/>
                <w:szCs w:val="20"/>
                <w:lang w:val="en-US" w:eastAsia="zh-CN" w:bidi="ar-SA"/>
              </w:rPr>
            </w:pPr>
            <w:r>
              <w:rPr>
                <w:rFonts w:hint="default" w:ascii="Arial" w:hAnsi="Arial" w:eastAsia="宋体" w:cs="Arial"/>
                <w:i w:val="0"/>
                <w:iCs w:val="0"/>
                <w:caps w:val="0"/>
                <w:color w:val="333333"/>
                <w:spacing w:val="0"/>
                <w:kern w:val="2"/>
                <w:sz w:val="21"/>
                <w:szCs w:val="21"/>
                <w:shd w:val="clear" w:color="auto" w:fill="FFFFFF"/>
                <w:lang w:val="en-US" w:eastAsia="zh-CN" w:bidi="ar"/>
              </w:rPr>
              <w:t> 通过网络社交、网络直播等网络服务开展网络交易活动的网络交易经营者，应当以显著方式展示商品或者服务及其实际经营主体、售后服务等信息，或者上述信息的链接标识</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406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406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20"/>
                <w:szCs w:val="20"/>
                <w:lang w:val="en-US" w:eastAsia="zh-CN" w:bidi="ar-SA"/>
              </w:rPr>
            </w:pPr>
            <w:r>
              <w:rPr>
                <w:rFonts w:hint="default" w:ascii="Arial" w:hAnsi="Arial" w:eastAsia="宋体" w:cs="Arial"/>
                <w:i w:val="0"/>
                <w:iCs w:val="0"/>
                <w:caps w:val="0"/>
                <w:color w:val="333333"/>
                <w:spacing w:val="0"/>
                <w:kern w:val="2"/>
                <w:sz w:val="21"/>
                <w:szCs w:val="21"/>
                <w:shd w:val="clear" w:color="auto" w:fill="FFFFFF"/>
                <w:lang w:val="en-US" w:eastAsia="zh-CN" w:bidi="ar"/>
              </w:rPr>
              <w:t> 网络交易经营者应当按照国家市场监督管理总局及其授权的省级市场监督管理部门的要求，提供特定时段、特定品类、特定区域的商品或者服务的价格、销量、销售额等数据信息</w:t>
            </w:r>
            <w:r>
              <w:rPr>
                <w:rFonts w:hint="eastAsia" w:ascii="宋体" w:hAnsi="宋体" w:eastAsia="宋体" w:cs="宋体"/>
                <w:color w:val="000000"/>
                <w:kern w:val="2"/>
                <w:sz w:val="20"/>
                <w:szCs w:val="20"/>
                <w:lang w:val="en-US" w:eastAsia="zh-CN" w:bidi="ar"/>
              </w:rPr>
              <w:t>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407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407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20"/>
                <w:szCs w:val="20"/>
                <w:lang w:val="en-US" w:eastAsia="zh-CN" w:bidi="ar-SA"/>
              </w:rPr>
            </w:pPr>
            <w:r>
              <w:rPr>
                <w:rFonts w:hint="default" w:ascii="Arial" w:hAnsi="Arial" w:eastAsia="宋体" w:cs="Arial"/>
                <w:i w:val="0"/>
                <w:iCs w:val="0"/>
                <w:caps w:val="0"/>
                <w:color w:val="333333"/>
                <w:spacing w:val="0"/>
                <w:kern w:val="2"/>
                <w:sz w:val="21"/>
                <w:szCs w:val="21"/>
                <w:shd w:val="clear" w:color="auto" w:fill="FFFFFF"/>
                <w:lang w:val="en-US" w:eastAsia="zh-CN" w:bidi="ar"/>
              </w:rPr>
              <w:t>网络交易经营者自行终止从事网络交易活动的，应当提前三十日在其网站首页或者从事经营活动的主页面显著位置，持续公示终止网络交易活动公告等有关信息，并采取合理、必要、及时的措施保障消费者和相关经营者的合法权益。</w:t>
            </w:r>
            <w:r>
              <w:rPr>
                <w:rFonts w:hint="eastAsia" w:ascii="宋体" w:hAnsi="宋体" w:eastAsia="宋体" w:cs="宋体"/>
                <w:color w:val="000000"/>
                <w:kern w:val="2"/>
                <w:sz w:val="20"/>
                <w:szCs w:val="20"/>
                <w:lang w:val="en-US" w:eastAsia="zh-CN" w:bidi="ar"/>
              </w:rPr>
              <w:t>性的处罚。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408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408</w:t>
            </w:r>
          </w:p>
        </w:tc>
        <w:tc>
          <w:tcPr>
            <w:tcW w:w="6563" w:type="dxa"/>
            <w:noWrap w:val="0"/>
            <w:vAlign w:val="center"/>
          </w:tcPr>
          <w:p>
            <w:pPr>
              <w:pStyle w:val="5"/>
              <w:keepNext w:val="0"/>
              <w:keepLines w:val="0"/>
              <w:widowControl/>
              <w:suppressLineNumbers w:val="0"/>
              <w:shd w:val="clear" w:color="auto" w:fill="FFFFFF"/>
              <w:spacing w:before="0" w:beforeAutospacing="0" w:after="225" w:afterAutospacing="0" w:line="360" w:lineRule="atLeast"/>
              <w:ind w:left="0" w:right="0" w:firstLine="420"/>
              <w:jc w:val="left"/>
              <w:rPr>
                <w:rFonts w:hint="default" w:ascii="Arial" w:hAnsi="Arial" w:eastAsia="仿宋_GB2312" w:cs="Arial"/>
                <w:i w:val="0"/>
                <w:iCs w:val="0"/>
                <w:caps w:val="0"/>
                <w:color w:val="333333"/>
                <w:spacing w:val="0"/>
                <w:kern w:val="0"/>
                <w:sz w:val="21"/>
                <w:szCs w:val="21"/>
                <w:shd w:val="clear" w:color="auto" w:fill="FFFFFF"/>
              </w:rPr>
            </w:pPr>
            <w:r>
              <w:rPr>
                <w:rFonts w:hint="default" w:ascii="Arial" w:hAnsi="Arial" w:eastAsia="仿宋_GB2312" w:cs="Arial"/>
                <w:i w:val="0"/>
                <w:iCs w:val="0"/>
                <w:caps w:val="0"/>
                <w:color w:val="333333"/>
                <w:spacing w:val="0"/>
                <w:kern w:val="0"/>
                <w:sz w:val="21"/>
                <w:szCs w:val="21"/>
                <w:shd w:val="clear" w:color="auto" w:fill="FFFFFF"/>
                <w:lang w:val="en-US" w:eastAsia="zh-CN" w:bidi="ar"/>
              </w:rPr>
              <w:t xml:space="preserve"> </w:t>
            </w:r>
            <w:r>
              <w:rPr>
                <w:rFonts w:hint="eastAsia" w:ascii="仿宋_GB2312" w:hAnsi="Arial" w:eastAsia="仿宋_GB2312" w:cs="仿宋_GB2312"/>
                <w:i w:val="0"/>
                <w:iCs w:val="0"/>
                <w:caps w:val="0"/>
                <w:color w:val="333333"/>
                <w:spacing w:val="0"/>
                <w:kern w:val="0"/>
                <w:sz w:val="21"/>
                <w:szCs w:val="21"/>
                <w:shd w:val="clear" w:color="auto" w:fill="FFFFFF"/>
                <w:lang w:val="en-US" w:eastAsia="zh-CN" w:bidi="ar"/>
              </w:rPr>
              <w:t>网络交易平台经营者应当要求申请进入平台销售商品或者提供服务的经营者提交其身份、地址、联系方式、行政许可等真实信息，进行核验、登记，建立登记档案，并至少每六个月核验更新一次。</w:t>
            </w:r>
          </w:p>
          <w:p>
            <w:pPr>
              <w:pStyle w:val="5"/>
              <w:keepNext w:val="0"/>
              <w:keepLines w:val="0"/>
              <w:widowControl/>
              <w:suppressLineNumbers w:val="0"/>
              <w:shd w:val="clear" w:color="auto" w:fill="FFFFFF"/>
              <w:spacing w:before="0" w:beforeAutospacing="0" w:after="225" w:afterAutospacing="0" w:line="360" w:lineRule="atLeast"/>
              <w:ind w:left="0" w:right="0" w:firstLine="420"/>
              <w:jc w:val="left"/>
              <w:rPr>
                <w:rFonts w:hint="default" w:ascii="Arial" w:hAnsi="Arial" w:eastAsia="仿宋_GB2312" w:cs="Arial"/>
                <w:i w:val="0"/>
                <w:iCs w:val="0"/>
                <w:caps w:val="0"/>
                <w:color w:val="333333"/>
                <w:spacing w:val="0"/>
                <w:kern w:val="0"/>
                <w:sz w:val="21"/>
                <w:szCs w:val="21"/>
                <w:shd w:val="clear" w:color="auto" w:fill="FFFFFF"/>
              </w:rPr>
            </w:pPr>
            <w:r>
              <w:rPr>
                <w:rFonts w:hint="default" w:ascii="Arial" w:hAnsi="Arial" w:eastAsia="仿宋_GB2312" w:cs="Arial"/>
                <w:i w:val="0"/>
                <w:iCs w:val="0"/>
                <w:caps w:val="0"/>
                <w:color w:val="333333"/>
                <w:spacing w:val="0"/>
                <w:kern w:val="0"/>
                <w:sz w:val="21"/>
                <w:szCs w:val="21"/>
                <w:shd w:val="clear" w:color="auto" w:fill="FFFFFF"/>
                <w:lang w:val="en-US" w:eastAsia="zh-CN" w:bidi="ar"/>
              </w:rPr>
              <w:t>网络交易平台经营者应当对未办理市场主体登记的平台内经营者进行动态监测，对超过本办法第八条第三款规定额度的，及时提醒其依法办理市场主体登记。</w:t>
            </w:r>
          </w:p>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20"/>
                <w:szCs w:val="20"/>
                <w:lang w:val="en-US" w:eastAsia="zh-CN" w:bidi="ar-SA"/>
              </w:rPr>
            </w:pPr>
            <w:r>
              <w:rPr>
                <w:rFonts w:hint="eastAsia" w:ascii="宋体" w:hAnsi="宋体" w:eastAsia="宋体" w:cs="宋体"/>
                <w:color w:val="000000"/>
                <w:kern w:val="2"/>
                <w:sz w:val="20"/>
                <w:szCs w:val="20"/>
                <w:lang w:val="en-US" w:eastAsia="zh-CN" w:bidi="ar"/>
              </w:rPr>
              <w:t>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409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409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20"/>
                <w:szCs w:val="20"/>
                <w:lang w:val="en-US" w:eastAsia="zh-CN" w:bidi="ar-SA"/>
              </w:rPr>
            </w:pPr>
            <w:r>
              <w:rPr>
                <w:rFonts w:hint="default" w:ascii="Arial" w:hAnsi="Arial" w:eastAsia="宋体" w:cs="Arial"/>
                <w:i w:val="0"/>
                <w:iCs w:val="0"/>
                <w:caps w:val="0"/>
                <w:color w:val="333333"/>
                <w:spacing w:val="0"/>
                <w:kern w:val="2"/>
                <w:sz w:val="21"/>
                <w:szCs w:val="21"/>
                <w:shd w:val="clear" w:color="auto" w:fill="FFFFFF"/>
                <w:lang w:val="en-US" w:eastAsia="zh-CN" w:bidi="ar"/>
              </w:rPr>
              <w:t>未办理市场主体登记的平台内经营者的姓名、身份证件号码、实际经营地址、联系方式、网店名称以及网址链接、属于依法不需要办理市场主体登记的具体情形的自我声明等信息；其中，对超过本办法第八条第三款规定额度的平台内经营者进行特别标示</w:t>
            </w:r>
            <w:r>
              <w:rPr>
                <w:rFonts w:hint="eastAsia" w:ascii="宋体" w:hAnsi="宋体" w:eastAsia="宋体" w:cs="宋体"/>
                <w:color w:val="000000"/>
                <w:kern w:val="2"/>
                <w:sz w:val="20"/>
                <w:szCs w:val="20"/>
                <w:lang w:val="en-US" w:eastAsia="zh-CN" w:bidi="ar"/>
              </w:rPr>
              <w:t>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410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410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20"/>
                <w:szCs w:val="20"/>
                <w:lang w:val="en-US" w:eastAsia="zh-CN" w:bidi="ar-SA"/>
              </w:rPr>
            </w:pPr>
            <w:r>
              <w:rPr>
                <w:rFonts w:hint="default" w:ascii="Arial" w:hAnsi="Arial" w:eastAsia="宋体" w:cs="Arial"/>
                <w:i w:val="0"/>
                <w:iCs w:val="0"/>
                <w:caps w:val="0"/>
                <w:color w:val="333333"/>
                <w:spacing w:val="0"/>
                <w:kern w:val="2"/>
                <w:sz w:val="21"/>
                <w:szCs w:val="21"/>
                <w:shd w:val="clear" w:color="auto" w:fill="FFFFFF"/>
                <w:lang w:val="en-US" w:eastAsia="zh-CN" w:bidi="ar"/>
              </w:rPr>
              <w:t> 网络交易平台经营者应当以显著方式区分标记已办理市场主体登记的经营者和未办理市场主体登记的经营者，确保消费者能够清晰辨认</w:t>
            </w:r>
            <w:r>
              <w:rPr>
                <w:rFonts w:hint="eastAsia" w:ascii="宋体" w:hAnsi="宋体" w:eastAsia="宋体" w:cs="宋体"/>
                <w:color w:val="000000"/>
                <w:kern w:val="2"/>
                <w:sz w:val="20"/>
                <w:szCs w:val="20"/>
                <w:lang w:val="en-US" w:eastAsia="zh-CN" w:bidi="ar"/>
              </w:rPr>
              <w:t>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411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411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20"/>
                <w:szCs w:val="20"/>
                <w:lang w:val="en-US" w:eastAsia="zh-CN" w:bidi="ar-SA"/>
              </w:rPr>
            </w:pPr>
            <w:r>
              <w:rPr>
                <w:rFonts w:hint="default" w:ascii="Arial" w:hAnsi="Arial" w:eastAsia="宋体" w:cs="Arial"/>
                <w:i w:val="0"/>
                <w:iCs w:val="0"/>
                <w:caps w:val="0"/>
                <w:color w:val="333333"/>
                <w:spacing w:val="0"/>
                <w:kern w:val="2"/>
                <w:sz w:val="21"/>
                <w:szCs w:val="21"/>
                <w:shd w:val="clear" w:color="auto" w:fill="FFFFFF"/>
                <w:lang w:val="en-US" w:eastAsia="zh-CN" w:bidi="ar"/>
              </w:rPr>
              <w:t> 网络交易平台经营者修改平台服务协议和交易规则的，应当完整保存修改后的版本生效之日前三年的全部历史版本，并保证经营者和消费者能够便利、完整地阅览和下载</w:t>
            </w:r>
            <w:r>
              <w:rPr>
                <w:rFonts w:hint="eastAsia" w:ascii="宋体" w:hAnsi="宋体" w:eastAsia="宋体" w:cs="宋体"/>
                <w:color w:val="000000"/>
                <w:kern w:val="2"/>
                <w:sz w:val="20"/>
                <w:szCs w:val="20"/>
                <w:lang w:val="en-US" w:eastAsia="zh-CN" w:bidi="ar"/>
              </w:rPr>
              <w:t>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412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412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20"/>
                <w:szCs w:val="20"/>
                <w:lang w:val="en-US" w:eastAsia="zh-CN" w:bidi="ar-SA"/>
              </w:rPr>
            </w:pPr>
            <w:r>
              <w:rPr>
                <w:rFonts w:hint="default" w:ascii="Arial" w:hAnsi="Arial" w:eastAsia="宋体" w:cs="Arial"/>
                <w:i w:val="0"/>
                <w:iCs w:val="0"/>
                <w:caps w:val="0"/>
                <w:color w:val="333333"/>
                <w:spacing w:val="0"/>
                <w:kern w:val="2"/>
                <w:sz w:val="21"/>
                <w:szCs w:val="21"/>
                <w:shd w:val="clear" w:color="auto" w:fill="FFFFFF"/>
                <w:lang w:val="en-US" w:eastAsia="zh-CN" w:bidi="ar"/>
              </w:rPr>
              <w:t>网络交易平台经营者应当对平台内经营者及其发布的商品或者服务信息建立检查监控制度。网络交易平台经营者发现平台内的商品或者服务信息有违反市场监督管理法律、法规、规章，损害国家利益和社会公共利益，违背公序良俗的，应当依法采取必要的处置措施，保存有关记录，并向平台住所地县级以上市场监督管理部门报告。</w:t>
            </w:r>
            <w:r>
              <w:rPr>
                <w:rFonts w:hint="eastAsia" w:ascii="宋体" w:hAnsi="宋体" w:eastAsia="宋体" w:cs="宋体"/>
                <w:color w:val="000000"/>
                <w:kern w:val="2"/>
                <w:sz w:val="20"/>
                <w:szCs w:val="20"/>
                <w:lang w:val="en-US" w:eastAsia="zh-CN" w:bidi="ar"/>
              </w:rPr>
              <w:t>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413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413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20"/>
                <w:szCs w:val="20"/>
                <w:lang w:val="en-US" w:eastAsia="zh-CN" w:bidi="ar-SA"/>
              </w:rPr>
            </w:pPr>
            <w:r>
              <w:rPr>
                <w:rFonts w:hint="default" w:ascii="Arial" w:hAnsi="Arial" w:eastAsia="宋体" w:cs="Arial"/>
                <w:i w:val="0"/>
                <w:iCs w:val="0"/>
                <w:caps w:val="0"/>
                <w:color w:val="333333"/>
                <w:spacing w:val="0"/>
                <w:kern w:val="2"/>
                <w:sz w:val="21"/>
                <w:szCs w:val="21"/>
                <w:shd w:val="clear" w:color="auto" w:fill="FFFFFF"/>
                <w:lang w:val="en-US" w:eastAsia="zh-CN" w:bidi="ar"/>
              </w:rPr>
              <w:t>网络交易平台经营者依据法律、法规、规章的规定或者平台服务协议和交易规则对平台内经营者违法行为采取警示、暂停或者终止服务等处理措施的，应当自决定作出处理措施之日起一个工作日内予以公示，载明平台内经营者的网店名称、违法行为、处理措施等信息。警示、暂停服务等短期处理措施的相关信息应当持续公示至处理措施实施期满之日止。</w:t>
            </w:r>
            <w:r>
              <w:rPr>
                <w:rFonts w:hint="eastAsia" w:ascii="宋体" w:hAnsi="宋体" w:eastAsia="宋体" w:cs="宋体"/>
                <w:color w:val="000000"/>
                <w:kern w:val="2"/>
                <w:sz w:val="20"/>
                <w:szCs w:val="20"/>
                <w:lang w:val="en-US" w:eastAsia="zh-CN" w:bidi="ar"/>
              </w:rPr>
              <w:t>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414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414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20"/>
                <w:szCs w:val="20"/>
                <w:lang w:val="en-US" w:eastAsia="zh-CN" w:bidi="ar-SA"/>
              </w:rPr>
            </w:pPr>
            <w:r>
              <w:rPr>
                <w:rFonts w:hint="default" w:ascii="Arial" w:hAnsi="Arial" w:eastAsia="宋体" w:cs="Arial"/>
                <w:i w:val="0"/>
                <w:iCs w:val="0"/>
                <w:caps w:val="0"/>
                <w:color w:val="333333"/>
                <w:spacing w:val="0"/>
                <w:kern w:val="2"/>
                <w:sz w:val="21"/>
                <w:szCs w:val="21"/>
                <w:shd w:val="clear" w:color="auto" w:fill="FFFFFF"/>
                <w:lang w:val="en-US" w:eastAsia="zh-CN" w:bidi="ar"/>
              </w:rPr>
              <w:t>网络交易平台经营者对平台内经营者身份信息的保存时间自其退出平台之日起不少于三年；对商品或者服务信息，支付记录、物流快递、退换货以及售后等交易信息的保存时间自交易完成之日起不少于三年。法律、行政法规另有规定的，依照其规定</w:t>
            </w:r>
            <w:r>
              <w:rPr>
                <w:rFonts w:hint="eastAsia" w:ascii="宋体" w:hAnsi="宋体" w:eastAsia="宋体" w:cs="宋体"/>
                <w:color w:val="000000"/>
                <w:kern w:val="2"/>
                <w:sz w:val="20"/>
                <w:szCs w:val="20"/>
                <w:lang w:val="en-US" w:eastAsia="zh-CN" w:bidi="ar"/>
              </w:rPr>
              <w:t>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415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415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20"/>
                <w:szCs w:val="20"/>
                <w:lang w:val="en-US" w:eastAsia="zh-CN" w:bidi="ar-SA"/>
              </w:rPr>
            </w:pPr>
            <w:r>
              <w:rPr>
                <w:rFonts w:hint="default" w:ascii="Arial" w:hAnsi="Arial" w:eastAsia="宋体" w:cs="Arial"/>
                <w:i w:val="0"/>
                <w:iCs w:val="0"/>
                <w:caps w:val="0"/>
                <w:color w:val="333333"/>
                <w:spacing w:val="0"/>
                <w:kern w:val="2"/>
                <w:sz w:val="21"/>
                <w:szCs w:val="21"/>
                <w:shd w:val="clear" w:color="auto" w:fill="FFFFFF"/>
                <w:lang w:val="en-US" w:eastAsia="zh-CN" w:bidi="ar"/>
              </w:rPr>
              <w:t> 网络交易平台经营者不得违反《中华人民共和国电子商务法》第三十五条的规定，对平台内经营者在平台内的交易、交易价格以及与其他经营者的交易等进行不合理限制或者附加不合理条件，干涉平台内经营者的自主经营</w:t>
            </w:r>
            <w:r>
              <w:rPr>
                <w:rFonts w:hint="eastAsia" w:ascii="宋体" w:hAnsi="宋体" w:eastAsia="宋体" w:cs="宋体"/>
                <w:color w:val="000000"/>
                <w:kern w:val="2"/>
                <w:sz w:val="20"/>
                <w:szCs w:val="20"/>
                <w:lang w:val="en-US" w:eastAsia="zh-CN" w:bidi="ar"/>
              </w:rPr>
              <w:t>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416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416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20"/>
                <w:szCs w:val="20"/>
                <w:lang w:val="en-US" w:eastAsia="zh-CN" w:bidi="ar-SA"/>
              </w:rPr>
            </w:pPr>
            <w:r>
              <w:rPr>
                <w:rFonts w:hint="default" w:ascii="Arial" w:hAnsi="Arial" w:eastAsia="宋体" w:cs="Arial"/>
                <w:i w:val="0"/>
                <w:iCs w:val="0"/>
                <w:caps w:val="0"/>
                <w:color w:val="333333"/>
                <w:spacing w:val="0"/>
                <w:kern w:val="2"/>
                <w:sz w:val="21"/>
                <w:szCs w:val="21"/>
                <w:shd w:val="clear" w:color="auto" w:fill="FFFFFF"/>
                <w:lang w:val="en-US" w:eastAsia="zh-CN" w:bidi="ar"/>
              </w:rPr>
              <w:t>市场监督管理部门依法开展的监管执法活动，拒绝依照本办法规定提供有关材料、信息，或者提供虚假材料、信息，或者隐匿、销毁、转移证据，或者有其他拒绝、阻碍监管执法行为，法律、行政法规、其他市场监督管理部门规章有规定的，依照其规定；法律、行政法规、其他市场监督管理部门规章没有规定</w:t>
            </w:r>
            <w:r>
              <w:rPr>
                <w:rFonts w:hint="eastAsia" w:ascii="Arial" w:hAnsi="Arial" w:eastAsia="宋体" w:cs="Arial"/>
                <w:i w:val="0"/>
                <w:iCs w:val="0"/>
                <w:caps w:val="0"/>
                <w:color w:val="333333"/>
                <w:spacing w:val="0"/>
                <w:kern w:val="2"/>
                <w:sz w:val="21"/>
                <w:szCs w:val="21"/>
                <w:shd w:val="clear" w:color="auto" w:fill="FFFFFF"/>
                <w:lang w:val="en-US" w:eastAsia="zh-CN" w:bidi="ar"/>
              </w:rPr>
              <w:t>的</w:t>
            </w:r>
            <w:r>
              <w:rPr>
                <w:rFonts w:hint="eastAsia" w:ascii="宋体" w:hAnsi="宋体" w:eastAsia="宋体" w:cs="宋体"/>
                <w:color w:val="000000"/>
                <w:kern w:val="2"/>
                <w:sz w:val="20"/>
                <w:szCs w:val="20"/>
                <w:lang w:val="en-US" w:eastAsia="zh-CN" w:bidi="ar"/>
              </w:rPr>
              <w:t>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417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417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法律、行政法规以及国务院决定规定公司注册资本实缴的公司，虚报注册资本、提交虚假材料或者采取其他欺诈手段隐瞒重要事实取得公司登记的处罚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418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418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法律、行政法规以及国务院决定规定公司注册资本实缴的，其发起人、股东虚假出资，未交付或者未按期交付作为出资的货币或者非货币财产的处罚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419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419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法律、行政法规以及国务院决定规定公司注册资本实缴的，其发起人、股东在公司成立后，抽逃其出资的处罚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420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420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公司在合并、分立、减少注册资本或者进行清算时，不依照《公司法》规定通知或者公告债权人的处罚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421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421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公司在进行清算时，隐匿财产，对资产负债表或者财产清单作虚假记载或者在未清偿债务前分配公司财产的处罚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422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422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公司在清算期间开展与清算无关的经营活动的处罚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423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423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清算组成员利用职权徇私舞弊、谋取非法收入或者侵占公司财产的处罚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424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424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承担资产评估、验资或者验证的机构提供虚假材料的处罚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425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425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承担资产评估、验资或者验证的机构因过失提供有重大遗漏的报告的处罚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426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426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未依法登记为有限责任公司或者股份有限公司，而冒用有限责任公司或者股份有限公司名义的处罚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427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427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未依法登记为有限责任公司或者股份有限公司的分公司，而冒用有限责任公司或者股份有限公司的分公司名义的处罚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428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428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公司成立后无正当理由超过六个月未开业的，或者开业后自行停业连续六个月以上的处罚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429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429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公司登记事项发生变更时，未依照规定办理有关变更登记的处罚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430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430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外国公司擅自在中国境内设立分支机构的处罚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431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431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利用公司名义从事危害国家安全、社会公共利益的严重违法行为的处罚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432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432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伪造、涂改、出租、出借、转让营业执照的处罚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433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433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未将营业执照置于住所或者营业场所醒目位置经责令拒不改正的处罚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434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434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擅自销售卫星地面接收设施的处罚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435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435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个人独资企业办理登记时，提交虚假文件或者采取其他欺骗手段，取得企业登记的处罚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436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436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个人独资企业使用的名称与其在登记机关登记的名称不相符合的处罚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437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437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个人独资企业涂改、出租、转让营业执照的处罚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438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438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个人独资企业成立后无正当理由超过6个月未开业的，或者开业后自行停业连续6个月以上的处罚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439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439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未领取营业执照，以个人独资企业名义从事经营活动的处罚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440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440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个人独资企业登记事项发生变更时，未按《中华人民共和国个人独资企业法》规定办理有关变更登记，经责令限期办理变更登记，逾期不办理的处罚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441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441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个人独资企业不按规定时间将分支机构登记情况报该分支机构隶属的个人独资企业的登记机关备案的处罚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442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442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个人独资企业营业执照遗失或者毁损，不向登记机关申请补领或者更换的处罚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443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443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个人独资企业未将营业执照正本置放在企业住所醒目位置的，由登记机关责令限期改正；逾期不改正的处罚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444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444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承租、受让个人独资企业营业执照从事经营活动的处罚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445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445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伪造个人独资企业营业执照的处罚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446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446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未经核准登记擅自开业从事经营活动的处罚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447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447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申请登记时隐瞒真实情况、弄虚作假的处罚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448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448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擅自改变主要登记事项，不按规定办理变更登记的处罚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449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449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超出核准登记的经营范围或者经营方式从事经营活动的处罚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450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450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超出核准登记的经营范围或者经营方式从事经营活动，同时违反国家其他有关规定，从事非法经营的处罚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451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451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侵犯企业名称专用权的处罚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452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452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伪造、涂改、出租、出借、转让、出卖营业执照的处罚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453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453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不按规定悬挂营业执照，经责令改正，拒不改正的处罚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454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454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抽逃、转移资金，隐匿财产逃避债务的处罚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455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455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不按规定申请办理注销登记，经责令限期办理注销登记，拒不办理的处罚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456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456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拒绝监督检查或者在接受监督检查过程中弄虚作假的处罚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457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457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纳税人不办理税务登记，经税务机关责令限期改正，逾期不改正，经税务机关提请吊销营业执照的处罚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458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458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擅自生产、销售未经国家机动车产品主管部门许可生产的机动车型，有营业执照，经有关主管部门提请吊销营业执照的处罚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459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459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生产、销售拼装的机动车或者生产、销售擅自改装的机动车的，有营业执照，经有关主管部门提请吊销营业执照的处罚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460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460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未取得废弃电器电子产品处理资格擅自从事废弃电器电子产品处理活动的处罚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461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461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投标人相互串通投标或者与招标人串通投标，投标人以向招标人或者评标委员会成员行贿的手段谋取中标，情节严重，经有关主管部门提请吊销营业执照的处罚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462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462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投标人以他人名义投标或者以其他方式弄虚作假，骗取中标，情节严重，经有关主管部门提请吊销营业执照的处罚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463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463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中标人将中标项目转让给他人，将中标项目肢解后分别转让给他人，违反本法规定将中标项目的部分主体、关键性工作分包给他人或者分包人再次分包，情节严重，经有关主管部门提请吊销营业执照的处罚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464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464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中标人不按照与招标人订立的合同履行义务，情节较为严重，经有关主管部门提请吊销营业执照的处罚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465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465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维修行业销售产品掺杂、掺假，以假充真、以次充好，以不合格产品冒充合格产品的处罚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466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466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维修后的民用品不符合国家和本省规定的保障人身财产安全标准的处罚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467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467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在保证期限内，民用品修复时更换的零配件发生损坏，未按规定免费返修的处罚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468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468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销售不符合保障人体健康和人身、财产安全的国家标准、行业标准民用品的处罚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469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469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对消费者提出的民用品修理、重作、更换、退货、补足商品数量、退还货款和服务费用或者赔偿损失的要求，故意拖延或者无理拒绝的处罚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470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470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对实行包修、包换、包退的商品，不履行规定或约定；对经法定部门认定不合格的商品，不予退货或收取费用，不向消费者退还商品原购货价款的处罚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471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471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民用品维修者对其维修产品质量不负责任弄虚作假、敷衍或欺骗用户、消费者的处罚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472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472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不按规定负责产品修理、更换、退货和赔偿的处罚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473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473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未取得《药品生产许可证》、《药品经营许可证》或者《医疗机构制剂许可证》生产药品、经营药品的处罚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474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474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生产、销售假药的处罚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475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475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生产、销售劣药的处罚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476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476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知道或者应当知道属于假劣药品而为其提供运输、保管、仓储等便利条件的处罚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477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477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药品的生产企业、经营企业或者医疗机构，从无《药品生产许可证》、《药品经营许可证》的企业购进药品的处罚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478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478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伪造、变造、买卖、出租、出借许可证或者药品批准证明文件的处罚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479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479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一）生产、经营未取得医疗器械注册证的第二类、第三类医疗器械的（二）未经许可从事第二类、第三类医疗器械生产活动的（三）未经许可从事第三类医疗器械经营活动的处罚。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480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480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一）生产、经营、使用不符合强制性标准或者不符合经注册或者备案的产品技术要求的医疗器械的二）医疗器械生产企业未按照经注册或者备案的产品技术要求组织生产，或者未依照本条例规定建立质量管理体系并保持有效运行的（三）经营、使用无合格证明文件、过期、失效、淘汰的医疗器械，或者使用未依法注册的医疗器械的（四）食品药品监督管理部门责令其依照本条例规定实施召回或者停止经营后，仍拒不召回或者停止经营医疗器械的（五）委托不具备本条例规定条件的企业生产医疗器械，或者未对受托方的生产行为进行管理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481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481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未经许可从事食品生产经营活动，或者未经许可生产食品添加剂的处罚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482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482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生产经营不合格、不符合食品安全标准的食品行为的处罚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483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483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对违反《中华人民共和国食品安全法》第八十六行为的处罚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484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484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对违反《中华人民共和国食品安全法》第八十七条行为的处罚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485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485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事故单位在发生食品安全事故后未进行处置、报告的处罚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486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486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对违反《中华人民共和国食品安全法》第八十九行为的处罚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487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487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集中交易市场的开办者、柜台出租者、展销会的举办者允许未取得许可的食品经营者进入市场销售食品，或者未履行检查、报告等义务的处罚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488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488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未按照要求进行食品运输的处罚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489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489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被吊销食品生产、流通或者餐饮服务许可证的单位、食品生产经营者聘用不得从事食品生产经营管理工作的人员从事管理工作的处罚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490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490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生产不符合强制性标准产品的处罚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491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491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以不合格品冒充合格品、以次充好、以假充真的处罚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492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492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生产国家明令淘汰产品的处罚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493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493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仿造产品产地、仿造或冒用他人厂名厂址的处罚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494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494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检验机构出具虚假数据的处罚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495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495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隐藏、转移、变卖、损毁被查封、扣件物品的处罚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496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496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未经许可生产列入生产许可证目录产品的处罚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497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497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生产不符合食品国家安全标准产品的处罚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498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498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虚假标注食品标签的处罚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499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499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未对采购的食品原料、生产的食品等进行检验、未建立并遵守查验记录、出厂检验记录制度等的处罚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500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500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不按照法定条件、要求，未取得许可证照从事生产经营活动的处罚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501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501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使用不符合法律、行政法规规定和国家强制性标准的原料、辅料、添加剂的处罚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502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502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未取得《制造修理计量器具许可证》制造或修理计量器具的处罚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503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503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制造、销售、使用以欺骗消费者为目的计量器具的处罚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504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504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强制检定的计量器具未按照规定申请检定或检定合格继续使用的处罚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505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505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使用不合格计量器具或破坏计量器具准度的处罚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506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506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未经许可从事特种设备生产活动的处罚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507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507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特种设备出厂时未按照安全技术规范的要求随附相关技术资料和文件的处罚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508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508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施工单位在施工前未书面告知即行施工的处罚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509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509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特种设备的制造、安装、改造、重大修理及锅炉清洗过程未经监督检验的处罚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510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510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未按照安全技术规范的要求对电梯进行校验、调试处罚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511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511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不再具备生产条件、生产许可证过期或超出许可范围生产的；生产单位生产、销售、交付国家明令淘汰的特种设备的处罚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512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512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销售、出租未取得许可生产，未经检验或检验不合格的特种设备；销售、出租国家明令淘汰、已经报废的特种设备或未按照安全技术规范的要求进行维护保养的特种设备；销售单位未建立检验验收和销售记录制度吉进行特种设备未履行提前告知义务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513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513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按规定办理使用登记，未建立特种设备安全技术档案或不符合规定的或未依法设置使用登记标志、定期检验标志的，未按照安全技术规范的要求及时申报并接受检验的、未按照按照安全技术规范的要求进行锅炉水质处理的，未对其使用的特种设备进行经常性维护保养和定期自行检查或未对其使用的特种设备的安全附件、安全保护装置进行定期校验、检验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514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514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使用单位使用未取得许可生产、未经检验或检验不合格的特种设备或国家明令淘汰、已经报废的特种设备等的处罚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515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515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未按照规定实施充装前后的检查、记录或对不符合安全技术规范要求的移动式压力容器和气瓶进行充装，未经许可擅自从事移动式压力容器或气瓶充装活动的处罚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516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516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未配备具有相应资格的特种设备安全管理人员、检测和作业人员，使用未取得相应资格的人员从事特种设备安全管理、检测和作业，未对管理人员、检测人员和作业人员进行安全教育和技能培训的处罚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517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517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设置特种设备安全管理机构或配备专职的特种设备安全管理人员，客运索道、大型游乐设施每日投入使用前未进行试运行和例行检查，未对安全附件和安全保护装置进行检查确认，未将电梯、客运索道、大型游乐设施的安全使用说明、安全注意事项和警示标志置于显著位置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518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518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未经许可擅自从事电梯维护保养，电梯维保单位未按照规定以及安全技术规范的要求进行电梯电梯维护保养的处罚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519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519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未经许可生产列入生产许可证目录产品的处罚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520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520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生产条件、检验手段、生产技术或工艺发生变化未按照规定办理行政机关审查手续，取得生产许可证的企业名称发生变化后未按照规定办理变更手续的处罚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521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521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未按照规定在产品、包装或说明书上标注许可证标志和编号的处罚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522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522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销售或在经营活动中使用未取得生产许可证的列入目录产品的处罚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523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523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出租、出借或转让生产许可证证书、标志和编号的处罚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524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524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擅自动用、调换、转移、损毁被查封、扣押财物的处罚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525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525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伪造、变造许可证证书、标志和编号的处罚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526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526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未依法取得工业产品生产许可证从事危险化学品包装物、容器生产的处罚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527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527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未使用计量器具的或成品油零售量的结算值与实际值之差超过国家规定允许误差的处罚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528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528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使用未经检定、超过检定周期或经检定不合格的计量器及破坏计量器具及其铅封或擅自改动、拆装加油机等的处罚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529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529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使用非法定计量单位或国务院规定废除的非法定计量单位的计量器具等的处罚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530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530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维修后的加油机未经强制检定的处罚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531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531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取得制造修理计量器具许可的单位或个人应当办理许可证变更手续而未办理的处罚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532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532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未标注或未按规定标注制造修理计量器具许可证标志和编号的处罚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533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533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委托未取得与委托加工产品项目相应的制造计量器具许可的单位或个人加工计量器具的处罚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534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534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被委托单位或个人未取得与委托加工产品项目相应的制造计量器具许可而接受委托制造计量器具的处罚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535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535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伪造、冒用制造修理计量器具许可证书及其标志和编号或取得制造修理计量器具许可的单位或个人变造、倒卖、出租、出借或以其他方式非法转让其证书及其标志和编号的处罚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536</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536</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认证委托人提供的样品与实际生产的产品不一致或未按照规定向认证机构申请谁证书变更擅自出厂、销售、进口或在其他经营活动中使用列入目录产品的或未按照规定向认证机构申请认证证书扩展擅自出厂、销售、进口或在其他经营活动中使用列入目录产品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537</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537</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获证产品及其销售包装上标注的认证证书所含内容与认证证书内容不一致或未按照规定使用认证标志的处罚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538</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538</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18"/>
                <w:szCs w:val="18"/>
                <w:lang w:val="en-US" w:eastAsia="zh-CN" w:bidi="ar"/>
              </w:rPr>
              <w:t>试生产期间未在产品或者包装、说明书标明“试制品”而销售的处罚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539</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539</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center"/>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20"/>
                <w:szCs w:val="20"/>
                <w:lang w:val="en-US" w:eastAsia="zh-CN" w:bidi="ar"/>
              </w:rPr>
              <w:t>不执行政府指导价、政府定价以及法定的价格干预措施、紧急措施的处罚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540</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540</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center"/>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20"/>
                <w:szCs w:val="20"/>
                <w:lang w:val="en-US" w:eastAsia="zh-CN" w:bidi="ar"/>
              </w:rPr>
              <w:t>行政事业性收费违法行为的处罚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541</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541</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center"/>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20"/>
                <w:szCs w:val="20"/>
                <w:lang w:val="en-US" w:eastAsia="zh-CN" w:bidi="ar"/>
              </w:rPr>
              <w:t>超越定价权限和范围擅自制定、调整价格或者不执行法定干预措施、紧急措施的处罚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542</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542</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center"/>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20"/>
                <w:szCs w:val="20"/>
                <w:lang w:val="en-US" w:eastAsia="zh-CN" w:bidi="ar"/>
              </w:rPr>
              <w:t>不正当价格行为的处罚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543</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543</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center"/>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20"/>
                <w:szCs w:val="20"/>
                <w:lang w:val="en-US" w:eastAsia="zh-CN" w:bidi="ar"/>
              </w:rPr>
              <w:t>价格垄断行为的处罚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544</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544</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center"/>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20"/>
                <w:szCs w:val="20"/>
                <w:lang w:val="en-US" w:eastAsia="zh-CN" w:bidi="ar"/>
              </w:rPr>
              <w:t>违反明码标价规定的处罚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545</w:t>
            </w:r>
          </w:p>
        </w:tc>
        <w:tc>
          <w:tcPr>
            <w:tcW w:w="3200" w:type="dxa"/>
            <w:noWrap w:val="0"/>
            <w:vAlign w:val="center"/>
          </w:tcPr>
          <w:p>
            <w:pPr>
              <w:spacing w:beforeLines="0" w:afterLines="0"/>
              <w:jc w:val="center"/>
              <w:rPr>
                <w:rFonts w:hint="eastAsia" w:ascii="宋体" w:hAnsi="宋体" w:eastAsia="仿宋_GB2312" w:cs="Times New Roman"/>
                <w:color w:val="000000"/>
                <w:kern w:val="2"/>
                <w:sz w:val="24"/>
                <w:szCs w:val="32"/>
                <w:lang w:val="en-US" w:eastAsia="zh-CN" w:bidi="ar-SA"/>
              </w:rPr>
            </w:pPr>
            <w:r>
              <w:rPr>
                <w:rFonts w:hint="eastAsia" w:ascii="宋体" w:hAnsi="宋体"/>
                <w:color w:val="000000"/>
                <w:sz w:val="24"/>
              </w:rPr>
              <w:t>545</w:t>
            </w:r>
          </w:p>
        </w:tc>
        <w:tc>
          <w:tcPr>
            <w:tcW w:w="6563" w:type="dxa"/>
            <w:noWrap w:val="0"/>
            <w:vAlign w:val="center"/>
          </w:tcPr>
          <w:p>
            <w:pPr>
              <w:keepNext w:val="0"/>
              <w:keepLines w:val="0"/>
              <w:widowControl w:val="0"/>
              <w:suppressLineNumbers w:val="0"/>
              <w:spacing w:before="0" w:beforeLines="0" w:beforeAutospacing="0" w:after="0" w:afterLines="0" w:afterAutospacing="0"/>
              <w:ind w:left="0" w:leftChars="0" w:right="0" w:rightChars="0"/>
              <w:jc w:val="center"/>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2"/>
                <w:sz w:val="20"/>
                <w:szCs w:val="20"/>
                <w:lang w:val="en-US" w:eastAsia="zh-CN" w:bidi="ar"/>
              </w:rPr>
              <w:t>被责令暂停相关营业而不停止的；拒绝提供、或者提供虚假资料信息；转移、隐匿、销毁依法登记保存的财务、证据和其他拒绝、阻碍监督检查行为的处罚。</w:t>
            </w:r>
          </w:p>
        </w:tc>
        <w:tc>
          <w:tcPr>
            <w:tcW w:w="2651" w:type="dxa"/>
            <w:noWrap w:val="0"/>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color w:val="00000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jc w:val="center"/>
              <w:rPr>
                <w:rFonts w:hint="eastAsia" w:ascii="宋体" w:hAnsi="宋体" w:eastAsia="仿宋_GB2312" w:cs="Times New Roman"/>
                <w:color w:val="000000"/>
                <w:kern w:val="2"/>
                <w:sz w:val="24"/>
                <w:szCs w:val="32"/>
              </w:rPr>
            </w:pPr>
          </w:p>
        </w:tc>
        <w:tc>
          <w:tcPr>
            <w:tcW w:w="3200" w:type="dxa"/>
            <w:vAlign w:val="center"/>
          </w:tcPr>
          <w:p>
            <w:pPr>
              <w:adjustRightInd/>
              <w:snapToGrid/>
              <w:spacing w:after="0" w:line="600" w:lineRule="exact"/>
              <w:jc w:val="center"/>
              <w:rPr>
                <w:rFonts w:hint="eastAsia" w:ascii="仿宋_GB2312"/>
              </w:rPr>
            </w:pPr>
            <w:r>
              <w:rPr>
                <w:rFonts w:hint="eastAsia" w:ascii="仿宋_GB2312"/>
              </w:rPr>
              <w:t>三、行政强制</w:t>
            </w:r>
          </w:p>
        </w:tc>
        <w:tc>
          <w:tcPr>
            <w:tcW w:w="6563" w:type="dxa"/>
            <w:vAlign w:val="center"/>
          </w:tcPr>
          <w:p>
            <w:pPr>
              <w:adjustRightInd/>
              <w:snapToGrid/>
              <w:spacing w:after="0" w:line="600" w:lineRule="exact"/>
              <w:jc w:val="center"/>
              <w:rPr>
                <w:rFonts w:hint="eastAsia" w:ascii="仿宋_GB2312"/>
              </w:rPr>
            </w:pPr>
            <w:r>
              <w:rPr>
                <w:rFonts w:hint="eastAsia" w:ascii="仿宋_GB2312"/>
              </w:rPr>
              <w:t>共16项</w:t>
            </w:r>
          </w:p>
        </w:tc>
        <w:tc>
          <w:tcPr>
            <w:tcW w:w="2651" w:type="dxa"/>
            <w:vAlign w:val="center"/>
          </w:tcPr>
          <w:p>
            <w:pPr>
              <w:spacing w:line="600" w:lineRule="exact"/>
              <w:jc w:val="center"/>
              <w:rPr>
                <w:rFonts w:hint="eastAsia" w:ascii="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jc w:val="center"/>
              <w:rPr>
                <w:rFonts w:hint="default" w:ascii="宋体" w:hAnsi="宋体" w:eastAsia="微软雅黑" w:cs="Times New Roman"/>
                <w:color w:val="000000"/>
                <w:kern w:val="2"/>
                <w:sz w:val="24"/>
                <w:szCs w:val="32"/>
                <w:lang w:val="en-US" w:eastAsia="zh-CN"/>
              </w:rPr>
            </w:pPr>
            <w:r>
              <w:rPr>
                <w:rFonts w:hint="eastAsia" w:ascii="宋体" w:hAnsi="宋体"/>
                <w:color w:val="000000"/>
                <w:sz w:val="24"/>
              </w:rPr>
              <w:t>5</w:t>
            </w:r>
            <w:r>
              <w:rPr>
                <w:rFonts w:hint="eastAsia" w:ascii="宋体" w:hAnsi="宋体"/>
                <w:color w:val="000000"/>
                <w:sz w:val="24"/>
                <w:lang w:val="en-US" w:eastAsia="zh-CN"/>
              </w:rPr>
              <w:t>46</w:t>
            </w:r>
          </w:p>
        </w:tc>
        <w:tc>
          <w:tcPr>
            <w:tcW w:w="3200" w:type="dxa"/>
            <w:vAlign w:val="center"/>
          </w:tcPr>
          <w:p>
            <w:pPr>
              <w:jc w:val="center"/>
              <w:rPr>
                <w:rFonts w:hint="eastAsia" w:ascii="宋体" w:hAnsi="宋体" w:eastAsia="仿宋_GB2312" w:cs="Times New Roman"/>
                <w:color w:val="000000"/>
                <w:kern w:val="2"/>
                <w:sz w:val="16"/>
                <w:szCs w:val="32"/>
              </w:rPr>
            </w:pPr>
            <w:r>
              <w:rPr>
                <w:rFonts w:hint="eastAsia" w:ascii="宋体" w:hAnsi="宋体"/>
                <w:color w:val="000000"/>
                <w:sz w:val="16"/>
              </w:rPr>
              <w:t>1</w:t>
            </w:r>
          </w:p>
        </w:tc>
        <w:tc>
          <w:tcPr>
            <w:tcW w:w="6563" w:type="dxa"/>
            <w:vAlign w:val="center"/>
          </w:tcPr>
          <w:p>
            <w:pPr>
              <w:jc w:val="center"/>
              <w:rPr>
                <w:rFonts w:hint="eastAsia" w:ascii="宋体" w:hAnsi="宋体" w:eastAsia="宋体" w:cs="宋体"/>
                <w:color w:val="000000"/>
                <w:kern w:val="2"/>
                <w:sz w:val="20"/>
                <w:szCs w:val="20"/>
              </w:rPr>
            </w:pPr>
            <w:r>
              <w:rPr>
                <w:rFonts w:hint="eastAsia" w:ascii="宋体" w:hAnsi="宋体" w:eastAsia="宋体" w:cs="宋体"/>
                <w:color w:val="000000"/>
                <w:sz w:val="20"/>
                <w:szCs w:val="20"/>
              </w:rPr>
              <w:t>查封（封存）违法物品、场所；扣押(扣留)违法物品</w:t>
            </w:r>
          </w:p>
        </w:tc>
        <w:tc>
          <w:tcPr>
            <w:tcW w:w="2651" w:type="dxa"/>
            <w:vAlign w:val="center"/>
          </w:tcPr>
          <w:p>
            <w:pPr>
              <w:spacing w:line="600" w:lineRule="exact"/>
              <w:jc w:val="center"/>
              <w:rPr>
                <w:rFonts w:hint="eastAsia" w:ascii="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jc w:val="center"/>
              <w:rPr>
                <w:rFonts w:hint="default" w:ascii="宋体" w:hAnsi="宋体" w:eastAsia="微软雅黑" w:cs="Times New Roman"/>
                <w:color w:val="000000"/>
                <w:kern w:val="2"/>
                <w:sz w:val="24"/>
                <w:szCs w:val="32"/>
                <w:lang w:val="en-US" w:eastAsia="zh-CN"/>
              </w:rPr>
            </w:pPr>
            <w:r>
              <w:rPr>
                <w:rFonts w:hint="eastAsia" w:ascii="宋体" w:hAnsi="宋体"/>
                <w:color w:val="000000"/>
                <w:sz w:val="24"/>
              </w:rPr>
              <w:t>5</w:t>
            </w:r>
            <w:r>
              <w:rPr>
                <w:rFonts w:hint="eastAsia" w:ascii="宋体" w:hAnsi="宋体"/>
                <w:color w:val="000000"/>
                <w:sz w:val="24"/>
                <w:lang w:val="en-US" w:eastAsia="zh-CN"/>
              </w:rPr>
              <w:t>47</w:t>
            </w:r>
          </w:p>
        </w:tc>
        <w:tc>
          <w:tcPr>
            <w:tcW w:w="3200" w:type="dxa"/>
            <w:vAlign w:val="center"/>
          </w:tcPr>
          <w:p>
            <w:pPr>
              <w:jc w:val="center"/>
              <w:rPr>
                <w:rFonts w:hint="eastAsia" w:ascii="宋体" w:hAnsi="宋体" w:eastAsia="仿宋_GB2312" w:cs="Times New Roman"/>
                <w:color w:val="000000"/>
                <w:kern w:val="2"/>
                <w:sz w:val="18"/>
                <w:szCs w:val="32"/>
              </w:rPr>
            </w:pPr>
            <w:r>
              <w:rPr>
                <w:rFonts w:hint="eastAsia" w:ascii="宋体" w:hAnsi="宋体"/>
                <w:color w:val="000000"/>
                <w:sz w:val="18"/>
              </w:rPr>
              <w:t>2</w:t>
            </w:r>
          </w:p>
        </w:tc>
        <w:tc>
          <w:tcPr>
            <w:tcW w:w="6563" w:type="dxa"/>
            <w:vAlign w:val="center"/>
          </w:tcPr>
          <w:p>
            <w:pPr>
              <w:jc w:val="center"/>
              <w:rPr>
                <w:rFonts w:hint="eastAsia" w:ascii="宋体" w:hAnsi="宋体" w:eastAsia="宋体" w:cs="宋体"/>
                <w:color w:val="000000"/>
                <w:kern w:val="2"/>
                <w:sz w:val="20"/>
                <w:szCs w:val="20"/>
              </w:rPr>
            </w:pPr>
            <w:r>
              <w:rPr>
                <w:rFonts w:hint="eastAsia" w:ascii="宋体" w:hAnsi="宋体" w:eastAsia="宋体" w:cs="宋体"/>
                <w:color w:val="000000"/>
                <w:sz w:val="20"/>
                <w:szCs w:val="20"/>
              </w:rPr>
              <w:t>加处罚款</w:t>
            </w:r>
          </w:p>
        </w:tc>
        <w:tc>
          <w:tcPr>
            <w:tcW w:w="2651" w:type="dxa"/>
            <w:vAlign w:val="center"/>
          </w:tcPr>
          <w:p>
            <w:pPr>
              <w:spacing w:line="600" w:lineRule="exact"/>
              <w:jc w:val="center"/>
              <w:rPr>
                <w:rFonts w:hint="eastAsia" w:ascii="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jc w:val="center"/>
              <w:rPr>
                <w:rFonts w:hint="default" w:ascii="宋体" w:hAnsi="宋体" w:eastAsia="微软雅黑" w:cs="Times New Roman"/>
                <w:color w:val="000000"/>
                <w:kern w:val="2"/>
                <w:sz w:val="24"/>
                <w:szCs w:val="32"/>
                <w:lang w:val="en-US" w:eastAsia="zh-CN"/>
              </w:rPr>
            </w:pPr>
            <w:r>
              <w:rPr>
                <w:rFonts w:hint="eastAsia" w:ascii="宋体" w:hAnsi="宋体"/>
                <w:color w:val="000000"/>
                <w:sz w:val="24"/>
              </w:rPr>
              <w:t>5</w:t>
            </w:r>
            <w:r>
              <w:rPr>
                <w:rFonts w:hint="eastAsia" w:ascii="宋体" w:hAnsi="宋体"/>
                <w:color w:val="000000"/>
                <w:sz w:val="24"/>
                <w:lang w:val="en-US" w:eastAsia="zh-CN"/>
              </w:rPr>
              <w:t>48</w:t>
            </w:r>
          </w:p>
        </w:tc>
        <w:tc>
          <w:tcPr>
            <w:tcW w:w="3200" w:type="dxa"/>
            <w:vAlign w:val="center"/>
          </w:tcPr>
          <w:p>
            <w:pPr>
              <w:jc w:val="center"/>
              <w:rPr>
                <w:rFonts w:hint="eastAsia" w:ascii="宋体" w:hAnsi="宋体" w:eastAsia="仿宋_GB2312" w:cs="Times New Roman"/>
                <w:color w:val="000000"/>
                <w:kern w:val="2"/>
                <w:sz w:val="18"/>
                <w:szCs w:val="32"/>
              </w:rPr>
            </w:pPr>
            <w:r>
              <w:rPr>
                <w:rFonts w:hint="eastAsia" w:ascii="宋体" w:hAnsi="宋体"/>
                <w:color w:val="000000"/>
                <w:sz w:val="18"/>
              </w:rPr>
              <w:t>3</w:t>
            </w:r>
          </w:p>
        </w:tc>
        <w:tc>
          <w:tcPr>
            <w:tcW w:w="6563" w:type="dxa"/>
            <w:vAlign w:val="center"/>
          </w:tcPr>
          <w:p>
            <w:pPr>
              <w:jc w:val="center"/>
              <w:rPr>
                <w:rFonts w:hint="eastAsia" w:ascii="宋体" w:hAnsi="宋体" w:eastAsia="宋体" w:cs="宋体"/>
                <w:color w:val="000000"/>
                <w:kern w:val="2"/>
                <w:sz w:val="20"/>
                <w:szCs w:val="20"/>
              </w:rPr>
            </w:pPr>
            <w:r>
              <w:rPr>
                <w:rFonts w:hint="eastAsia" w:ascii="宋体" w:hAnsi="宋体" w:eastAsia="宋体" w:cs="宋体"/>
                <w:color w:val="000000"/>
                <w:sz w:val="20"/>
                <w:szCs w:val="20"/>
              </w:rPr>
              <w:t>责令暂停销售、听候处理(责令暂停经营)</w:t>
            </w:r>
          </w:p>
        </w:tc>
        <w:tc>
          <w:tcPr>
            <w:tcW w:w="2651" w:type="dxa"/>
            <w:vAlign w:val="center"/>
          </w:tcPr>
          <w:p>
            <w:pPr>
              <w:spacing w:line="600" w:lineRule="exact"/>
              <w:jc w:val="center"/>
              <w:rPr>
                <w:rFonts w:hint="eastAsia" w:ascii="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jc w:val="center"/>
              <w:rPr>
                <w:rFonts w:hint="default" w:ascii="宋体" w:hAnsi="宋体" w:eastAsia="微软雅黑" w:cs="Times New Roman"/>
                <w:color w:val="000000"/>
                <w:kern w:val="2"/>
                <w:sz w:val="24"/>
                <w:szCs w:val="32"/>
                <w:lang w:val="en-US" w:eastAsia="zh-CN"/>
              </w:rPr>
            </w:pPr>
            <w:r>
              <w:rPr>
                <w:rFonts w:hint="eastAsia" w:ascii="宋体" w:hAnsi="宋体"/>
                <w:color w:val="000000"/>
                <w:sz w:val="24"/>
              </w:rPr>
              <w:t>5</w:t>
            </w:r>
            <w:r>
              <w:rPr>
                <w:rFonts w:hint="eastAsia" w:ascii="宋体" w:hAnsi="宋体"/>
                <w:color w:val="000000"/>
                <w:sz w:val="24"/>
                <w:lang w:val="en-US" w:eastAsia="zh-CN"/>
              </w:rPr>
              <w:t>49</w:t>
            </w:r>
          </w:p>
        </w:tc>
        <w:tc>
          <w:tcPr>
            <w:tcW w:w="3200" w:type="dxa"/>
            <w:vAlign w:val="center"/>
          </w:tcPr>
          <w:p>
            <w:pPr>
              <w:jc w:val="center"/>
              <w:rPr>
                <w:rFonts w:hint="eastAsia" w:ascii="宋体" w:hAnsi="宋体" w:eastAsia="仿宋_GB2312" w:cs="Times New Roman"/>
                <w:color w:val="000000"/>
                <w:kern w:val="2"/>
                <w:sz w:val="18"/>
                <w:szCs w:val="32"/>
              </w:rPr>
            </w:pPr>
            <w:r>
              <w:rPr>
                <w:rFonts w:hint="eastAsia" w:ascii="宋体" w:hAnsi="宋体"/>
                <w:color w:val="000000"/>
                <w:sz w:val="18"/>
              </w:rPr>
              <w:t>4</w:t>
            </w:r>
          </w:p>
        </w:tc>
        <w:tc>
          <w:tcPr>
            <w:tcW w:w="6563" w:type="dxa"/>
            <w:vAlign w:val="center"/>
          </w:tcPr>
          <w:p>
            <w:pPr>
              <w:jc w:val="center"/>
              <w:rPr>
                <w:rFonts w:hint="eastAsia" w:ascii="宋体" w:hAnsi="宋体" w:eastAsia="宋体" w:cs="宋体"/>
                <w:color w:val="000000"/>
                <w:kern w:val="2"/>
                <w:sz w:val="20"/>
                <w:szCs w:val="20"/>
              </w:rPr>
            </w:pPr>
            <w:r>
              <w:rPr>
                <w:rFonts w:hint="eastAsia" w:ascii="宋体" w:hAnsi="宋体" w:eastAsia="宋体" w:cs="宋体"/>
                <w:color w:val="000000"/>
                <w:sz w:val="20"/>
                <w:szCs w:val="20"/>
              </w:rPr>
              <w:t>临时扣留执照</w:t>
            </w:r>
          </w:p>
        </w:tc>
        <w:tc>
          <w:tcPr>
            <w:tcW w:w="2651" w:type="dxa"/>
            <w:vAlign w:val="center"/>
          </w:tcPr>
          <w:p>
            <w:pPr>
              <w:spacing w:line="600" w:lineRule="exact"/>
              <w:jc w:val="center"/>
              <w:rPr>
                <w:rFonts w:hint="eastAsia" w:ascii="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jc w:val="center"/>
              <w:rPr>
                <w:rFonts w:hint="eastAsia" w:ascii="宋体" w:hAnsi="宋体" w:eastAsia="微软雅黑" w:cs="Times New Roman"/>
                <w:color w:val="000000"/>
                <w:kern w:val="2"/>
                <w:sz w:val="24"/>
                <w:szCs w:val="32"/>
                <w:lang w:eastAsia="zh-CN"/>
              </w:rPr>
            </w:pPr>
            <w:r>
              <w:rPr>
                <w:rFonts w:hint="eastAsia" w:ascii="宋体" w:hAnsi="宋体"/>
                <w:color w:val="000000"/>
                <w:sz w:val="24"/>
              </w:rPr>
              <w:t>55</w:t>
            </w:r>
            <w:r>
              <w:rPr>
                <w:rFonts w:hint="eastAsia" w:ascii="宋体" w:hAnsi="宋体"/>
                <w:color w:val="000000"/>
                <w:sz w:val="24"/>
                <w:lang w:val="en-US" w:eastAsia="zh-CN"/>
              </w:rPr>
              <w:t>0</w:t>
            </w:r>
          </w:p>
        </w:tc>
        <w:tc>
          <w:tcPr>
            <w:tcW w:w="3200" w:type="dxa"/>
            <w:vAlign w:val="center"/>
          </w:tcPr>
          <w:p>
            <w:pPr>
              <w:jc w:val="center"/>
              <w:rPr>
                <w:rFonts w:hint="eastAsia" w:ascii="宋体" w:hAnsi="宋体" w:eastAsia="仿宋_GB2312" w:cs="Times New Roman"/>
                <w:color w:val="000000"/>
                <w:kern w:val="2"/>
                <w:sz w:val="18"/>
                <w:szCs w:val="32"/>
              </w:rPr>
            </w:pPr>
            <w:r>
              <w:rPr>
                <w:rFonts w:hint="eastAsia" w:ascii="宋体" w:hAnsi="宋体"/>
                <w:color w:val="000000"/>
                <w:sz w:val="18"/>
              </w:rPr>
              <w:t>5</w:t>
            </w:r>
          </w:p>
        </w:tc>
        <w:tc>
          <w:tcPr>
            <w:tcW w:w="6563" w:type="dxa"/>
            <w:vAlign w:val="center"/>
          </w:tcPr>
          <w:p>
            <w:pPr>
              <w:jc w:val="center"/>
              <w:rPr>
                <w:rFonts w:hint="eastAsia" w:ascii="宋体" w:hAnsi="宋体" w:eastAsia="宋体" w:cs="宋体"/>
                <w:color w:val="000000"/>
                <w:kern w:val="2"/>
                <w:sz w:val="20"/>
                <w:szCs w:val="20"/>
              </w:rPr>
            </w:pPr>
            <w:r>
              <w:rPr>
                <w:rFonts w:hint="eastAsia" w:ascii="宋体" w:hAnsi="宋体" w:eastAsia="宋体" w:cs="宋体"/>
                <w:color w:val="000000"/>
                <w:sz w:val="20"/>
                <w:szCs w:val="20"/>
              </w:rPr>
              <w:t>责令经营者采取停止销售、警示、召回、无害化处理、销毁、停止生产或者服务</w:t>
            </w:r>
          </w:p>
        </w:tc>
        <w:tc>
          <w:tcPr>
            <w:tcW w:w="2651" w:type="dxa"/>
            <w:vAlign w:val="center"/>
          </w:tcPr>
          <w:p>
            <w:pPr>
              <w:spacing w:line="600" w:lineRule="exact"/>
              <w:jc w:val="center"/>
              <w:rPr>
                <w:rFonts w:hint="eastAsia" w:ascii="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jc w:val="center"/>
              <w:rPr>
                <w:rFonts w:hint="eastAsia" w:ascii="宋体" w:hAnsi="宋体" w:eastAsia="微软雅黑" w:cs="Times New Roman"/>
                <w:color w:val="000000"/>
                <w:kern w:val="2"/>
                <w:sz w:val="24"/>
                <w:szCs w:val="32"/>
                <w:lang w:eastAsia="zh-CN"/>
              </w:rPr>
            </w:pPr>
            <w:r>
              <w:rPr>
                <w:rFonts w:hint="eastAsia" w:ascii="宋体" w:hAnsi="宋体"/>
                <w:color w:val="000000"/>
                <w:sz w:val="24"/>
              </w:rPr>
              <w:t>55</w:t>
            </w:r>
            <w:r>
              <w:rPr>
                <w:rFonts w:hint="eastAsia" w:ascii="宋体" w:hAnsi="宋体"/>
                <w:color w:val="000000"/>
                <w:sz w:val="24"/>
                <w:lang w:val="en-US" w:eastAsia="zh-CN"/>
              </w:rPr>
              <w:t>1</w:t>
            </w:r>
          </w:p>
        </w:tc>
        <w:tc>
          <w:tcPr>
            <w:tcW w:w="3200" w:type="dxa"/>
            <w:vAlign w:val="center"/>
          </w:tcPr>
          <w:p>
            <w:pPr>
              <w:jc w:val="center"/>
              <w:rPr>
                <w:rFonts w:hint="eastAsia" w:ascii="宋体" w:hAnsi="宋体" w:eastAsia="仿宋_GB2312" w:cs="Times New Roman"/>
                <w:color w:val="000000"/>
                <w:kern w:val="2"/>
                <w:sz w:val="18"/>
                <w:szCs w:val="32"/>
              </w:rPr>
            </w:pPr>
            <w:r>
              <w:rPr>
                <w:rFonts w:hint="eastAsia" w:ascii="宋体" w:hAnsi="宋体"/>
                <w:color w:val="000000"/>
                <w:sz w:val="18"/>
              </w:rPr>
              <w:t>6</w:t>
            </w:r>
          </w:p>
        </w:tc>
        <w:tc>
          <w:tcPr>
            <w:tcW w:w="6563" w:type="dxa"/>
            <w:vAlign w:val="center"/>
          </w:tcPr>
          <w:p>
            <w:pPr>
              <w:jc w:val="center"/>
              <w:rPr>
                <w:rFonts w:hint="eastAsia" w:ascii="宋体" w:hAnsi="宋体" w:eastAsia="宋体" w:cs="宋体"/>
                <w:color w:val="000000"/>
                <w:kern w:val="2"/>
                <w:sz w:val="20"/>
                <w:szCs w:val="20"/>
              </w:rPr>
            </w:pPr>
            <w:r>
              <w:rPr>
                <w:rFonts w:hint="eastAsia" w:ascii="宋体" w:hAnsi="宋体" w:eastAsia="宋体" w:cs="宋体"/>
                <w:color w:val="000000"/>
                <w:sz w:val="20"/>
                <w:szCs w:val="20"/>
              </w:rPr>
              <w:t>责令停止使用</w:t>
            </w:r>
          </w:p>
        </w:tc>
        <w:tc>
          <w:tcPr>
            <w:tcW w:w="2651" w:type="dxa"/>
            <w:vAlign w:val="center"/>
          </w:tcPr>
          <w:p>
            <w:pPr>
              <w:spacing w:line="600" w:lineRule="exact"/>
              <w:jc w:val="center"/>
              <w:rPr>
                <w:rFonts w:hint="eastAsia" w:ascii="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jc w:val="center"/>
              <w:rPr>
                <w:rFonts w:hint="eastAsia" w:ascii="宋体" w:hAnsi="宋体" w:eastAsia="微软雅黑" w:cs="Times New Roman"/>
                <w:color w:val="000000"/>
                <w:kern w:val="2"/>
                <w:sz w:val="24"/>
                <w:szCs w:val="32"/>
                <w:lang w:eastAsia="zh-CN"/>
              </w:rPr>
            </w:pPr>
            <w:r>
              <w:rPr>
                <w:rFonts w:hint="eastAsia" w:ascii="宋体" w:hAnsi="宋体"/>
                <w:color w:val="000000"/>
                <w:sz w:val="24"/>
              </w:rPr>
              <w:t>55</w:t>
            </w:r>
            <w:r>
              <w:rPr>
                <w:rFonts w:hint="eastAsia" w:ascii="宋体" w:hAnsi="宋体"/>
                <w:color w:val="000000"/>
                <w:sz w:val="24"/>
                <w:lang w:val="en-US" w:eastAsia="zh-CN"/>
              </w:rPr>
              <w:t>2</w:t>
            </w:r>
          </w:p>
        </w:tc>
        <w:tc>
          <w:tcPr>
            <w:tcW w:w="3200" w:type="dxa"/>
            <w:vAlign w:val="center"/>
          </w:tcPr>
          <w:p>
            <w:pPr>
              <w:jc w:val="center"/>
              <w:rPr>
                <w:rFonts w:hint="eastAsia" w:ascii="宋体" w:hAnsi="宋体" w:eastAsia="仿宋_GB2312" w:cs="Times New Roman"/>
                <w:color w:val="000000"/>
                <w:kern w:val="2"/>
                <w:sz w:val="18"/>
                <w:szCs w:val="32"/>
              </w:rPr>
            </w:pPr>
            <w:r>
              <w:rPr>
                <w:rFonts w:hint="eastAsia" w:ascii="宋体" w:hAnsi="宋体"/>
                <w:color w:val="000000"/>
                <w:sz w:val="18"/>
              </w:rPr>
              <w:t>7</w:t>
            </w:r>
          </w:p>
        </w:tc>
        <w:tc>
          <w:tcPr>
            <w:tcW w:w="6563" w:type="dxa"/>
            <w:vAlign w:val="center"/>
          </w:tcPr>
          <w:p>
            <w:pPr>
              <w:jc w:val="center"/>
              <w:rPr>
                <w:rFonts w:hint="eastAsia" w:ascii="宋体" w:hAnsi="宋体" w:eastAsia="宋体" w:cs="宋体"/>
                <w:color w:val="000000"/>
                <w:kern w:val="2"/>
                <w:sz w:val="20"/>
                <w:szCs w:val="20"/>
              </w:rPr>
            </w:pPr>
            <w:r>
              <w:rPr>
                <w:rFonts w:hint="eastAsia" w:ascii="宋体" w:hAnsi="宋体" w:eastAsia="宋体" w:cs="宋体"/>
                <w:color w:val="000000"/>
                <w:sz w:val="20"/>
                <w:szCs w:val="20"/>
              </w:rPr>
              <w:t>强制检定</w:t>
            </w:r>
          </w:p>
        </w:tc>
        <w:tc>
          <w:tcPr>
            <w:tcW w:w="2651" w:type="dxa"/>
            <w:vAlign w:val="center"/>
          </w:tcPr>
          <w:p>
            <w:pPr>
              <w:spacing w:line="600" w:lineRule="exact"/>
              <w:jc w:val="center"/>
              <w:rPr>
                <w:rFonts w:hint="eastAsia" w:ascii="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jc w:val="center"/>
              <w:rPr>
                <w:rFonts w:hint="eastAsia" w:ascii="宋体" w:hAnsi="宋体" w:eastAsia="微软雅黑" w:cs="Times New Roman"/>
                <w:color w:val="000000"/>
                <w:kern w:val="2"/>
                <w:sz w:val="24"/>
                <w:szCs w:val="32"/>
                <w:lang w:eastAsia="zh-CN"/>
              </w:rPr>
            </w:pPr>
            <w:r>
              <w:rPr>
                <w:rFonts w:hint="eastAsia" w:ascii="宋体" w:hAnsi="宋体"/>
                <w:color w:val="000000"/>
                <w:sz w:val="24"/>
              </w:rPr>
              <w:t>55</w:t>
            </w:r>
            <w:r>
              <w:rPr>
                <w:rFonts w:hint="eastAsia" w:ascii="宋体" w:hAnsi="宋体"/>
                <w:color w:val="000000"/>
                <w:sz w:val="24"/>
                <w:lang w:val="en-US" w:eastAsia="zh-CN"/>
              </w:rPr>
              <w:t>3</w:t>
            </w:r>
          </w:p>
        </w:tc>
        <w:tc>
          <w:tcPr>
            <w:tcW w:w="3200" w:type="dxa"/>
            <w:vAlign w:val="center"/>
          </w:tcPr>
          <w:p>
            <w:pPr>
              <w:jc w:val="center"/>
              <w:rPr>
                <w:rFonts w:hint="eastAsia" w:ascii="宋体" w:hAnsi="宋体" w:eastAsia="仿宋_GB2312" w:cs="Times New Roman"/>
                <w:color w:val="000000"/>
                <w:kern w:val="2"/>
                <w:sz w:val="18"/>
                <w:szCs w:val="32"/>
              </w:rPr>
            </w:pPr>
            <w:r>
              <w:rPr>
                <w:rFonts w:hint="eastAsia" w:ascii="宋体" w:hAnsi="宋体"/>
                <w:color w:val="000000"/>
                <w:sz w:val="18"/>
              </w:rPr>
              <w:t>8</w:t>
            </w:r>
          </w:p>
        </w:tc>
        <w:tc>
          <w:tcPr>
            <w:tcW w:w="6563" w:type="dxa"/>
            <w:vAlign w:val="center"/>
          </w:tcPr>
          <w:p>
            <w:pPr>
              <w:jc w:val="center"/>
              <w:rPr>
                <w:rFonts w:hint="eastAsia" w:ascii="宋体" w:hAnsi="宋体" w:eastAsia="宋体" w:cs="宋体"/>
                <w:color w:val="000000"/>
                <w:kern w:val="2"/>
                <w:sz w:val="20"/>
                <w:szCs w:val="20"/>
              </w:rPr>
            </w:pPr>
            <w:r>
              <w:rPr>
                <w:rFonts w:hint="eastAsia" w:ascii="宋体" w:hAnsi="宋体" w:eastAsia="宋体" w:cs="宋体"/>
                <w:color w:val="000000"/>
                <w:sz w:val="20"/>
                <w:szCs w:val="20"/>
              </w:rPr>
              <w:t>查封、扣押有证据证明不符合食品安全标准的食品，违法使用的食品原料、食品添加剂、食品相关产品，以及用于违法生产经营或者被污染的工具、设备</w:t>
            </w:r>
          </w:p>
        </w:tc>
        <w:tc>
          <w:tcPr>
            <w:tcW w:w="2651" w:type="dxa"/>
            <w:vAlign w:val="center"/>
          </w:tcPr>
          <w:p>
            <w:pPr>
              <w:spacing w:line="600" w:lineRule="exact"/>
              <w:jc w:val="center"/>
              <w:rPr>
                <w:rFonts w:hint="eastAsia" w:ascii="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jc w:val="center"/>
              <w:rPr>
                <w:rFonts w:hint="eastAsia" w:ascii="宋体" w:hAnsi="宋体" w:eastAsia="微软雅黑" w:cs="Times New Roman"/>
                <w:color w:val="000000"/>
                <w:kern w:val="2"/>
                <w:sz w:val="24"/>
                <w:szCs w:val="32"/>
                <w:lang w:eastAsia="zh-CN"/>
              </w:rPr>
            </w:pPr>
            <w:r>
              <w:rPr>
                <w:rFonts w:hint="eastAsia" w:ascii="宋体" w:hAnsi="宋体"/>
                <w:color w:val="000000"/>
                <w:sz w:val="24"/>
              </w:rPr>
              <w:t>55</w:t>
            </w:r>
            <w:r>
              <w:rPr>
                <w:rFonts w:hint="eastAsia" w:ascii="宋体" w:hAnsi="宋体"/>
                <w:color w:val="000000"/>
                <w:sz w:val="24"/>
                <w:lang w:val="en-US" w:eastAsia="zh-CN"/>
              </w:rPr>
              <w:t>4</w:t>
            </w:r>
          </w:p>
        </w:tc>
        <w:tc>
          <w:tcPr>
            <w:tcW w:w="3200" w:type="dxa"/>
            <w:vAlign w:val="center"/>
          </w:tcPr>
          <w:p>
            <w:pPr>
              <w:jc w:val="center"/>
              <w:rPr>
                <w:rFonts w:hint="eastAsia" w:ascii="宋体" w:hAnsi="宋体" w:eastAsia="仿宋_GB2312" w:cs="Times New Roman"/>
                <w:color w:val="000000"/>
                <w:kern w:val="2"/>
                <w:sz w:val="18"/>
                <w:szCs w:val="32"/>
              </w:rPr>
            </w:pPr>
            <w:r>
              <w:rPr>
                <w:rFonts w:hint="eastAsia" w:ascii="宋体" w:hAnsi="宋体"/>
                <w:color w:val="000000"/>
                <w:sz w:val="18"/>
              </w:rPr>
              <w:t>9</w:t>
            </w:r>
          </w:p>
        </w:tc>
        <w:tc>
          <w:tcPr>
            <w:tcW w:w="6563" w:type="dxa"/>
            <w:vAlign w:val="center"/>
          </w:tcPr>
          <w:p>
            <w:pPr>
              <w:jc w:val="center"/>
              <w:rPr>
                <w:rFonts w:hint="eastAsia" w:ascii="宋体" w:hAnsi="宋体" w:eastAsia="宋体" w:cs="宋体"/>
                <w:color w:val="000000"/>
                <w:kern w:val="2"/>
                <w:sz w:val="20"/>
                <w:szCs w:val="20"/>
              </w:rPr>
            </w:pPr>
            <w:r>
              <w:rPr>
                <w:rFonts w:hint="eastAsia" w:ascii="宋体" w:hAnsi="宋体" w:eastAsia="宋体" w:cs="宋体"/>
                <w:color w:val="000000"/>
                <w:sz w:val="20"/>
                <w:szCs w:val="20"/>
              </w:rPr>
              <w:t>对涉嫌有严重质量问题的产品及直接用于生产、销售该项产品的原辅材料、包装物、生产工具予以查封和扣押</w:t>
            </w:r>
          </w:p>
        </w:tc>
        <w:tc>
          <w:tcPr>
            <w:tcW w:w="2651" w:type="dxa"/>
            <w:vAlign w:val="center"/>
          </w:tcPr>
          <w:p>
            <w:pPr>
              <w:spacing w:line="600" w:lineRule="exact"/>
              <w:jc w:val="center"/>
              <w:rPr>
                <w:rFonts w:hint="eastAsia" w:ascii="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jc w:val="center"/>
              <w:rPr>
                <w:rFonts w:hint="eastAsia" w:ascii="宋体" w:hAnsi="宋体" w:eastAsia="微软雅黑" w:cs="Times New Roman"/>
                <w:color w:val="000000"/>
                <w:kern w:val="2"/>
                <w:sz w:val="24"/>
                <w:szCs w:val="32"/>
                <w:lang w:eastAsia="zh-CN"/>
              </w:rPr>
            </w:pPr>
            <w:r>
              <w:rPr>
                <w:rFonts w:hint="eastAsia" w:ascii="宋体" w:hAnsi="宋体"/>
                <w:color w:val="000000"/>
                <w:sz w:val="24"/>
              </w:rPr>
              <w:t>55</w:t>
            </w:r>
            <w:r>
              <w:rPr>
                <w:rFonts w:hint="eastAsia" w:ascii="宋体" w:hAnsi="宋体"/>
                <w:color w:val="000000"/>
                <w:sz w:val="24"/>
                <w:lang w:val="en-US" w:eastAsia="zh-CN"/>
              </w:rPr>
              <w:t>5</w:t>
            </w:r>
          </w:p>
        </w:tc>
        <w:tc>
          <w:tcPr>
            <w:tcW w:w="3200" w:type="dxa"/>
            <w:vAlign w:val="center"/>
          </w:tcPr>
          <w:p>
            <w:pPr>
              <w:jc w:val="center"/>
              <w:rPr>
                <w:rFonts w:hint="eastAsia" w:ascii="宋体" w:hAnsi="宋体" w:eastAsia="仿宋_GB2312" w:cs="Times New Roman"/>
                <w:color w:val="000000"/>
                <w:kern w:val="2"/>
                <w:sz w:val="18"/>
                <w:szCs w:val="32"/>
              </w:rPr>
            </w:pPr>
            <w:r>
              <w:rPr>
                <w:rFonts w:hint="eastAsia" w:ascii="宋体" w:hAnsi="宋体"/>
                <w:color w:val="000000"/>
                <w:sz w:val="18"/>
              </w:rPr>
              <w:t>10</w:t>
            </w:r>
          </w:p>
        </w:tc>
        <w:tc>
          <w:tcPr>
            <w:tcW w:w="6563" w:type="dxa"/>
            <w:vAlign w:val="center"/>
          </w:tcPr>
          <w:p>
            <w:pPr>
              <w:jc w:val="center"/>
              <w:rPr>
                <w:rFonts w:hint="eastAsia" w:ascii="宋体" w:hAnsi="宋体" w:eastAsia="宋体" w:cs="宋体"/>
                <w:color w:val="000000"/>
                <w:kern w:val="2"/>
                <w:sz w:val="20"/>
                <w:szCs w:val="20"/>
              </w:rPr>
            </w:pPr>
            <w:r>
              <w:rPr>
                <w:rFonts w:hint="eastAsia" w:ascii="宋体" w:hAnsi="宋体" w:eastAsia="宋体" w:cs="宋体"/>
                <w:color w:val="000000"/>
                <w:sz w:val="20"/>
                <w:szCs w:val="20"/>
              </w:rPr>
              <w:t>对有证据表明违反工业产品生产许可证管理条例而生产、销售或者在经营中使用的列入目录产品予以查封和扣押</w:t>
            </w:r>
          </w:p>
        </w:tc>
        <w:tc>
          <w:tcPr>
            <w:tcW w:w="2651" w:type="dxa"/>
            <w:vAlign w:val="center"/>
          </w:tcPr>
          <w:p>
            <w:pPr>
              <w:spacing w:line="600" w:lineRule="exact"/>
              <w:jc w:val="center"/>
              <w:rPr>
                <w:rFonts w:hint="eastAsia" w:ascii="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jc w:val="center"/>
            </w:pPr>
            <w:r>
              <w:rPr>
                <w:rFonts w:hint="eastAsia" w:ascii="宋体" w:hAnsi="宋体"/>
                <w:color w:val="000000"/>
                <w:sz w:val="24"/>
              </w:rPr>
              <w:t>5</w:t>
            </w:r>
            <w:r>
              <w:rPr>
                <w:rFonts w:hint="eastAsia" w:ascii="宋体" w:hAnsi="宋体"/>
                <w:color w:val="000000"/>
                <w:sz w:val="24"/>
                <w:lang w:val="en-US" w:eastAsia="zh-CN"/>
              </w:rPr>
              <w:t>5</w:t>
            </w:r>
            <w:r>
              <w:rPr>
                <w:rFonts w:hint="eastAsia" w:ascii="宋体" w:hAnsi="宋体"/>
                <w:color w:val="000000"/>
                <w:sz w:val="24"/>
              </w:rPr>
              <w:t>6</w:t>
            </w:r>
          </w:p>
        </w:tc>
        <w:tc>
          <w:tcPr>
            <w:tcW w:w="3200" w:type="dxa"/>
            <w:vAlign w:val="center"/>
          </w:tcPr>
          <w:p>
            <w:pPr>
              <w:jc w:val="center"/>
              <w:rPr>
                <w:rFonts w:hint="eastAsia" w:ascii="宋体" w:hAnsi="宋体" w:eastAsia="仿宋_GB2312" w:cs="Times New Roman"/>
                <w:color w:val="000000"/>
                <w:kern w:val="2"/>
                <w:sz w:val="18"/>
                <w:szCs w:val="32"/>
              </w:rPr>
            </w:pPr>
            <w:r>
              <w:rPr>
                <w:rFonts w:hint="eastAsia" w:ascii="宋体" w:hAnsi="宋体"/>
                <w:color w:val="000000"/>
                <w:sz w:val="18"/>
              </w:rPr>
              <w:t>11</w:t>
            </w:r>
          </w:p>
        </w:tc>
        <w:tc>
          <w:tcPr>
            <w:tcW w:w="6563" w:type="dxa"/>
            <w:vAlign w:val="center"/>
          </w:tcPr>
          <w:p>
            <w:pPr>
              <w:jc w:val="center"/>
              <w:rPr>
                <w:rFonts w:hint="eastAsia" w:ascii="宋体" w:hAnsi="宋体" w:eastAsia="宋体" w:cs="宋体"/>
                <w:color w:val="000000"/>
                <w:kern w:val="2"/>
                <w:sz w:val="20"/>
                <w:szCs w:val="20"/>
              </w:rPr>
            </w:pPr>
            <w:r>
              <w:rPr>
                <w:rFonts w:hint="eastAsia" w:ascii="宋体" w:hAnsi="宋体" w:eastAsia="宋体" w:cs="宋体"/>
                <w:color w:val="000000"/>
                <w:sz w:val="20"/>
                <w:szCs w:val="20"/>
              </w:rPr>
              <w:t>在证据有可能丢失或者以后难以取得的情况下，先行登记保存</w:t>
            </w:r>
          </w:p>
        </w:tc>
        <w:tc>
          <w:tcPr>
            <w:tcW w:w="2651" w:type="dxa"/>
            <w:vAlign w:val="center"/>
          </w:tcPr>
          <w:p>
            <w:pPr>
              <w:spacing w:line="600" w:lineRule="exact"/>
              <w:jc w:val="center"/>
              <w:rPr>
                <w:rFonts w:hint="eastAsia" w:ascii="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jc w:val="center"/>
              <w:rPr>
                <w:rFonts w:hint="default" w:eastAsia="微软雅黑"/>
                <w:lang w:val="en-US" w:eastAsia="zh-CN"/>
              </w:rPr>
            </w:pPr>
            <w:r>
              <w:rPr>
                <w:rFonts w:hint="eastAsia" w:ascii="宋体" w:hAnsi="宋体"/>
                <w:color w:val="000000"/>
                <w:sz w:val="24"/>
              </w:rPr>
              <w:t>5</w:t>
            </w:r>
            <w:r>
              <w:rPr>
                <w:rFonts w:hint="eastAsia" w:ascii="宋体" w:hAnsi="宋体"/>
                <w:color w:val="000000"/>
                <w:sz w:val="24"/>
                <w:lang w:val="en-US" w:eastAsia="zh-CN"/>
              </w:rPr>
              <w:t>57</w:t>
            </w:r>
          </w:p>
        </w:tc>
        <w:tc>
          <w:tcPr>
            <w:tcW w:w="3200" w:type="dxa"/>
            <w:vAlign w:val="center"/>
          </w:tcPr>
          <w:p>
            <w:pPr>
              <w:jc w:val="center"/>
              <w:rPr>
                <w:rFonts w:hint="eastAsia" w:ascii="宋体" w:hAnsi="宋体" w:eastAsia="仿宋_GB2312" w:cs="Times New Roman"/>
                <w:color w:val="000000"/>
                <w:kern w:val="2"/>
                <w:sz w:val="18"/>
                <w:szCs w:val="32"/>
              </w:rPr>
            </w:pPr>
            <w:r>
              <w:rPr>
                <w:rFonts w:hint="eastAsia" w:ascii="宋体" w:hAnsi="宋体"/>
                <w:color w:val="000000"/>
                <w:sz w:val="18"/>
              </w:rPr>
              <w:t>12</w:t>
            </w:r>
          </w:p>
        </w:tc>
        <w:tc>
          <w:tcPr>
            <w:tcW w:w="6563" w:type="dxa"/>
            <w:vAlign w:val="center"/>
          </w:tcPr>
          <w:p>
            <w:pPr>
              <w:jc w:val="center"/>
              <w:rPr>
                <w:rFonts w:hint="eastAsia" w:ascii="宋体" w:hAnsi="宋体" w:eastAsia="宋体" w:cs="宋体"/>
                <w:color w:val="000000"/>
                <w:kern w:val="2"/>
                <w:sz w:val="20"/>
                <w:szCs w:val="20"/>
              </w:rPr>
            </w:pPr>
            <w:r>
              <w:rPr>
                <w:rFonts w:hint="eastAsia" w:ascii="宋体" w:hAnsi="宋体" w:eastAsia="宋体" w:cs="宋体"/>
                <w:color w:val="000000"/>
                <w:sz w:val="20"/>
                <w:szCs w:val="20"/>
              </w:rPr>
              <w:t>对有证据表明不符合安全技术规范要求的或者有其他严重事故隐患的特种设备或者主要部件，予以查封或扣押</w:t>
            </w:r>
          </w:p>
        </w:tc>
        <w:tc>
          <w:tcPr>
            <w:tcW w:w="2651" w:type="dxa"/>
            <w:vAlign w:val="center"/>
          </w:tcPr>
          <w:p>
            <w:pPr>
              <w:spacing w:line="600" w:lineRule="exact"/>
              <w:jc w:val="center"/>
              <w:rPr>
                <w:rFonts w:hint="eastAsia" w:ascii="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jc w:val="center"/>
              <w:rPr>
                <w:rFonts w:hint="default" w:eastAsia="微软雅黑"/>
                <w:lang w:val="en-US" w:eastAsia="zh-CN"/>
              </w:rPr>
            </w:pPr>
            <w:r>
              <w:rPr>
                <w:rFonts w:hint="eastAsia" w:ascii="宋体" w:hAnsi="宋体"/>
                <w:color w:val="000000"/>
                <w:sz w:val="24"/>
              </w:rPr>
              <w:t>5</w:t>
            </w:r>
            <w:r>
              <w:rPr>
                <w:rFonts w:hint="eastAsia" w:ascii="宋体" w:hAnsi="宋体"/>
                <w:color w:val="000000"/>
                <w:sz w:val="24"/>
                <w:lang w:val="en-US" w:eastAsia="zh-CN"/>
              </w:rPr>
              <w:t>58</w:t>
            </w:r>
          </w:p>
        </w:tc>
        <w:tc>
          <w:tcPr>
            <w:tcW w:w="3200" w:type="dxa"/>
            <w:vAlign w:val="center"/>
          </w:tcPr>
          <w:p>
            <w:pPr>
              <w:jc w:val="center"/>
              <w:rPr>
                <w:rFonts w:hint="eastAsia" w:ascii="宋体" w:hAnsi="宋体" w:eastAsia="仿宋_GB2312" w:cs="Times New Roman"/>
                <w:color w:val="000000"/>
                <w:kern w:val="2"/>
                <w:sz w:val="18"/>
                <w:szCs w:val="32"/>
              </w:rPr>
            </w:pPr>
            <w:r>
              <w:rPr>
                <w:rFonts w:hint="eastAsia" w:ascii="宋体" w:hAnsi="宋体"/>
                <w:color w:val="000000"/>
                <w:sz w:val="18"/>
              </w:rPr>
              <w:t>13</w:t>
            </w:r>
          </w:p>
        </w:tc>
        <w:tc>
          <w:tcPr>
            <w:tcW w:w="6563" w:type="dxa"/>
            <w:vAlign w:val="center"/>
          </w:tcPr>
          <w:p>
            <w:pPr>
              <w:jc w:val="center"/>
              <w:rPr>
                <w:rFonts w:hint="eastAsia" w:ascii="宋体" w:hAnsi="宋体" w:eastAsia="宋体" w:cs="宋体"/>
                <w:color w:val="000000"/>
                <w:kern w:val="2"/>
                <w:sz w:val="20"/>
                <w:szCs w:val="20"/>
              </w:rPr>
            </w:pPr>
            <w:r>
              <w:rPr>
                <w:rFonts w:hint="eastAsia" w:ascii="宋体" w:hAnsi="宋体" w:eastAsia="宋体" w:cs="宋体"/>
                <w:color w:val="000000"/>
                <w:sz w:val="20"/>
                <w:szCs w:val="20"/>
              </w:rPr>
              <w:t>对违法计量器具设备及零配件采取封存、扣押措施</w:t>
            </w:r>
          </w:p>
        </w:tc>
        <w:tc>
          <w:tcPr>
            <w:tcW w:w="2651" w:type="dxa"/>
            <w:vAlign w:val="center"/>
          </w:tcPr>
          <w:p>
            <w:pPr>
              <w:spacing w:line="600" w:lineRule="exact"/>
              <w:jc w:val="center"/>
              <w:rPr>
                <w:rFonts w:hint="eastAsia" w:ascii="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spacing w:line="600" w:lineRule="exact"/>
              <w:jc w:val="center"/>
              <w:rPr>
                <w:rFonts w:hint="default" w:ascii="仿宋_GB2312" w:eastAsia="微软雅黑"/>
                <w:color w:val="000000"/>
                <w:lang w:val="en-US" w:eastAsia="zh-CN"/>
              </w:rPr>
            </w:pPr>
            <w:r>
              <w:rPr>
                <w:rFonts w:hint="eastAsia" w:ascii="仿宋_GB2312"/>
                <w:color w:val="000000"/>
                <w:lang w:val="en-US" w:eastAsia="zh-CN"/>
              </w:rPr>
              <w:t>559</w:t>
            </w:r>
          </w:p>
        </w:tc>
        <w:tc>
          <w:tcPr>
            <w:tcW w:w="3200" w:type="dxa"/>
            <w:vAlign w:val="center"/>
          </w:tcPr>
          <w:p>
            <w:pPr>
              <w:jc w:val="center"/>
              <w:rPr>
                <w:rFonts w:hint="eastAsia" w:ascii="宋体" w:hAnsi="宋体" w:eastAsia="仿宋_GB2312" w:cs="Times New Roman"/>
                <w:color w:val="000000"/>
                <w:kern w:val="2"/>
                <w:sz w:val="18"/>
                <w:szCs w:val="32"/>
              </w:rPr>
            </w:pPr>
            <w:r>
              <w:rPr>
                <w:rFonts w:hint="eastAsia" w:ascii="宋体" w:hAnsi="宋体"/>
                <w:color w:val="000000"/>
                <w:sz w:val="18"/>
              </w:rPr>
              <w:t>14</w:t>
            </w:r>
          </w:p>
        </w:tc>
        <w:tc>
          <w:tcPr>
            <w:tcW w:w="6563" w:type="dxa"/>
            <w:vAlign w:val="center"/>
          </w:tcPr>
          <w:p>
            <w:pPr>
              <w:jc w:val="center"/>
              <w:rPr>
                <w:rFonts w:hint="eastAsia" w:ascii="宋体" w:hAnsi="宋体" w:eastAsia="宋体" w:cs="宋体"/>
                <w:color w:val="000000"/>
                <w:kern w:val="2"/>
                <w:sz w:val="20"/>
                <w:szCs w:val="20"/>
              </w:rPr>
            </w:pPr>
            <w:r>
              <w:rPr>
                <w:rFonts w:hint="eastAsia" w:ascii="宋体" w:hAnsi="宋体" w:eastAsia="宋体" w:cs="宋体"/>
                <w:color w:val="000000"/>
                <w:sz w:val="20"/>
                <w:szCs w:val="20"/>
              </w:rPr>
              <w:t>对违法物品采取封存和扣押措施</w:t>
            </w:r>
          </w:p>
        </w:tc>
        <w:tc>
          <w:tcPr>
            <w:tcW w:w="2651" w:type="dxa"/>
            <w:vAlign w:val="center"/>
          </w:tcPr>
          <w:p>
            <w:pPr>
              <w:spacing w:line="600" w:lineRule="exact"/>
              <w:jc w:val="center"/>
              <w:rPr>
                <w:rFonts w:hint="eastAsia" w:ascii="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spacing w:line="600" w:lineRule="exact"/>
              <w:jc w:val="center"/>
              <w:rPr>
                <w:rFonts w:hint="default" w:ascii="仿宋_GB2312" w:eastAsia="微软雅黑"/>
                <w:color w:val="000000"/>
                <w:lang w:val="en-US" w:eastAsia="zh-CN"/>
              </w:rPr>
            </w:pPr>
            <w:r>
              <w:rPr>
                <w:rFonts w:hint="eastAsia" w:ascii="仿宋_GB2312"/>
                <w:color w:val="000000"/>
                <w:lang w:val="en-US" w:eastAsia="zh-CN"/>
              </w:rPr>
              <w:t>560</w:t>
            </w:r>
          </w:p>
        </w:tc>
        <w:tc>
          <w:tcPr>
            <w:tcW w:w="3200" w:type="dxa"/>
            <w:vAlign w:val="center"/>
          </w:tcPr>
          <w:p>
            <w:pPr>
              <w:jc w:val="center"/>
              <w:rPr>
                <w:rFonts w:hint="eastAsia" w:ascii="宋体" w:hAnsi="宋体" w:eastAsia="仿宋_GB2312" w:cs="Times New Roman"/>
                <w:color w:val="000000"/>
                <w:kern w:val="2"/>
                <w:sz w:val="18"/>
                <w:szCs w:val="32"/>
              </w:rPr>
            </w:pPr>
            <w:r>
              <w:rPr>
                <w:rFonts w:hint="eastAsia" w:ascii="宋体" w:hAnsi="宋体"/>
                <w:color w:val="000000"/>
                <w:sz w:val="18"/>
              </w:rPr>
              <w:t>15</w:t>
            </w:r>
          </w:p>
        </w:tc>
        <w:tc>
          <w:tcPr>
            <w:tcW w:w="6563" w:type="dxa"/>
            <w:vAlign w:val="center"/>
          </w:tcPr>
          <w:p>
            <w:pPr>
              <w:jc w:val="center"/>
              <w:rPr>
                <w:rFonts w:hint="eastAsia" w:ascii="宋体" w:hAnsi="宋体" w:eastAsia="宋体" w:cs="宋体"/>
                <w:color w:val="000000"/>
                <w:kern w:val="2"/>
                <w:sz w:val="20"/>
                <w:szCs w:val="20"/>
              </w:rPr>
            </w:pPr>
            <w:r>
              <w:rPr>
                <w:rFonts w:hint="eastAsia" w:ascii="宋体" w:hAnsi="宋体" w:eastAsia="宋体" w:cs="宋体"/>
                <w:color w:val="000000"/>
                <w:sz w:val="20"/>
                <w:szCs w:val="20"/>
              </w:rPr>
              <w:t>广告经营资格检查</w:t>
            </w:r>
          </w:p>
        </w:tc>
        <w:tc>
          <w:tcPr>
            <w:tcW w:w="2651" w:type="dxa"/>
            <w:vAlign w:val="center"/>
          </w:tcPr>
          <w:p>
            <w:pPr>
              <w:spacing w:line="600" w:lineRule="exact"/>
              <w:jc w:val="center"/>
              <w:rPr>
                <w:rFonts w:hint="eastAsia" w:ascii="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spacing w:line="600" w:lineRule="exact"/>
              <w:jc w:val="center"/>
              <w:rPr>
                <w:rFonts w:hint="default" w:ascii="仿宋_GB2312" w:eastAsia="微软雅黑"/>
                <w:color w:val="000000"/>
                <w:lang w:val="en-US" w:eastAsia="zh-CN"/>
              </w:rPr>
            </w:pPr>
            <w:r>
              <w:rPr>
                <w:rFonts w:hint="eastAsia" w:ascii="仿宋_GB2312"/>
                <w:color w:val="000000"/>
                <w:lang w:val="en-US" w:eastAsia="zh-CN"/>
              </w:rPr>
              <w:t>561</w:t>
            </w:r>
          </w:p>
        </w:tc>
        <w:tc>
          <w:tcPr>
            <w:tcW w:w="3200" w:type="dxa"/>
            <w:vAlign w:val="center"/>
          </w:tcPr>
          <w:p>
            <w:pPr>
              <w:jc w:val="center"/>
              <w:rPr>
                <w:rFonts w:ascii="宋体" w:hAnsi="宋体" w:eastAsia="仿宋_GB2312"/>
                <w:color w:val="000000"/>
                <w:sz w:val="18"/>
              </w:rPr>
            </w:pPr>
            <w:r>
              <w:rPr>
                <w:rFonts w:hint="eastAsia" w:ascii="宋体" w:hAnsi="宋体"/>
                <w:color w:val="000000"/>
                <w:sz w:val="18"/>
              </w:rPr>
              <w:t>16</w:t>
            </w:r>
          </w:p>
        </w:tc>
        <w:tc>
          <w:tcPr>
            <w:tcW w:w="6563" w:type="dxa"/>
            <w:vAlign w:val="center"/>
          </w:tcPr>
          <w:p>
            <w:pPr>
              <w:jc w:val="center"/>
              <w:rPr>
                <w:rFonts w:ascii="宋体" w:hAnsi="宋体" w:eastAsia="宋体" w:cs="宋体"/>
                <w:color w:val="000000"/>
                <w:sz w:val="20"/>
                <w:szCs w:val="20"/>
              </w:rPr>
            </w:pPr>
            <w:r>
              <w:rPr>
                <w:rFonts w:hint="eastAsia" w:ascii="宋体" w:hAnsi="宋体" w:eastAsia="宋体" w:cs="宋体"/>
                <w:color w:val="000000"/>
                <w:sz w:val="20"/>
                <w:szCs w:val="20"/>
                <w:lang w:val="en-US" w:eastAsia="zh-CN"/>
              </w:rPr>
              <w:t>被责令暂停相关营业而不停止的；拒绝提供、或者提供虚假资料信息；转移、隐匿、销毁依法登记保存的财务、证据和其他拒绝、阻碍监督检查行为的处罚。</w:t>
            </w:r>
          </w:p>
        </w:tc>
        <w:tc>
          <w:tcPr>
            <w:tcW w:w="2651" w:type="dxa"/>
            <w:vAlign w:val="center"/>
          </w:tcPr>
          <w:p>
            <w:pPr>
              <w:spacing w:line="600" w:lineRule="exact"/>
              <w:jc w:val="center"/>
              <w:rPr>
                <w:rFonts w:hint="eastAsia" w:ascii="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spacing w:line="600" w:lineRule="exact"/>
              <w:jc w:val="center"/>
              <w:rPr>
                <w:rFonts w:hint="eastAsia" w:ascii="仿宋_GB2312"/>
                <w:color w:val="000000"/>
              </w:rPr>
            </w:pPr>
          </w:p>
        </w:tc>
        <w:tc>
          <w:tcPr>
            <w:tcW w:w="3200" w:type="dxa"/>
            <w:vAlign w:val="center"/>
          </w:tcPr>
          <w:p>
            <w:pPr>
              <w:adjustRightInd/>
              <w:snapToGrid/>
              <w:spacing w:after="0" w:line="600" w:lineRule="exact"/>
              <w:jc w:val="center"/>
              <w:rPr>
                <w:rFonts w:hint="eastAsia" w:ascii="仿宋_GB2312"/>
              </w:rPr>
            </w:pPr>
            <w:r>
              <w:rPr>
                <w:rFonts w:hint="eastAsia" w:ascii="仿宋_GB2312"/>
              </w:rPr>
              <w:t>四、行政征收</w:t>
            </w:r>
          </w:p>
        </w:tc>
        <w:tc>
          <w:tcPr>
            <w:tcW w:w="6563" w:type="dxa"/>
            <w:vAlign w:val="center"/>
          </w:tcPr>
          <w:p>
            <w:pPr>
              <w:adjustRightInd/>
              <w:snapToGrid/>
              <w:spacing w:after="0" w:line="600" w:lineRule="exact"/>
              <w:jc w:val="center"/>
              <w:rPr>
                <w:rFonts w:hint="eastAsia" w:ascii="仿宋_GB2312"/>
                <w:b/>
                <w:bCs/>
              </w:rPr>
            </w:pPr>
            <w:r>
              <w:rPr>
                <w:rFonts w:hint="eastAsia" w:ascii="仿宋_GB2312"/>
              </w:rPr>
              <w:t>共</w:t>
            </w:r>
            <w:r>
              <w:rPr>
                <w:rFonts w:hint="eastAsia" w:ascii="仿宋_GB2312"/>
                <w:lang w:val="en-US" w:eastAsia="zh-CN"/>
              </w:rPr>
              <w:t>0</w:t>
            </w:r>
            <w:r>
              <w:rPr>
                <w:rFonts w:hint="eastAsia" w:ascii="仿宋_GB2312"/>
              </w:rPr>
              <w:t>项</w:t>
            </w:r>
          </w:p>
        </w:tc>
        <w:tc>
          <w:tcPr>
            <w:tcW w:w="2651" w:type="dxa"/>
            <w:vAlign w:val="center"/>
          </w:tcPr>
          <w:p>
            <w:pPr>
              <w:spacing w:line="600" w:lineRule="exact"/>
              <w:jc w:val="center"/>
              <w:rPr>
                <w:rFonts w:hint="eastAsia" w:ascii="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spacing w:line="600" w:lineRule="exact"/>
              <w:jc w:val="center"/>
              <w:rPr>
                <w:rFonts w:hint="eastAsia" w:ascii="仿宋_GB2312"/>
                <w:color w:val="000000"/>
              </w:rPr>
            </w:pPr>
          </w:p>
        </w:tc>
        <w:tc>
          <w:tcPr>
            <w:tcW w:w="3200" w:type="dxa"/>
            <w:vAlign w:val="center"/>
          </w:tcPr>
          <w:p>
            <w:pPr>
              <w:adjustRightInd/>
              <w:snapToGrid/>
              <w:spacing w:after="0" w:line="600" w:lineRule="exact"/>
              <w:jc w:val="center"/>
              <w:rPr>
                <w:rFonts w:hint="eastAsia" w:ascii="仿宋_GB2312" w:hAnsi="Tahoma" w:eastAsia="微软雅黑" w:cstheme="minorBidi"/>
                <w:sz w:val="22"/>
                <w:szCs w:val="22"/>
                <w:lang w:val="en-US" w:eastAsia="zh-CN" w:bidi="ar-SA"/>
              </w:rPr>
            </w:pPr>
            <w:r>
              <w:rPr>
                <w:rFonts w:hint="eastAsia" w:ascii="仿宋_GB2312"/>
                <w:lang w:eastAsia="zh-CN"/>
              </w:rPr>
              <w:t>五</w:t>
            </w:r>
            <w:r>
              <w:rPr>
                <w:rFonts w:hint="eastAsia" w:ascii="仿宋_GB2312"/>
              </w:rPr>
              <w:t>、行政</w:t>
            </w:r>
            <w:r>
              <w:rPr>
                <w:rFonts w:hint="eastAsia" w:ascii="仿宋_GB2312"/>
                <w:lang w:eastAsia="zh-CN"/>
              </w:rPr>
              <w:t>给付</w:t>
            </w:r>
          </w:p>
        </w:tc>
        <w:tc>
          <w:tcPr>
            <w:tcW w:w="6563" w:type="dxa"/>
            <w:vAlign w:val="center"/>
          </w:tcPr>
          <w:p>
            <w:pPr>
              <w:adjustRightInd/>
              <w:snapToGrid/>
              <w:spacing w:after="0" w:line="600" w:lineRule="exact"/>
              <w:jc w:val="center"/>
              <w:rPr>
                <w:rFonts w:hint="eastAsia" w:ascii="仿宋_GB2312" w:hAnsi="Tahoma" w:eastAsia="微软雅黑" w:cstheme="minorBidi"/>
                <w:b/>
                <w:bCs/>
                <w:sz w:val="22"/>
                <w:szCs w:val="22"/>
                <w:lang w:val="en-US" w:eastAsia="zh-CN" w:bidi="ar-SA"/>
              </w:rPr>
            </w:pPr>
            <w:r>
              <w:rPr>
                <w:rFonts w:hint="eastAsia" w:ascii="仿宋_GB2312"/>
              </w:rPr>
              <w:t>共</w:t>
            </w:r>
            <w:r>
              <w:rPr>
                <w:rFonts w:hint="eastAsia" w:ascii="仿宋_GB2312"/>
                <w:lang w:val="en-US" w:eastAsia="zh-CN"/>
              </w:rPr>
              <w:t>0</w:t>
            </w:r>
            <w:r>
              <w:rPr>
                <w:rFonts w:hint="eastAsia" w:ascii="仿宋_GB2312"/>
              </w:rPr>
              <w:t>项</w:t>
            </w:r>
          </w:p>
        </w:tc>
        <w:tc>
          <w:tcPr>
            <w:tcW w:w="2651" w:type="dxa"/>
            <w:vAlign w:val="center"/>
          </w:tcPr>
          <w:p>
            <w:pPr>
              <w:spacing w:line="600" w:lineRule="exact"/>
              <w:jc w:val="center"/>
              <w:rPr>
                <w:rFonts w:hint="eastAsia" w:ascii="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hAnsi="Times New Roman" w:eastAsia="仿宋_GB2312" w:cs="Times New Roman"/>
                <w:color w:val="000000"/>
                <w:kern w:val="2"/>
                <w:sz w:val="32"/>
                <w:szCs w:val="32"/>
                <w:vertAlign w:val="baseline"/>
                <w:lang w:val="en-US" w:eastAsia="zh-CN" w:bidi="ar-SA"/>
              </w:rPr>
            </w:pPr>
          </w:p>
        </w:tc>
        <w:tc>
          <w:tcPr>
            <w:tcW w:w="3200" w:type="dxa"/>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hAnsi="Times New Roman" w:eastAsia="仿宋_GB2312" w:cs="Times New Roman"/>
                <w:color w:val="000000"/>
                <w:kern w:val="2"/>
                <w:sz w:val="32"/>
                <w:szCs w:val="32"/>
                <w:vertAlign w:val="baseline"/>
                <w:lang w:val="en-US" w:eastAsia="zh-CN" w:bidi="ar-SA"/>
              </w:rPr>
            </w:pPr>
            <w:r>
              <w:rPr>
                <w:rFonts w:hint="eastAsia" w:ascii="仿宋_GB2312"/>
                <w:color w:val="000000"/>
                <w:lang w:val="en-US" w:eastAsia="zh-CN"/>
              </w:rPr>
              <w:t>六</w:t>
            </w:r>
            <w:r>
              <w:rPr>
                <w:rFonts w:hint="eastAsia" w:ascii="仿宋_GB2312"/>
                <w:color w:val="000000"/>
                <w:lang w:eastAsia="zh-CN"/>
              </w:rPr>
              <w:t>、行政检查</w:t>
            </w:r>
          </w:p>
        </w:tc>
        <w:tc>
          <w:tcPr>
            <w:tcW w:w="6563" w:type="dxa"/>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宋体" w:hAnsi="宋体" w:eastAsia="宋体" w:cs="宋体"/>
                <w:color w:val="000000"/>
                <w:kern w:val="2"/>
                <w:sz w:val="20"/>
                <w:szCs w:val="20"/>
                <w:vertAlign w:val="baseline"/>
                <w:lang w:val="en-US" w:eastAsia="zh-CN" w:bidi="ar-SA"/>
              </w:rPr>
            </w:pPr>
            <w:r>
              <w:rPr>
                <w:rFonts w:hint="eastAsia" w:ascii="宋体" w:hAnsi="宋体" w:eastAsia="宋体" w:cs="宋体"/>
                <w:color w:val="000000"/>
                <w:sz w:val="20"/>
                <w:szCs w:val="20"/>
                <w:vertAlign w:val="baseline"/>
                <w:lang w:val="en-US" w:eastAsia="zh-CN"/>
              </w:rPr>
              <w:t>共18项</w:t>
            </w:r>
          </w:p>
        </w:tc>
        <w:tc>
          <w:tcPr>
            <w:tcW w:w="2651" w:type="dxa"/>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hAnsi="Times New Roman" w:eastAsia="仿宋_GB2312" w:cs="Times New Roman"/>
                <w:color w:val="000000"/>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spacing w:beforeLines="0" w:afterLines="0"/>
              <w:jc w:val="center"/>
              <w:rPr>
                <w:rFonts w:hint="default" w:ascii="仿宋_GB2312" w:hAnsi="Times New Roman" w:eastAsia="仿宋_GB2312" w:cs="Times New Roman"/>
                <w:color w:val="000000"/>
                <w:kern w:val="2"/>
                <w:sz w:val="32"/>
                <w:szCs w:val="32"/>
                <w:vertAlign w:val="baseline"/>
                <w:lang w:val="en-US" w:eastAsia="zh-CN" w:bidi="ar-SA"/>
              </w:rPr>
            </w:pPr>
            <w:r>
              <w:rPr>
                <w:rFonts w:hint="eastAsia" w:ascii="宋体" w:hAnsi="宋体" w:eastAsia="仿宋_GB2312"/>
                <w:color w:val="000000"/>
                <w:sz w:val="20"/>
                <w:lang w:val="en-US" w:eastAsia="zh-CN"/>
              </w:rPr>
              <w:t>562</w:t>
            </w:r>
          </w:p>
        </w:tc>
        <w:tc>
          <w:tcPr>
            <w:tcW w:w="3200" w:type="dxa"/>
            <w:vAlign w:val="center"/>
          </w:tcPr>
          <w:p>
            <w:pPr>
              <w:spacing w:beforeLines="0" w:afterLines="0"/>
              <w:jc w:val="center"/>
              <w:rPr>
                <w:rFonts w:hint="eastAsia" w:ascii="宋体" w:hAnsi="宋体" w:eastAsia="仿宋_GB2312" w:cs="Times New Roman"/>
                <w:color w:val="000000"/>
                <w:kern w:val="2"/>
                <w:sz w:val="20"/>
                <w:szCs w:val="32"/>
                <w:lang w:val="en-US" w:eastAsia="zh-CN" w:bidi="ar-SA"/>
              </w:rPr>
            </w:pPr>
            <w:r>
              <w:rPr>
                <w:rFonts w:hint="eastAsia" w:ascii="宋体" w:hAnsi="宋体"/>
                <w:color w:val="000000"/>
                <w:sz w:val="20"/>
              </w:rPr>
              <w:t>1</w:t>
            </w:r>
          </w:p>
        </w:tc>
        <w:tc>
          <w:tcPr>
            <w:tcW w:w="6563" w:type="dxa"/>
            <w:vAlign w:val="center"/>
          </w:tcPr>
          <w:p>
            <w:pPr>
              <w:spacing w:beforeLines="0" w:afterLines="0"/>
              <w:jc w:val="center"/>
              <w:rPr>
                <w:rFonts w:hint="eastAsia" w:ascii="宋体" w:hAnsi="宋体" w:eastAsia="宋体" w:cs="宋体"/>
                <w:color w:val="000000"/>
                <w:kern w:val="2"/>
                <w:sz w:val="20"/>
                <w:szCs w:val="20"/>
                <w:lang w:val="en-US" w:eastAsia="zh-CN" w:bidi="ar-SA"/>
              </w:rPr>
            </w:pPr>
            <w:r>
              <w:rPr>
                <w:rFonts w:hint="eastAsia" w:ascii="宋体" w:hAnsi="宋体" w:eastAsia="宋体" w:cs="宋体"/>
                <w:color w:val="000000"/>
                <w:sz w:val="20"/>
                <w:szCs w:val="20"/>
              </w:rPr>
              <w:t>流通领域产品质量监测</w:t>
            </w:r>
          </w:p>
        </w:tc>
        <w:tc>
          <w:tcPr>
            <w:tcW w:w="2651" w:type="dxa"/>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hAnsi="Times New Roman" w:eastAsia="仿宋_GB2312" w:cs="Times New Roman"/>
                <w:color w:val="000000"/>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spacing w:beforeLines="0" w:afterLines="0"/>
              <w:jc w:val="center"/>
              <w:rPr>
                <w:rFonts w:hint="default" w:ascii="仿宋_GB2312" w:hAnsi="Times New Roman" w:eastAsia="仿宋_GB2312" w:cs="Times New Roman"/>
                <w:color w:val="000000"/>
                <w:kern w:val="2"/>
                <w:sz w:val="32"/>
                <w:szCs w:val="32"/>
                <w:vertAlign w:val="baseline"/>
                <w:lang w:val="en-US" w:eastAsia="zh-CN" w:bidi="ar-SA"/>
              </w:rPr>
            </w:pPr>
            <w:r>
              <w:rPr>
                <w:rFonts w:hint="eastAsia" w:ascii="宋体" w:hAnsi="宋体" w:eastAsia="仿宋_GB2312"/>
                <w:color w:val="000000"/>
                <w:sz w:val="20"/>
                <w:lang w:val="en-US" w:eastAsia="zh-CN"/>
              </w:rPr>
              <w:t>563</w:t>
            </w:r>
          </w:p>
        </w:tc>
        <w:tc>
          <w:tcPr>
            <w:tcW w:w="3200" w:type="dxa"/>
            <w:vAlign w:val="center"/>
          </w:tcPr>
          <w:p>
            <w:pPr>
              <w:spacing w:beforeLines="0" w:afterLines="0"/>
              <w:jc w:val="center"/>
              <w:rPr>
                <w:rFonts w:hint="eastAsia" w:ascii="宋体" w:hAnsi="宋体" w:eastAsia="仿宋_GB2312" w:cs="Times New Roman"/>
                <w:color w:val="000000"/>
                <w:kern w:val="2"/>
                <w:sz w:val="20"/>
                <w:szCs w:val="32"/>
                <w:lang w:val="en-US" w:eastAsia="zh-CN" w:bidi="ar-SA"/>
              </w:rPr>
            </w:pPr>
            <w:r>
              <w:rPr>
                <w:rFonts w:hint="eastAsia" w:ascii="宋体" w:hAnsi="宋体"/>
                <w:color w:val="000000"/>
                <w:sz w:val="20"/>
              </w:rPr>
              <w:t>2</w:t>
            </w:r>
          </w:p>
        </w:tc>
        <w:tc>
          <w:tcPr>
            <w:tcW w:w="6563" w:type="dxa"/>
            <w:vAlign w:val="center"/>
          </w:tcPr>
          <w:p>
            <w:pPr>
              <w:spacing w:beforeLines="0" w:afterLines="0"/>
              <w:jc w:val="center"/>
              <w:rPr>
                <w:rFonts w:hint="eastAsia" w:ascii="宋体" w:hAnsi="宋体" w:eastAsia="宋体" w:cs="宋体"/>
                <w:color w:val="000000"/>
                <w:kern w:val="2"/>
                <w:sz w:val="20"/>
                <w:szCs w:val="20"/>
                <w:lang w:val="en-US" w:eastAsia="zh-CN" w:bidi="ar-SA"/>
              </w:rPr>
            </w:pPr>
            <w:r>
              <w:rPr>
                <w:rFonts w:hint="eastAsia" w:ascii="宋体" w:hAnsi="宋体" w:eastAsia="宋体" w:cs="宋体"/>
                <w:color w:val="000000"/>
                <w:sz w:val="20"/>
                <w:szCs w:val="20"/>
              </w:rPr>
              <w:t>合同监督管理</w:t>
            </w:r>
          </w:p>
        </w:tc>
        <w:tc>
          <w:tcPr>
            <w:tcW w:w="2651" w:type="dxa"/>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hAnsi="Times New Roman" w:eastAsia="仿宋_GB2312" w:cs="Times New Roman"/>
                <w:color w:val="000000"/>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spacing w:beforeLines="0" w:afterLines="0"/>
              <w:jc w:val="center"/>
              <w:rPr>
                <w:rFonts w:hint="default" w:ascii="仿宋_GB2312" w:hAnsi="Times New Roman" w:eastAsia="仿宋_GB2312" w:cs="Times New Roman"/>
                <w:color w:val="000000"/>
                <w:kern w:val="2"/>
                <w:sz w:val="32"/>
                <w:szCs w:val="32"/>
                <w:vertAlign w:val="baseline"/>
                <w:lang w:val="en-US" w:eastAsia="zh-CN" w:bidi="ar-SA"/>
              </w:rPr>
            </w:pPr>
            <w:r>
              <w:rPr>
                <w:rFonts w:hint="eastAsia" w:ascii="宋体" w:hAnsi="宋体" w:eastAsia="仿宋_GB2312"/>
                <w:color w:val="000000"/>
                <w:sz w:val="20"/>
                <w:lang w:val="en-US" w:eastAsia="zh-CN"/>
              </w:rPr>
              <w:t>564</w:t>
            </w:r>
          </w:p>
        </w:tc>
        <w:tc>
          <w:tcPr>
            <w:tcW w:w="3200" w:type="dxa"/>
            <w:vAlign w:val="center"/>
          </w:tcPr>
          <w:p>
            <w:pPr>
              <w:spacing w:beforeLines="0" w:afterLines="0"/>
              <w:jc w:val="center"/>
              <w:rPr>
                <w:rFonts w:hint="eastAsia" w:ascii="宋体" w:hAnsi="宋体" w:eastAsia="仿宋_GB2312" w:cs="Times New Roman"/>
                <w:color w:val="000000"/>
                <w:kern w:val="2"/>
                <w:sz w:val="20"/>
                <w:szCs w:val="32"/>
                <w:lang w:val="en-US" w:eastAsia="zh-CN" w:bidi="ar-SA"/>
              </w:rPr>
            </w:pPr>
            <w:r>
              <w:rPr>
                <w:rFonts w:hint="eastAsia" w:ascii="宋体" w:hAnsi="宋体"/>
                <w:color w:val="000000"/>
                <w:sz w:val="20"/>
              </w:rPr>
              <w:t>3</w:t>
            </w:r>
          </w:p>
        </w:tc>
        <w:tc>
          <w:tcPr>
            <w:tcW w:w="6563" w:type="dxa"/>
            <w:vAlign w:val="center"/>
          </w:tcPr>
          <w:p>
            <w:pPr>
              <w:spacing w:beforeLines="0" w:afterLines="0"/>
              <w:jc w:val="center"/>
              <w:rPr>
                <w:rFonts w:hint="eastAsia" w:ascii="宋体" w:hAnsi="宋体" w:eastAsia="宋体" w:cs="宋体"/>
                <w:color w:val="000000"/>
                <w:kern w:val="2"/>
                <w:sz w:val="20"/>
                <w:szCs w:val="20"/>
                <w:lang w:val="en-US" w:eastAsia="zh-CN" w:bidi="ar-SA"/>
              </w:rPr>
            </w:pPr>
            <w:r>
              <w:rPr>
                <w:rFonts w:hint="eastAsia" w:ascii="宋体" w:hAnsi="宋体" w:eastAsia="宋体" w:cs="宋体"/>
                <w:color w:val="000000"/>
                <w:sz w:val="20"/>
                <w:szCs w:val="20"/>
              </w:rPr>
              <w:t>旅游市场监督管理</w:t>
            </w:r>
          </w:p>
        </w:tc>
        <w:tc>
          <w:tcPr>
            <w:tcW w:w="2651" w:type="dxa"/>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hAnsi="Times New Roman" w:eastAsia="仿宋_GB2312" w:cs="Times New Roman"/>
                <w:color w:val="000000"/>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spacing w:beforeLines="0" w:afterLines="0"/>
              <w:jc w:val="center"/>
              <w:rPr>
                <w:rFonts w:hint="default" w:ascii="仿宋_GB2312" w:hAnsi="Times New Roman" w:eastAsia="仿宋_GB2312" w:cs="Times New Roman"/>
                <w:color w:val="000000"/>
                <w:kern w:val="2"/>
                <w:sz w:val="32"/>
                <w:szCs w:val="32"/>
                <w:vertAlign w:val="baseline"/>
                <w:lang w:val="en-US" w:eastAsia="zh-CN" w:bidi="ar-SA"/>
              </w:rPr>
            </w:pPr>
            <w:r>
              <w:rPr>
                <w:rFonts w:hint="eastAsia" w:ascii="宋体" w:hAnsi="宋体" w:eastAsia="仿宋_GB2312"/>
                <w:color w:val="000000"/>
                <w:sz w:val="20"/>
                <w:lang w:val="en-US" w:eastAsia="zh-CN"/>
              </w:rPr>
              <w:t>565</w:t>
            </w:r>
          </w:p>
        </w:tc>
        <w:tc>
          <w:tcPr>
            <w:tcW w:w="3200" w:type="dxa"/>
            <w:vAlign w:val="center"/>
          </w:tcPr>
          <w:p>
            <w:pPr>
              <w:spacing w:beforeLines="0" w:afterLines="0"/>
              <w:jc w:val="center"/>
              <w:rPr>
                <w:rFonts w:hint="eastAsia" w:ascii="宋体" w:hAnsi="宋体" w:eastAsia="仿宋_GB2312" w:cs="Times New Roman"/>
                <w:color w:val="000000"/>
                <w:kern w:val="2"/>
                <w:sz w:val="20"/>
                <w:szCs w:val="32"/>
                <w:lang w:val="en-US" w:eastAsia="zh-CN" w:bidi="ar-SA"/>
              </w:rPr>
            </w:pPr>
            <w:r>
              <w:rPr>
                <w:rFonts w:hint="eastAsia" w:ascii="宋体" w:hAnsi="宋体"/>
                <w:color w:val="000000"/>
                <w:sz w:val="20"/>
              </w:rPr>
              <w:t>4</w:t>
            </w:r>
          </w:p>
        </w:tc>
        <w:tc>
          <w:tcPr>
            <w:tcW w:w="6563" w:type="dxa"/>
            <w:vAlign w:val="center"/>
          </w:tcPr>
          <w:p>
            <w:pPr>
              <w:spacing w:beforeLines="0" w:afterLines="0"/>
              <w:jc w:val="center"/>
              <w:rPr>
                <w:rFonts w:hint="eastAsia" w:ascii="宋体" w:hAnsi="宋体" w:eastAsia="宋体" w:cs="宋体"/>
                <w:color w:val="000000"/>
                <w:kern w:val="2"/>
                <w:sz w:val="20"/>
                <w:szCs w:val="20"/>
                <w:lang w:val="en-US" w:eastAsia="zh-CN" w:bidi="ar-SA"/>
              </w:rPr>
            </w:pPr>
            <w:r>
              <w:rPr>
                <w:rFonts w:hint="eastAsia" w:ascii="宋体" w:hAnsi="宋体" w:eastAsia="宋体" w:cs="宋体"/>
                <w:color w:val="000000"/>
                <w:sz w:val="20"/>
                <w:szCs w:val="20"/>
              </w:rPr>
              <w:t>消防产品质量监督检查</w:t>
            </w:r>
          </w:p>
        </w:tc>
        <w:tc>
          <w:tcPr>
            <w:tcW w:w="2651" w:type="dxa"/>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hAnsi="Times New Roman" w:eastAsia="仿宋_GB2312" w:cs="Times New Roman"/>
                <w:color w:val="000000"/>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spacing w:beforeLines="0" w:afterLines="0"/>
              <w:jc w:val="center"/>
              <w:rPr>
                <w:rFonts w:hint="default" w:ascii="仿宋_GB2312" w:hAnsi="Times New Roman" w:eastAsia="微软雅黑" w:cs="Times New Roman"/>
                <w:color w:val="000000"/>
                <w:kern w:val="2"/>
                <w:sz w:val="32"/>
                <w:szCs w:val="32"/>
                <w:vertAlign w:val="baseline"/>
                <w:lang w:val="en-US" w:eastAsia="zh-CN" w:bidi="ar-SA"/>
              </w:rPr>
            </w:pPr>
            <w:r>
              <w:rPr>
                <w:rFonts w:hint="eastAsia" w:ascii="宋体" w:hAnsi="宋体"/>
                <w:color w:val="000000"/>
                <w:sz w:val="20"/>
              </w:rPr>
              <w:t>5</w:t>
            </w:r>
            <w:r>
              <w:rPr>
                <w:rFonts w:hint="eastAsia" w:ascii="宋体" w:hAnsi="宋体"/>
                <w:color w:val="000000"/>
                <w:sz w:val="20"/>
                <w:lang w:val="en-US" w:eastAsia="zh-CN"/>
              </w:rPr>
              <w:t>66</w:t>
            </w:r>
          </w:p>
        </w:tc>
        <w:tc>
          <w:tcPr>
            <w:tcW w:w="3200" w:type="dxa"/>
            <w:vAlign w:val="center"/>
          </w:tcPr>
          <w:p>
            <w:pPr>
              <w:spacing w:beforeLines="0" w:afterLines="0"/>
              <w:jc w:val="center"/>
              <w:rPr>
                <w:rFonts w:hint="eastAsia" w:ascii="宋体" w:hAnsi="宋体" w:eastAsia="仿宋_GB2312" w:cs="Times New Roman"/>
                <w:color w:val="000000"/>
                <w:kern w:val="2"/>
                <w:sz w:val="20"/>
                <w:szCs w:val="32"/>
                <w:lang w:val="en-US" w:eastAsia="zh-CN" w:bidi="ar-SA"/>
              </w:rPr>
            </w:pPr>
            <w:r>
              <w:rPr>
                <w:rFonts w:hint="eastAsia" w:ascii="宋体" w:hAnsi="宋体"/>
                <w:color w:val="000000"/>
                <w:sz w:val="20"/>
              </w:rPr>
              <w:t>5</w:t>
            </w:r>
          </w:p>
        </w:tc>
        <w:tc>
          <w:tcPr>
            <w:tcW w:w="6563" w:type="dxa"/>
            <w:vAlign w:val="center"/>
          </w:tcPr>
          <w:p>
            <w:pPr>
              <w:spacing w:beforeLines="0" w:afterLines="0"/>
              <w:jc w:val="center"/>
              <w:rPr>
                <w:rFonts w:hint="eastAsia" w:ascii="宋体" w:hAnsi="宋体" w:eastAsia="宋体" w:cs="宋体"/>
                <w:color w:val="000000"/>
                <w:kern w:val="2"/>
                <w:sz w:val="20"/>
                <w:szCs w:val="20"/>
                <w:lang w:val="en-US" w:eastAsia="zh-CN" w:bidi="ar-SA"/>
              </w:rPr>
            </w:pPr>
            <w:r>
              <w:rPr>
                <w:rFonts w:hint="eastAsia" w:ascii="宋体" w:hAnsi="宋体" w:eastAsia="宋体" w:cs="宋体"/>
                <w:color w:val="000000"/>
                <w:sz w:val="20"/>
                <w:szCs w:val="20"/>
              </w:rPr>
              <w:t>农资市场监督管理</w:t>
            </w:r>
          </w:p>
        </w:tc>
        <w:tc>
          <w:tcPr>
            <w:tcW w:w="2651" w:type="dxa"/>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hAnsi="Times New Roman" w:eastAsia="仿宋_GB2312" w:cs="Times New Roman"/>
                <w:color w:val="000000"/>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spacing w:beforeLines="0" w:afterLines="0"/>
              <w:jc w:val="center"/>
              <w:rPr>
                <w:rFonts w:hint="eastAsia" w:ascii="仿宋_GB2312" w:hAnsi="Times New Roman" w:eastAsia="微软雅黑" w:cs="Times New Roman"/>
                <w:color w:val="000000"/>
                <w:kern w:val="2"/>
                <w:sz w:val="32"/>
                <w:szCs w:val="32"/>
                <w:vertAlign w:val="baseline"/>
                <w:lang w:val="en-US" w:eastAsia="zh-CN" w:bidi="ar-SA"/>
              </w:rPr>
            </w:pPr>
            <w:r>
              <w:rPr>
                <w:rFonts w:hint="eastAsia" w:ascii="宋体" w:hAnsi="宋体"/>
                <w:color w:val="000000"/>
                <w:sz w:val="20"/>
                <w:lang w:val="en-US" w:eastAsia="zh-CN"/>
              </w:rPr>
              <w:t>5</w:t>
            </w:r>
            <w:r>
              <w:rPr>
                <w:rFonts w:hint="eastAsia" w:ascii="宋体" w:hAnsi="宋体"/>
                <w:color w:val="000000"/>
                <w:sz w:val="20"/>
              </w:rPr>
              <w:t>6</w:t>
            </w:r>
            <w:r>
              <w:rPr>
                <w:rFonts w:hint="eastAsia" w:ascii="宋体" w:hAnsi="宋体"/>
                <w:color w:val="000000"/>
                <w:sz w:val="20"/>
                <w:lang w:val="en-US" w:eastAsia="zh-CN"/>
              </w:rPr>
              <w:t>7</w:t>
            </w:r>
          </w:p>
        </w:tc>
        <w:tc>
          <w:tcPr>
            <w:tcW w:w="3200" w:type="dxa"/>
            <w:vAlign w:val="center"/>
          </w:tcPr>
          <w:p>
            <w:pPr>
              <w:spacing w:beforeLines="0" w:afterLines="0"/>
              <w:jc w:val="center"/>
              <w:rPr>
                <w:rFonts w:hint="eastAsia" w:ascii="宋体" w:hAnsi="宋体" w:eastAsia="仿宋_GB2312" w:cs="Times New Roman"/>
                <w:color w:val="000000"/>
                <w:kern w:val="2"/>
                <w:sz w:val="20"/>
                <w:szCs w:val="32"/>
                <w:lang w:val="en-US" w:eastAsia="zh-CN" w:bidi="ar-SA"/>
              </w:rPr>
            </w:pPr>
            <w:r>
              <w:rPr>
                <w:rFonts w:hint="eastAsia" w:ascii="宋体" w:hAnsi="宋体"/>
                <w:color w:val="000000"/>
                <w:sz w:val="20"/>
              </w:rPr>
              <w:t>6</w:t>
            </w:r>
          </w:p>
        </w:tc>
        <w:tc>
          <w:tcPr>
            <w:tcW w:w="6563" w:type="dxa"/>
            <w:vAlign w:val="center"/>
          </w:tcPr>
          <w:p>
            <w:pPr>
              <w:spacing w:beforeLines="0" w:afterLines="0"/>
              <w:jc w:val="center"/>
              <w:rPr>
                <w:rFonts w:hint="eastAsia" w:ascii="宋体" w:hAnsi="宋体" w:eastAsia="宋体" w:cs="宋体"/>
                <w:color w:val="000000"/>
                <w:kern w:val="2"/>
                <w:sz w:val="20"/>
                <w:szCs w:val="20"/>
                <w:lang w:val="en-US" w:eastAsia="zh-CN" w:bidi="ar-SA"/>
              </w:rPr>
            </w:pPr>
            <w:r>
              <w:rPr>
                <w:rFonts w:hint="eastAsia" w:ascii="宋体" w:hAnsi="宋体" w:eastAsia="宋体" w:cs="宋体"/>
                <w:color w:val="000000"/>
                <w:sz w:val="20"/>
                <w:szCs w:val="20"/>
              </w:rPr>
              <w:t>网络交易监督管理</w:t>
            </w:r>
          </w:p>
        </w:tc>
        <w:tc>
          <w:tcPr>
            <w:tcW w:w="2651" w:type="dxa"/>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hAnsi="Times New Roman" w:eastAsia="仿宋_GB2312" w:cs="Times New Roman"/>
                <w:color w:val="000000"/>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spacing w:beforeLines="0" w:afterLines="0"/>
              <w:jc w:val="center"/>
              <w:rPr>
                <w:rFonts w:hint="default" w:ascii="仿宋_GB2312" w:hAnsi="Times New Roman" w:eastAsia="仿宋_GB2312" w:cs="Times New Roman"/>
                <w:color w:val="000000"/>
                <w:kern w:val="2"/>
                <w:sz w:val="32"/>
                <w:szCs w:val="32"/>
                <w:vertAlign w:val="baseline"/>
                <w:lang w:val="en-US" w:eastAsia="zh-CN" w:bidi="ar-SA"/>
              </w:rPr>
            </w:pPr>
            <w:r>
              <w:rPr>
                <w:rFonts w:hint="eastAsia" w:ascii="宋体" w:hAnsi="宋体" w:eastAsia="仿宋_GB2312"/>
                <w:color w:val="000000"/>
                <w:sz w:val="20"/>
                <w:lang w:val="en-US" w:eastAsia="zh-CN"/>
              </w:rPr>
              <w:t>568</w:t>
            </w:r>
          </w:p>
        </w:tc>
        <w:tc>
          <w:tcPr>
            <w:tcW w:w="3200" w:type="dxa"/>
            <w:vAlign w:val="center"/>
          </w:tcPr>
          <w:p>
            <w:pPr>
              <w:spacing w:beforeLines="0" w:afterLines="0"/>
              <w:jc w:val="center"/>
              <w:rPr>
                <w:rFonts w:hint="eastAsia" w:ascii="宋体" w:hAnsi="宋体" w:eastAsia="仿宋_GB2312" w:cs="Times New Roman"/>
                <w:color w:val="000000"/>
                <w:kern w:val="2"/>
                <w:sz w:val="20"/>
                <w:szCs w:val="32"/>
                <w:lang w:val="en-US" w:eastAsia="zh-CN" w:bidi="ar-SA"/>
              </w:rPr>
            </w:pPr>
            <w:r>
              <w:rPr>
                <w:rFonts w:hint="eastAsia" w:ascii="宋体" w:hAnsi="宋体"/>
                <w:color w:val="000000"/>
                <w:sz w:val="20"/>
              </w:rPr>
              <w:t>7</w:t>
            </w:r>
          </w:p>
        </w:tc>
        <w:tc>
          <w:tcPr>
            <w:tcW w:w="6563" w:type="dxa"/>
            <w:vAlign w:val="center"/>
          </w:tcPr>
          <w:p>
            <w:pPr>
              <w:spacing w:beforeLines="0" w:afterLines="0"/>
              <w:jc w:val="center"/>
              <w:rPr>
                <w:rFonts w:hint="eastAsia" w:ascii="宋体" w:hAnsi="宋体" w:eastAsia="宋体" w:cs="宋体"/>
                <w:color w:val="000000"/>
                <w:kern w:val="2"/>
                <w:sz w:val="20"/>
                <w:szCs w:val="20"/>
                <w:lang w:val="en-US" w:eastAsia="zh-CN" w:bidi="ar-SA"/>
              </w:rPr>
            </w:pPr>
            <w:r>
              <w:rPr>
                <w:rFonts w:hint="eastAsia" w:ascii="宋体" w:hAnsi="宋体" w:eastAsia="宋体" w:cs="宋体"/>
                <w:color w:val="000000"/>
                <w:sz w:val="20"/>
                <w:szCs w:val="20"/>
              </w:rPr>
              <w:t>拍卖监督管理</w:t>
            </w:r>
          </w:p>
        </w:tc>
        <w:tc>
          <w:tcPr>
            <w:tcW w:w="2651" w:type="dxa"/>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hAnsi="Times New Roman" w:eastAsia="仿宋_GB2312" w:cs="Times New Roman"/>
                <w:color w:val="000000"/>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spacing w:beforeLines="0" w:afterLines="0"/>
              <w:jc w:val="center"/>
              <w:rPr>
                <w:rFonts w:hint="default" w:ascii="仿宋_GB2312" w:hAnsi="Times New Roman" w:eastAsia="仿宋_GB2312" w:cs="Times New Roman"/>
                <w:color w:val="000000"/>
                <w:kern w:val="2"/>
                <w:sz w:val="32"/>
                <w:szCs w:val="32"/>
                <w:vertAlign w:val="baseline"/>
                <w:lang w:val="en-US" w:eastAsia="zh-CN" w:bidi="ar-SA"/>
              </w:rPr>
            </w:pPr>
            <w:r>
              <w:rPr>
                <w:rFonts w:hint="eastAsia" w:ascii="宋体" w:hAnsi="宋体" w:eastAsia="仿宋_GB2312"/>
                <w:color w:val="000000"/>
                <w:sz w:val="20"/>
                <w:lang w:val="en-US" w:eastAsia="zh-CN"/>
              </w:rPr>
              <w:t>569</w:t>
            </w:r>
          </w:p>
        </w:tc>
        <w:tc>
          <w:tcPr>
            <w:tcW w:w="3200" w:type="dxa"/>
            <w:vAlign w:val="center"/>
          </w:tcPr>
          <w:p>
            <w:pPr>
              <w:spacing w:beforeLines="0" w:afterLines="0"/>
              <w:jc w:val="center"/>
              <w:rPr>
                <w:rFonts w:hint="eastAsia" w:ascii="宋体" w:hAnsi="宋体" w:eastAsia="仿宋_GB2312" w:cs="Times New Roman"/>
                <w:color w:val="000000"/>
                <w:kern w:val="2"/>
                <w:sz w:val="20"/>
                <w:szCs w:val="32"/>
                <w:lang w:val="en-US" w:eastAsia="zh-CN" w:bidi="ar-SA"/>
              </w:rPr>
            </w:pPr>
            <w:r>
              <w:rPr>
                <w:rFonts w:hint="eastAsia" w:ascii="宋体" w:hAnsi="宋体"/>
                <w:color w:val="000000"/>
                <w:sz w:val="20"/>
              </w:rPr>
              <w:t>8</w:t>
            </w:r>
          </w:p>
        </w:tc>
        <w:tc>
          <w:tcPr>
            <w:tcW w:w="6563" w:type="dxa"/>
            <w:vAlign w:val="center"/>
          </w:tcPr>
          <w:p>
            <w:pPr>
              <w:spacing w:beforeLines="0" w:afterLines="0"/>
              <w:jc w:val="center"/>
              <w:rPr>
                <w:rFonts w:hint="eastAsia" w:ascii="宋体" w:hAnsi="宋体" w:eastAsia="宋体" w:cs="宋体"/>
                <w:color w:val="000000"/>
                <w:kern w:val="2"/>
                <w:sz w:val="20"/>
                <w:szCs w:val="20"/>
                <w:lang w:val="en-US" w:eastAsia="zh-CN" w:bidi="ar-SA"/>
              </w:rPr>
            </w:pPr>
            <w:r>
              <w:rPr>
                <w:rFonts w:hint="eastAsia" w:ascii="宋体" w:hAnsi="宋体" w:eastAsia="宋体" w:cs="宋体"/>
                <w:color w:val="000000"/>
                <w:sz w:val="20"/>
                <w:szCs w:val="20"/>
              </w:rPr>
              <w:t>旅行社监督管理</w:t>
            </w:r>
          </w:p>
        </w:tc>
        <w:tc>
          <w:tcPr>
            <w:tcW w:w="2651" w:type="dxa"/>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hAnsi="Times New Roman" w:eastAsia="仿宋_GB2312" w:cs="Times New Roman"/>
                <w:color w:val="000000"/>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spacing w:beforeLines="0" w:afterLines="0"/>
              <w:jc w:val="center"/>
              <w:rPr>
                <w:rFonts w:hint="default" w:ascii="仿宋_GB2312" w:hAnsi="Times New Roman" w:eastAsia="仿宋_GB2312" w:cs="Times New Roman"/>
                <w:color w:val="000000"/>
                <w:kern w:val="2"/>
                <w:sz w:val="32"/>
                <w:szCs w:val="32"/>
                <w:vertAlign w:val="baseline"/>
                <w:lang w:val="en-US" w:eastAsia="zh-CN" w:bidi="ar-SA"/>
              </w:rPr>
            </w:pPr>
            <w:r>
              <w:rPr>
                <w:rFonts w:hint="eastAsia" w:ascii="宋体" w:hAnsi="宋体" w:eastAsia="仿宋_GB2312"/>
                <w:color w:val="000000"/>
                <w:sz w:val="20"/>
                <w:lang w:val="en-US" w:eastAsia="zh-CN"/>
              </w:rPr>
              <w:t>570</w:t>
            </w:r>
          </w:p>
        </w:tc>
        <w:tc>
          <w:tcPr>
            <w:tcW w:w="3200" w:type="dxa"/>
            <w:vAlign w:val="center"/>
          </w:tcPr>
          <w:p>
            <w:pPr>
              <w:spacing w:beforeLines="0" w:afterLines="0"/>
              <w:jc w:val="center"/>
              <w:rPr>
                <w:rFonts w:hint="eastAsia" w:ascii="宋体" w:hAnsi="宋体" w:eastAsia="仿宋_GB2312" w:cs="Times New Roman"/>
                <w:color w:val="000000"/>
                <w:kern w:val="2"/>
                <w:sz w:val="20"/>
                <w:szCs w:val="32"/>
                <w:lang w:val="en-US" w:eastAsia="zh-CN" w:bidi="ar-SA"/>
              </w:rPr>
            </w:pPr>
            <w:r>
              <w:rPr>
                <w:rFonts w:hint="eastAsia" w:ascii="宋体" w:hAnsi="宋体"/>
                <w:color w:val="000000"/>
                <w:sz w:val="20"/>
              </w:rPr>
              <w:t>9</w:t>
            </w:r>
          </w:p>
        </w:tc>
        <w:tc>
          <w:tcPr>
            <w:tcW w:w="6563" w:type="dxa"/>
            <w:vAlign w:val="center"/>
          </w:tcPr>
          <w:p>
            <w:pPr>
              <w:spacing w:beforeLines="0" w:afterLines="0"/>
              <w:jc w:val="center"/>
              <w:rPr>
                <w:rFonts w:hint="eastAsia" w:ascii="宋体" w:hAnsi="宋体" w:eastAsia="宋体" w:cs="宋体"/>
                <w:color w:val="000000"/>
                <w:kern w:val="2"/>
                <w:sz w:val="20"/>
                <w:szCs w:val="20"/>
                <w:lang w:val="en-US" w:eastAsia="zh-CN" w:bidi="ar-SA"/>
              </w:rPr>
            </w:pPr>
            <w:r>
              <w:rPr>
                <w:rFonts w:hint="eastAsia" w:ascii="宋体" w:hAnsi="宋体" w:eastAsia="宋体" w:cs="宋体"/>
                <w:color w:val="000000"/>
                <w:sz w:val="20"/>
                <w:szCs w:val="20"/>
              </w:rPr>
              <w:t>塑料购物袋有偿使用监督管理</w:t>
            </w:r>
          </w:p>
        </w:tc>
        <w:tc>
          <w:tcPr>
            <w:tcW w:w="2651" w:type="dxa"/>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hAnsi="Times New Roman" w:eastAsia="仿宋_GB2312" w:cs="Times New Roman"/>
                <w:color w:val="000000"/>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spacing w:beforeLines="0" w:afterLines="0"/>
              <w:jc w:val="center"/>
              <w:rPr>
                <w:rFonts w:hint="eastAsia" w:ascii="仿宋_GB2312" w:hAnsi="Times New Roman" w:eastAsia="仿宋_GB2312" w:cs="Times New Roman"/>
                <w:color w:val="000000"/>
                <w:kern w:val="2"/>
                <w:sz w:val="32"/>
                <w:szCs w:val="32"/>
                <w:vertAlign w:val="baseline"/>
                <w:lang w:val="en-US" w:eastAsia="zh-CN" w:bidi="ar-SA"/>
              </w:rPr>
            </w:pPr>
            <w:r>
              <w:rPr>
                <w:rFonts w:hint="eastAsia" w:ascii="宋体" w:hAnsi="宋体"/>
                <w:color w:val="000000"/>
                <w:sz w:val="20"/>
                <w:lang w:val="en-US" w:eastAsia="zh-CN"/>
              </w:rPr>
              <w:t>571</w:t>
            </w:r>
          </w:p>
        </w:tc>
        <w:tc>
          <w:tcPr>
            <w:tcW w:w="3200" w:type="dxa"/>
            <w:vAlign w:val="center"/>
          </w:tcPr>
          <w:p>
            <w:pPr>
              <w:spacing w:beforeLines="0" w:afterLines="0"/>
              <w:jc w:val="center"/>
              <w:rPr>
                <w:rFonts w:hint="eastAsia" w:ascii="宋体" w:hAnsi="宋体" w:eastAsia="仿宋_GB2312" w:cs="Times New Roman"/>
                <w:color w:val="000000"/>
                <w:kern w:val="2"/>
                <w:sz w:val="20"/>
                <w:szCs w:val="32"/>
                <w:lang w:val="en-US" w:eastAsia="zh-CN" w:bidi="ar-SA"/>
              </w:rPr>
            </w:pPr>
            <w:r>
              <w:rPr>
                <w:rFonts w:hint="eastAsia" w:ascii="宋体" w:hAnsi="宋体"/>
                <w:color w:val="000000"/>
                <w:sz w:val="20"/>
              </w:rPr>
              <w:t>10</w:t>
            </w:r>
          </w:p>
        </w:tc>
        <w:tc>
          <w:tcPr>
            <w:tcW w:w="6563" w:type="dxa"/>
            <w:vAlign w:val="center"/>
          </w:tcPr>
          <w:p>
            <w:pPr>
              <w:spacing w:beforeLines="0" w:afterLines="0"/>
              <w:jc w:val="center"/>
              <w:rPr>
                <w:rFonts w:hint="eastAsia" w:ascii="宋体" w:hAnsi="宋体" w:eastAsia="宋体" w:cs="宋体"/>
                <w:color w:val="000000"/>
                <w:kern w:val="2"/>
                <w:sz w:val="20"/>
                <w:szCs w:val="20"/>
                <w:lang w:val="en-US" w:eastAsia="zh-CN" w:bidi="ar-SA"/>
              </w:rPr>
            </w:pPr>
            <w:r>
              <w:rPr>
                <w:rFonts w:hint="eastAsia" w:ascii="宋体" w:hAnsi="宋体" w:eastAsia="宋体" w:cs="宋体"/>
                <w:color w:val="000000"/>
                <w:sz w:val="20"/>
                <w:szCs w:val="20"/>
              </w:rPr>
              <w:t>反不正当竞争行为监督检查</w:t>
            </w:r>
          </w:p>
        </w:tc>
        <w:tc>
          <w:tcPr>
            <w:tcW w:w="2651" w:type="dxa"/>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hAnsi="Times New Roman" w:eastAsia="仿宋_GB2312" w:cs="Times New Roman"/>
                <w:color w:val="000000"/>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spacing w:beforeLines="0" w:afterLines="0"/>
              <w:jc w:val="center"/>
              <w:rPr>
                <w:rFonts w:hint="default" w:ascii="仿宋_GB2312" w:hAnsi="Times New Roman" w:eastAsia="仿宋_GB2312" w:cs="Times New Roman"/>
                <w:color w:val="000000"/>
                <w:kern w:val="2"/>
                <w:sz w:val="32"/>
                <w:szCs w:val="32"/>
                <w:vertAlign w:val="baseline"/>
                <w:lang w:val="en-US" w:eastAsia="zh-CN" w:bidi="ar-SA"/>
              </w:rPr>
            </w:pPr>
            <w:r>
              <w:rPr>
                <w:rFonts w:hint="eastAsia" w:ascii="宋体" w:hAnsi="宋体" w:eastAsia="仿宋_GB2312"/>
                <w:color w:val="000000"/>
                <w:sz w:val="20"/>
                <w:lang w:val="en-US" w:eastAsia="zh-CN"/>
              </w:rPr>
              <w:t>572</w:t>
            </w:r>
          </w:p>
        </w:tc>
        <w:tc>
          <w:tcPr>
            <w:tcW w:w="3200" w:type="dxa"/>
            <w:vAlign w:val="center"/>
          </w:tcPr>
          <w:p>
            <w:pPr>
              <w:spacing w:beforeLines="0" w:afterLines="0"/>
              <w:jc w:val="center"/>
              <w:rPr>
                <w:rFonts w:hint="eastAsia" w:ascii="宋体" w:hAnsi="宋体" w:eastAsia="仿宋_GB2312" w:cs="Times New Roman"/>
                <w:color w:val="000000"/>
                <w:kern w:val="2"/>
                <w:sz w:val="20"/>
                <w:szCs w:val="32"/>
                <w:lang w:val="en-US" w:eastAsia="zh-CN" w:bidi="ar-SA"/>
              </w:rPr>
            </w:pPr>
            <w:r>
              <w:rPr>
                <w:rFonts w:hint="eastAsia" w:ascii="宋体" w:hAnsi="宋体"/>
                <w:color w:val="000000"/>
                <w:sz w:val="20"/>
              </w:rPr>
              <w:t>11</w:t>
            </w:r>
          </w:p>
        </w:tc>
        <w:tc>
          <w:tcPr>
            <w:tcW w:w="6563" w:type="dxa"/>
            <w:vAlign w:val="center"/>
          </w:tcPr>
          <w:p>
            <w:pPr>
              <w:spacing w:beforeLines="0" w:afterLines="0"/>
              <w:jc w:val="center"/>
              <w:rPr>
                <w:rFonts w:hint="eastAsia" w:ascii="宋体" w:hAnsi="宋体" w:eastAsia="宋体" w:cs="宋体"/>
                <w:color w:val="000000"/>
                <w:kern w:val="2"/>
                <w:sz w:val="20"/>
                <w:szCs w:val="20"/>
                <w:lang w:val="en-US" w:eastAsia="zh-CN" w:bidi="ar-SA"/>
              </w:rPr>
            </w:pPr>
            <w:r>
              <w:rPr>
                <w:rFonts w:hint="eastAsia" w:ascii="宋体" w:hAnsi="宋体" w:eastAsia="宋体" w:cs="宋体"/>
                <w:color w:val="000000"/>
                <w:sz w:val="20"/>
                <w:szCs w:val="20"/>
              </w:rPr>
              <w:t>查处传销行为</w:t>
            </w:r>
          </w:p>
        </w:tc>
        <w:tc>
          <w:tcPr>
            <w:tcW w:w="2651" w:type="dxa"/>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hAnsi="Times New Roman" w:eastAsia="仿宋_GB2312" w:cs="Times New Roman"/>
                <w:color w:val="000000"/>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spacing w:beforeLines="0" w:afterLines="0"/>
              <w:jc w:val="center"/>
              <w:rPr>
                <w:rFonts w:hint="default" w:ascii="仿宋_GB2312" w:hAnsi="Times New Roman" w:eastAsia="仿宋_GB2312" w:cs="Times New Roman"/>
                <w:color w:val="000000"/>
                <w:kern w:val="2"/>
                <w:sz w:val="32"/>
                <w:szCs w:val="32"/>
                <w:vertAlign w:val="baseline"/>
                <w:lang w:val="en-US" w:eastAsia="zh-CN" w:bidi="ar-SA"/>
              </w:rPr>
            </w:pPr>
            <w:r>
              <w:rPr>
                <w:rFonts w:hint="eastAsia" w:ascii="宋体" w:hAnsi="宋体" w:eastAsia="仿宋_GB2312"/>
                <w:color w:val="000000"/>
                <w:sz w:val="20"/>
                <w:lang w:val="en-US" w:eastAsia="zh-CN"/>
              </w:rPr>
              <w:t>573</w:t>
            </w:r>
          </w:p>
        </w:tc>
        <w:tc>
          <w:tcPr>
            <w:tcW w:w="3200" w:type="dxa"/>
            <w:vAlign w:val="center"/>
          </w:tcPr>
          <w:p>
            <w:pPr>
              <w:spacing w:beforeLines="0" w:afterLines="0"/>
              <w:jc w:val="center"/>
              <w:rPr>
                <w:rFonts w:hint="eastAsia" w:ascii="宋体" w:hAnsi="宋体" w:eastAsia="仿宋_GB2312" w:cs="Times New Roman"/>
                <w:color w:val="000000"/>
                <w:kern w:val="2"/>
                <w:sz w:val="20"/>
                <w:szCs w:val="32"/>
                <w:lang w:val="en-US" w:eastAsia="zh-CN" w:bidi="ar-SA"/>
              </w:rPr>
            </w:pPr>
            <w:r>
              <w:rPr>
                <w:rFonts w:hint="eastAsia" w:ascii="宋体" w:hAnsi="宋体"/>
                <w:color w:val="000000"/>
                <w:sz w:val="20"/>
              </w:rPr>
              <w:t>12</w:t>
            </w:r>
          </w:p>
        </w:tc>
        <w:tc>
          <w:tcPr>
            <w:tcW w:w="6563" w:type="dxa"/>
            <w:vAlign w:val="center"/>
          </w:tcPr>
          <w:p>
            <w:pPr>
              <w:spacing w:beforeLines="0" w:afterLines="0"/>
              <w:jc w:val="center"/>
              <w:rPr>
                <w:rFonts w:hint="eastAsia" w:ascii="宋体" w:hAnsi="宋体" w:eastAsia="宋体" w:cs="宋体"/>
                <w:color w:val="000000"/>
                <w:kern w:val="2"/>
                <w:sz w:val="20"/>
                <w:szCs w:val="20"/>
                <w:lang w:val="en-US" w:eastAsia="zh-CN" w:bidi="ar-SA"/>
              </w:rPr>
            </w:pPr>
            <w:r>
              <w:rPr>
                <w:rFonts w:hint="eastAsia" w:ascii="宋体" w:hAnsi="宋体" w:eastAsia="宋体" w:cs="宋体"/>
                <w:color w:val="000000"/>
                <w:sz w:val="20"/>
                <w:szCs w:val="20"/>
              </w:rPr>
              <w:t>对直销企业和直销员及其直销活动实施监督管理</w:t>
            </w:r>
          </w:p>
        </w:tc>
        <w:tc>
          <w:tcPr>
            <w:tcW w:w="2651" w:type="dxa"/>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hAnsi="Times New Roman" w:eastAsia="仿宋_GB2312" w:cs="Times New Roman"/>
                <w:color w:val="000000"/>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spacing w:beforeLines="0" w:afterLines="0"/>
              <w:jc w:val="center"/>
              <w:rPr>
                <w:rFonts w:hint="default" w:ascii="仿宋_GB2312" w:hAnsi="Times New Roman" w:eastAsia="仿宋_GB2312" w:cs="Times New Roman"/>
                <w:color w:val="000000"/>
                <w:kern w:val="2"/>
                <w:sz w:val="32"/>
                <w:szCs w:val="32"/>
                <w:vertAlign w:val="baseline"/>
                <w:lang w:val="en-US" w:eastAsia="zh-CN" w:bidi="ar-SA"/>
              </w:rPr>
            </w:pPr>
            <w:r>
              <w:rPr>
                <w:rFonts w:hint="eastAsia" w:ascii="宋体" w:hAnsi="宋体" w:eastAsia="仿宋_GB2312"/>
                <w:color w:val="000000"/>
                <w:sz w:val="20"/>
                <w:lang w:val="en-US" w:eastAsia="zh-CN"/>
              </w:rPr>
              <w:t>574</w:t>
            </w:r>
          </w:p>
        </w:tc>
        <w:tc>
          <w:tcPr>
            <w:tcW w:w="3200" w:type="dxa"/>
            <w:vAlign w:val="center"/>
          </w:tcPr>
          <w:p>
            <w:pPr>
              <w:spacing w:beforeLines="0" w:afterLines="0"/>
              <w:jc w:val="center"/>
              <w:rPr>
                <w:rFonts w:hint="eastAsia" w:ascii="宋体" w:hAnsi="宋体" w:eastAsia="仿宋_GB2312" w:cs="Times New Roman"/>
                <w:color w:val="000000"/>
                <w:kern w:val="2"/>
                <w:sz w:val="20"/>
                <w:szCs w:val="32"/>
                <w:lang w:val="en-US" w:eastAsia="zh-CN" w:bidi="ar-SA"/>
              </w:rPr>
            </w:pPr>
            <w:r>
              <w:rPr>
                <w:rFonts w:hint="eastAsia" w:ascii="宋体" w:hAnsi="宋体"/>
                <w:color w:val="000000"/>
                <w:sz w:val="20"/>
              </w:rPr>
              <w:t>13</w:t>
            </w:r>
          </w:p>
        </w:tc>
        <w:tc>
          <w:tcPr>
            <w:tcW w:w="6563" w:type="dxa"/>
            <w:vAlign w:val="center"/>
          </w:tcPr>
          <w:p>
            <w:pPr>
              <w:spacing w:beforeLines="0" w:afterLines="0"/>
              <w:jc w:val="center"/>
              <w:rPr>
                <w:rFonts w:hint="eastAsia" w:ascii="宋体" w:hAnsi="宋体" w:eastAsia="宋体" w:cs="宋体"/>
                <w:color w:val="000000"/>
                <w:kern w:val="2"/>
                <w:sz w:val="20"/>
                <w:szCs w:val="20"/>
                <w:lang w:val="en-US" w:eastAsia="zh-CN" w:bidi="ar-SA"/>
              </w:rPr>
            </w:pPr>
            <w:r>
              <w:rPr>
                <w:rFonts w:hint="eastAsia" w:ascii="宋体" w:hAnsi="宋体" w:eastAsia="宋体" w:cs="宋体"/>
                <w:color w:val="000000"/>
                <w:sz w:val="20"/>
                <w:szCs w:val="20"/>
              </w:rPr>
              <w:t>企业未按规定的期限公示年度报告、企业未在责令的期限公示有关企业信息、企业公示信息隐瞒真实情况、弄虚作假</w:t>
            </w:r>
          </w:p>
        </w:tc>
        <w:tc>
          <w:tcPr>
            <w:tcW w:w="2651" w:type="dxa"/>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hAnsi="Times New Roman" w:eastAsia="仿宋_GB2312" w:cs="Times New Roman"/>
                <w:color w:val="000000"/>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spacing w:beforeLines="0" w:afterLines="0"/>
              <w:jc w:val="center"/>
              <w:rPr>
                <w:rFonts w:hint="default" w:ascii="仿宋_GB2312" w:hAnsi="Times New Roman" w:eastAsia="仿宋_GB2312" w:cs="Times New Roman"/>
                <w:color w:val="000000"/>
                <w:kern w:val="2"/>
                <w:sz w:val="32"/>
                <w:szCs w:val="32"/>
                <w:vertAlign w:val="baseline"/>
                <w:lang w:val="en-US" w:eastAsia="zh-CN" w:bidi="ar-SA"/>
              </w:rPr>
            </w:pPr>
            <w:r>
              <w:rPr>
                <w:rFonts w:hint="eastAsia" w:ascii="宋体" w:hAnsi="宋体" w:eastAsia="仿宋_GB2312"/>
                <w:color w:val="000000"/>
                <w:sz w:val="20"/>
                <w:lang w:val="en-US" w:eastAsia="zh-CN"/>
              </w:rPr>
              <w:t>575</w:t>
            </w:r>
          </w:p>
        </w:tc>
        <w:tc>
          <w:tcPr>
            <w:tcW w:w="3200" w:type="dxa"/>
            <w:vAlign w:val="center"/>
          </w:tcPr>
          <w:p>
            <w:pPr>
              <w:spacing w:beforeLines="0" w:afterLines="0"/>
              <w:jc w:val="center"/>
              <w:rPr>
                <w:rFonts w:hint="eastAsia" w:ascii="宋体" w:hAnsi="宋体" w:eastAsia="仿宋_GB2312" w:cs="Times New Roman"/>
                <w:color w:val="000000"/>
                <w:kern w:val="2"/>
                <w:sz w:val="20"/>
                <w:szCs w:val="32"/>
                <w:lang w:val="en-US" w:eastAsia="zh-CN" w:bidi="ar-SA"/>
              </w:rPr>
            </w:pPr>
            <w:r>
              <w:rPr>
                <w:rFonts w:hint="eastAsia" w:ascii="宋体" w:hAnsi="宋体"/>
                <w:color w:val="000000"/>
                <w:sz w:val="20"/>
              </w:rPr>
              <w:t>14</w:t>
            </w:r>
          </w:p>
        </w:tc>
        <w:tc>
          <w:tcPr>
            <w:tcW w:w="6563" w:type="dxa"/>
            <w:vAlign w:val="center"/>
          </w:tcPr>
          <w:p>
            <w:pPr>
              <w:spacing w:beforeLines="0" w:afterLines="0"/>
              <w:jc w:val="center"/>
              <w:rPr>
                <w:rFonts w:hint="eastAsia" w:ascii="宋体" w:hAnsi="宋体" w:eastAsia="宋体" w:cs="宋体"/>
                <w:color w:val="000000"/>
                <w:kern w:val="2"/>
                <w:sz w:val="20"/>
                <w:szCs w:val="20"/>
                <w:lang w:val="en-US" w:eastAsia="zh-CN" w:bidi="ar-SA"/>
              </w:rPr>
            </w:pPr>
            <w:r>
              <w:rPr>
                <w:rFonts w:hint="eastAsia" w:ascii="宋体" w:hAnsi="宋体" w:eastAsia="宋体" w:cs="宋体"/>
                <w:color w:val="000000"/>
                <w:sz w:val="20"/>
                <w:szCs w:val="20"/>
              </w:rPr>
              <w:t>被列入经营异常名录的企业满3年未履行公示义务</w:t>
            </w:r>
          </w:p>
        </w:tc>
        <w:tc>
          <w:tcPr>
            <w:tcW w:w="2651" w:type="dxa"/>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hAnsi="Times New Roman" w:eastAsia="仿宋_GB2312" w:cs="Times New Roman"/>
                <w:color w:val="000000"/>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spacing w:beforeLines="0" w:afterLines="0"/>
              <w:jc w:val="center"/>
              <w:rPr>
                <w:rFonts w:hint="default" w:ascii="仿宋_GB2312" w:hAnsi="Times New Roman" w:eastAsia="仿宋_GB2312" w:cs="Times New Roman"/>
                <w:color w:val="000000"/>
                <w:kern w:val="2"/>
                <w:sz w:val="32"/>
                <w:szCs w:val="32"/>
                <w:vertAlign w:val="baseline"/>
                <w:lang w:val="en-US" w:eastAsia="zh-CN" w:bidi="ar-SA"/>
              </w:rPr>
            </w:pPr>
            <w:r>
              <w:rPr>
                <w:rFonts w:hint="eastAsia" w:ascii="宋体" w:hAnsi="宋体" w:eastAsia="仿宋_GB2312"/>
                <w:color w:val="000000"/>
                <w:sz w:val="20"/>
                <w:lang w:val="en-US" w:eastAsia="zh-CN"/>
              </w:rPr>
              <w:t>576</w:t>
            </w:r>
          </w:p>
        </w:tc>
        <w:tc>
          <w:tcPr>
            <w:tcW w:w="3200" w:type="dxa"/>
            <w:vAlign w:val="center"/>
          </w:tcPr>
          <w:p>
            <w:pPr>
              <w:spacing w:beforeLines="0" w:afterLines="0"/>
              <w:jc w:val="center"/>
              <w:rPr>
                <w:rFonts w:hint="eastAsia" w:ascii="宋体" w:hAnsi="宋体" w:eastAsia="仿宋_GB2312" w:cs="Times New Roman"/>
                <w:color w:val="000000"/>
                <w:kern w:val="2"/>
                <w:sz w:val="20"/>
                <w:szCs w:val="32"/>
                <w:lang w:val="en-US" w:eastAsia="zh-CN" w:bidi="ar-SA"/>
              </w:rPr>
            </w:pPr>
            <w:r>
              <w:rPr>
                <w:rFonts w:hint="eastAsia" w:ascii="宋体" w:hAnsi="宋体"/>
                <w:color w:val="000000"/>
                <w:sz w:val="20"/>
              </w:rPr>
              <w:t>15</w:t>
            </w:r>
          </w:p>
        </w:tc>
        <w:tc>
          <w:tcPr>
            <w:tcW w:w="6563" w:type="dxa"/>
            <w:vAlign w:val="center"/>
          </w:tcPr>
          <w:p>
            <w:pPr>
              <w:spacing w:beforeLines="0" w:afterLines="0"/>
              <w:jc w:val="center"/>
              <w:rPr>
                <w:rFonts w:hint="eastAsia" w:ascii="宋体" w:hAnsi="宋体" w:eastAsia="宋体" w:cs="宋体"/>
                <w:color w:val="000000"/>
                <w:kern w:val="2"/>
                <w:sz w:val="20"/>
                <w:szCs w:val="20"/>
                <w:lang w:val="en-US" w:eastAsia="zh-CN" w:bidi="ar-SA"/>
              </w:rPr>
            </w:pPr>
            <w:r>
              <w:rPr>
                <w:rFonts w:hint="eastAsia" w:ascii="宋体" w:hAnsi="宋体" w:eastAsia="宋体" w:cs="宋体"/>
                <w:color w:val="000000"/>
                <w:sz w:val="20"/>
                <w:szCs w:val="20"/>
              </w:rPr>
              <w:t>通过登记的住所或者经营场所无法联系企业</w:t>
            </w:r>
          </w:p>
        </w:tc>
        <w:tc>
          <w:tcPr>
            <w:tcW w:w="2651" w:type="dxa"/>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hAnsi="Times New Roman" w:eastAsia="仿宋_GB2312" w:cs="Times New Roman"/>
                <w:color w:val="000000"/>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spacing w:beforeLines="0" w:afterLines="0"/>
              <w:jc w:val="center"/>
              <w:rPr>
                <w:rFonts w:hint="default" w:ascii="仿宋_GB2312" w:hAnsi="Times New Roman" w:eastAsia="仿宋_GB2312" w:cs="Times New Roman"/>
                <w:color w:val="000000"/>
                <w:kern w:val="2"/>
                <w:sz w:val="32"/>
                <w:szCs w:val="32"/>
                <w:vertAlign w:val="baseline"/>
                <w:lang w:val="en-US" w:eastAsia="zh-CN" w:bidi="ar-SA"/>
              </w:rPr>
            </w:pPr>
            <w:r>
              <w:rPr>
                <w:rFonts w:hint="eastAsia" w:ascii="宋体" w:hAnsi="宋体" w:eastAsia="仿宋_GB2312"/>
                <w:color w:val="000000"/>
                <w:sz w:val="20"/>
                <w:lang w:val="en-US" w:eastAsia="zh-CN"/>
              </w:rPr>
              <w:t>577</w:t>
            </w:r>
          </w:p>
        </w:tc>
        <w:tc>
          <w:tcPr>
            <w:tcW w:w="3200" w:type="dxa"/>
            <w:vAlign w:val="center"/>
          </w:tcPr>
          <w:p>
            <w:pPr>
              <w:spacing w:beforeLines="0" w:afterLines="0"/>
              <w:jc w:val="center"/>
              <w:rPr>
                <w:rFonts w:hint="eastAsia" w:ascii="宋体" w:hAnsi="宋体" w:eastAsia="仿宋_GB2312" w:cs="Times New Roman"/>
                <w:color w:val="000000"/>
                <w:kern w:val="2"/>
                <w:sz w:val="20"/>
                <w:szCs w:val="32"/>
                <w:lang w:val="en-US" w:eastAsia="zh-CN" w:bidi="ar-SA"/>
              </w:rPr>
            </w:pPr>
            <w:r>
              <w:rPr>
                <w:rFonts w:hint="eastAsia" w:ascii="宋体" w:hAnsi="宋体"/>
                <w:color w:val="000000"/>
                <w:sz w:val="20"/>
              </w:rPr>
              <w:t>16</w:t>
            </w:r>
          </w:p>
        </w:tc>
        <w:tc>
          <w:tcPr>
            <w:tcW w:w="6563" w:type="dxa"/>
            <w:vAlign w:val="center"/>
          </w:tcPr>
          <w:p>
            <w:pPr>
              <w:spacing w:beforeLines="0" w:afterLines="0"/>
              <w:jc w:val="center"/>
              <w:rPr>
                <w:rFonts w:hint="eastAsia" w:ascii="宋体" w:hAnsi="宋体" w:eastAsia="宋体" w:cs="宋体"/>
                <w:color w:val="000000"/>
                <w:kern w:val="2"/>
                <w:sz w:val="20"/>
                <w:szCs w:val="20"/>
                <w:lang w:val="en-US" w:eastAsia="zh-CN" w:bidi="ar-SA"/>
              </w:rPr>
            </w:pPr>
            <w:r>
              <w:rPr>
                <w:rFonts w:hint="eastAsia" w:ascii="宋体" w:hAnsi="宋体" w:eastAsia="宋体" w:cs="宋体"/>
                <w:color w:val="000000"/>
                <w:sz w:val="20"/>
                <w:szCs w:val="20"/>
              </w:rPr>
              <w:t>企业不予配合工商部门对其为依法进行检查情节严重</w:t>
            </w:r>
          </w:p>
        </w:tc>
        <w:tc>
          <w:tcPr>
            <w:tcW w:w="2651" w:type="dxa"/>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hAnsi="Times New Roman" w:eastAsia="仿宋_GB2312" w:cs="Times New Roman"/>
                <w:color w:val="000000"/>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spacing w:beforeLines="0" w:afterLines="0"/>
              <w:jc w:val="center"/>
              <w:rPr>
                <w:rFonts w:hint="default" w:ascii="仿宋_GB2312" w:hAnsi="Times New Roman" w:eastAsia="仿宋_GB2312" w:cs="Times New Roman"/>
                <w:color w:val="000000"/>
                <w:kern w:val="2"/>
                <w:sz w:val="32"/>
                <w:szCs w:val="32"/>
                <w:vertAlign w:val="baseline"/>
                <w:lang w:val="en-US" w:eastAsia="zh-CN" w:bidi="ar-SA"/>
              </w:rPr>
            </w:pPr>
            <w:r>
              <w:rPr>
                <w:rFonts w:hint="eastAsia" w:ascii="宋体" w:hAnsi="宋体" w:eastAsia="仿宋_GB2312"/>
                <w:color w:val="000000"/>
                <w:sz w:val="20"/>
                <w:lang w:val="en-US" w:eastAsia="zh-CN"/>
              </w:rPr>
              <w:t>578</w:t>
            </w:r>
          </w:p>
        </w:tc>
        <w:tc>
          <w:tcPr>
            <w:tcW w:w="3200" w:type="dxa"/>
            <w:vAlign w:val="center"/>
          </w:tcPr>
          <w:p>
            <w:pPr>
              <w:spacing w:beforeLines="0" w:afterLines="0"/>
              <w:jc w:val="center"/>
              <w:rPr>
                <w:rFonts w:hint="eastAsia" w:ascii="宋体" w:hAnsi="宋体" w:eastAsia="仿宋_GB2312" w:cs="Times New Roman"/>
                <w:color w:val="000000"/>
                <w:kern w:val="2"/>
                <w:sz w:val="20"/>
                <w:szCs w:val="32"/>
                <w:lang w:val="en-US" w:eastAsia="zh-CN" w:bidi="ar-SA"/>
              </w:rPr>
            </w:pPr>
            <w:r>
              <w:rPr>
                <w:rFonts w:hint="eastAsia" w:ascii="宋体" w:hAnsi="宋体"/>
                <w:color w:val="000000"/>
                <w:sz w:val="20"/>
              </w:rPr>
              <w:t>17</w:t>
            </w:r>
          </w:p>
        </w:tc>
        <w:tc>
          <w:tcPr>
            <w:tcW w:w="6563" w:type="dxa"/>
            <w:vAlign w:val="center"/>
          </w:tcPr>
          <w:p>
            <w:pPr>
              <w:spacing w:beforeLines="0" w:afterLines="0"/>
              <w:jc w:val="center"/>
              <w:rPr>
                <w:rFonts w:hint="eastAsia" w:ascii="宋体" w:hAnsi="宋体" w:eastAsia="宋体" w:cs="宋体"/>
                <w:color w:val="000000"/>
                <w:kern w:val="2"/>
                <w:sz w:val="20"/>
                <w:szCs w:val="20"/>
                <w:lang w:val="en-US" w:eastAsia="zh-CN" w:bidi="ar-SA"/>
              </w:rPr>
            </w:pPr>
            <w:r>
              <w:rPr>
                <w:rFonts w:hint="eastAsia" w:ascii="宋体" w:hAnsi="宋体" w:eastAsia="宋体" w:cs="宋体"/>
                <w:color w:val="000000"/>
                <w:sz w:val="20"/>
                <w:szCs w:val="20"/>
              </w:rPr>
              <w:t>对特种设备生产、使用及其监督检查</w:t>
            </w:r>
          </w:p>
        </w:tc>
        <w:tc>
          <w:tcPr>
            <w:tcW w:w="2651" w:type="dxa"/>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hAnsi="Times New Roman" w:eastAsia="仿宋_GB2312" w:cs="Times New Roman"/>
                <w:color w:val="000000"/>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spacing w:beforeLines="0" w:afterLines="0"/>
              <w:jc w:val="center"/>
              <w:rPr>
                <w:rFonts w:hint="default" w:ascii="仿宋_GB2312" w:hAnsi="Times New Roman" w:eastAsia="仿宋_GB2312" w:cs="Times New Roman"/>
                <w:color w:val="000000"/>
                <w:kern w:val="2"/>
                <w:sz w:val="32"/>
                <w:szCs w:val="32"/>
                <w:vertAlign w:val="baseline"/>
                <w:lang w:val="en-US" w:eastAsia="zh-CN" w:bidi="ar-SA"/>
              </w:rPr>
            </w:pPr>
            <w:r>
              <w:rPr>
                <w:rFonts w:hint="eastAsia" w:ascii="宋体" w:hAnsi="宋体"/>
                <w:color w:val="000000"/>
                <w:sz w:val="20"/>
                <w:lang w:val="en-US" w:eastAsia="zh-CN"/>
              </w:rPr>
              <w:t>579</w:t>
            </w:r>
          </w:p>
        </w:tc>
        <w:tc>
          <w:tcPr>
            <w:tcW w:w="3200" w:type="dxa"/>
            <w:vAlign w:val="center"/>
          </w:tcPr>
          <w:p>
            <w:pPr>
              <w:spacing w:beforeLines="0" w:afterLines="0"/>
              <w:jc w:val="center"/>
              <w:rPr>
                <w:rFonts w:hint="eastAsia" w:ascii="宋体" w:hAnsi="宋体" w:eastAsia="仿宋_GB2312" w:cstheme="minorBidi"/>
                <w:color w:val="000000"/>
                <w:sz w:val="20"/>
                <w:szCs w:val="22"/>
                <w:lang w:val="en-US" w:eastAsia="zh-CN" w:bidi="ar-SA"/>
              </w:rPr>
            </w:pPr>
            <w:r>
              <w:rPr>
                <w:rFonts w:hint="eastAsia" w:ascii="宋体" w:hAnsi="宋体"/>
                <w:color w:val="000000"/>
                <w:sz w:val="20"/>
                <w:lang w:val="en-US" w:eastAsia="zh-CN"/>
              </w:rPr>
              <w:t>18</w:t>
            </w:r>
          </w:p>
        </w:tc>
        <w:tc>
          <w:tcPr>
            <w:tcW w:w="6563" w:type="dxa"/>
            <w:vAlign w:val="center"/>
          </w:tcPr>
          <w:p>
            <w:pPr>
              <w:spacing w:beforeLines="0" w:afterLines="0"/>
              <w:jc w:val="center"/>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rPr>
              <w:t>对价格行为的监督检查</w:t>
            </w:r>
          </w:p>
        </w:tc>
        <w:tc>
          <w:tcPr>
            <w:tcW w:w="2651" w:type="dxa"/>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hAnsi="Times New Roman" w:eastAsia="仿宋_GB2312" w:cs="Times New Roman"/>
                <w:color w:val="000000"/>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spacing w:line="600" w:lineRule="exact"/>
              <w:jc w:val="center"/>
              <w:rPr>
                <w:rFonts w:hint="eastAsia" w:ascii="仿宋_GB2312"/>
                <w:color w:val="000000"/>
              </w:rPr>
            </w:pPr>
          </w:p>
        </w:tc>
        <w:tc>
          <w:tcPr>
            <w:tcW w:w="3200" w:type="dxa"/>
            <w:vAlign w:val="center"/>
          </w:tcPr>
          <w:p>
            <w:pPr>
              <w:adjustRightInd/>
              <w:snapToGrid/>
              <w:spacing w:after="0" w:line="600" w:lineRule="exact"/>
              <w:jc w:val="center"/>
              <w:rPr>
                <w:rFonts w:hint="eastAsia" w:ascii="仿宋_GB2312" w:hAnsi="Tahoma" w:eastAsia="微软雅黑" w:cstheme="minorBidi"/>
                <w:sz w:val="22"/>
                <w:szCs w:val="22"/>
                <w:lang w:val="en-US" w:eastAsia="zh-CN" w:bidi="ar-SA"/>
              </w:rPr>
            </w:pPr>
            <w:r>
              <w:rPr>
                <w:rFonts w:hint="eastAsia" w:ascii="仿宋_GB2312"/>
                <w:lang w:eastAsia="zh-CN"/>
              </w:rPr>
              <w:t>七</w:t>
            </w:r>
            <w:r>
              <w:rPr>
                <w:rFonts w:hint="eastAsia" w:ascii="仿宋_GB2312"/>
              </w:rPr>
              <w:t>、行政</w:t>
            </w:r>
            <w:r>
              <w:rPr>
                <w:rFonts w:hint="eastAsia" w:ascii="仿宋_GB2312"/>
                <w:lang w:eastAsia="zh-CN"/>
              </w:rPr>
              <w:t>确认</w:t>
            </w:r>
          </w:p>
        </w:tc>
        <w:tc>
          <w:tcPr>
            <w:tcW w:w="6563" w:type="dxa"/>
            <w:vAlign w:val="center"/>
          </w:tcPr>
          <w:p>
            <w:pPr>
              <w:adjustRightInd/>
              <w:snapToGrid/>
              <w:spacing w:after="0" w:line="600" w:lineRule="exact"/>
              <w:jc w:val="center"/>
              <w:rPr>
                <w:rFonts w:hint="eastAsia" w:ascii="仿宋_GB2312" w:hAnsi="Tahoma" w:eastAsia="微软雅黑" w:cstheme="minorBidi"/>
                <w:b/>
                <w:bCs/>
                <w:sz w:val="22"/>
                <w:szCs w:val="22"/>
                <w:lang w:val="en-US" w:eastAsia="zh-CN" w:bidi="ar-SA"/>
              </w:rPr>
            </w:pPr>
            <w:r>
              <w:rPr>
                <w:rFonts w:hint="eastAsia" w:ascii="仿宋_GB2312"/>
              </w:rPr>
              <w:t>共</w:t>
            </w:r>
            <w:r>
              <w:rPr>
                <w:rFonts w:hint="eastAsia" w:ascii="仿宋_GB2312"/>
                <w:lang w:val="en-US" w:eastAsia="zh-CN"/>
              </w:rPr>
              <w:t>0</w:t>
            </w:r>
            <w:r>
              <w:rPr>
                <w:rFonts w:hint="eastAsia" w:ascii="仿宋_GB2312"/>
              </w:rPr>
              <w:t>项</w:t>
            </w:r>
          </w:p>
        </w:tc>
        <w:tc>
          <w:tcPr>
            <w:tcW w:w="2651" w:type="dxa"/>
            <w:vAlign w:val="center"/>
          </w:tcPr>
          <w:p>
            <w:pPr>
              <w:spacing w:line="600" w:lineRule="exact"/>
              <w:jc w:val="center"/>
              <w:rPr>
                <w:rFonts w:hint="eastAsia" w:ascii="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spacing w:line="600" w:lineRule="exact"/>
              <w:jc w:val="center"/>
              <w:rPr>
                <w:rFonts w:hint="eastAsia" w:ascii="仿宋_GB2312"/>
                <w:color w:val="000000"/>
              </w:rPr>
            </w:pPr>
          </w:p>
        </w:tc>
        <w:tc>
          <w:tcPr>
            <w:tcW w:w="3200" w:type="dxa"/>
            <w:vAlign w:val="center"/>
          </w:tcPr>
          <w:p>
            <w:pPr>
              <w:adjustRightInd/>
              <w:snapToGrid/>
              <w:spacing w:after="0" w:line="600" w:lineRule="exact"/>
              <w:jc w:val="center"/>
              <w:rPr>
                <w:rFonts w:hint="eastAsia" w:ascii="仿宋_GB2312" w:hAnsi="Tahoma" w:eastAsia="微软雅黑" w:cstheme="minorBidi"/>
                <w:sz w:val="22"/>
                <w:szCs w:val="22"/>
                <w:lang w:val="en-US" w:eastAsia="zh-CN" w:bidi="ar-SA"/>
              </w:rPr>
            </w:pPr>
            <w:r>
              <w:rPr>
                <w:rFonts w:hint="eastAsia" w:ascii="仿宋_GB2312"/>
                <w:lang w:eastAsia="zh-CN"/>
              </w:rPr>
              <w:t>八</w:t>
            </w:r>
            <w:r>
              <w:rPr>
                <w:rFonts w:hint="eastAsia" w:ascii="仿宋_GB2312"/>
              </w:rPr>
              <w:t>、行政</w:t>
            </w:r>
            <w:r>
              <w:rPr>
                <w:rFonts w:hint="eastAsia" w:ascii="仿宋_GB2312"/>
                <w:lang w:eastAsia="zh-CN"/>
              </w:rPr>
              <w:t>奖励</w:t>
            </w:r>
          </w:p>
        </w:tc>
        <w:tc>
          <w:tcPr>
            <w:tcW w:w="6563" w:type="dxa"/>
            <w:vAlign w:val="center"/>
          </w:tcPr>
          <w:p>
            <w:pPr>
              <w:adjustRightInd/>
              <w:snapToGrid/>
              <w:spacing w:after="0" w:line="600" w:lineRule="exact"/>
              <w:jc w:val="center"/>
              <w:rPr>
                <w:rFonts w:hint="eastAsia" w:ascii="仿宋_GB2312" w:hAnsi="Tahoma" w:eastAsia="微软雅黑" w:cstheme="minorBidi"/>
                <w:b/>
                <w:bCs/>
                <w:sz w:val="22"/>
                <w:szCs w:val="22"/>
                <w:lang w:val="en-US" w:eastAsia="zh-CN" w:bidi="ar-SA"/>
              </w:rPr>
            </w:pPr>
            <w:r>
              <w:rPr>
                <w:rFonts w:hint="eastAsia" w:ascii="仿宋_GB2312"/>
              </w:rPr>
              <w:t>共</w:t>
            </w:r>
            <w:r>
              <w:rPr>
                <w:rFonts w:hint="eastAsia" w:ascii="仿宋_GB2312"/>
                <w:lang w:val="en-US" w:eastAsia="zh-CN"/>
              </w:rPr>
              <w:t>0</w:t>
            </w:r>
            <w:r>
              <w:rPr>
                <w:rFonts w:hint="eastAsia" w:ascii="仿宋_GB2312"/>
              </w:rPr>
              <w:t>项</w:t>
            </w:r>
          </w:p>
        </w:tc>
        <w:tc>
          <w:tcPr>
            <w:tcW w:w="2651" w:type="dxa"/>
            <w:vAlign w:val="center"/>
          </w:tcPr>
          <w:p>
            <w:pPr>
              <w:spacing w:line="600" w:lineRule="exact"/>
              <w:jc w:val="center"/>
              <w:rPr>
                <w:rFonts w:hint="eastAsia" w:ascii="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spacing w:line="600" w:lineRule="exact"/>
              <w:jc w:val="center"/>
              <w:rPr>
                <w:rFonts w:hint="eastAsia" w:ascii="仿宋_GB2312"/>
                <w:color w:val="000000"/>
              </w:rPr>
            </w:pPr>
          </w:p>
        </w:tc>
        <w:tc>
          <w:tcPr>
            <w:tcW w:w="3200" w:type="dxa"/>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hAnsi="Times New Roman" w:eastAsia="仿宋_GB2312" w:cs="Times New Roman"/>
                <w:color w:val="000000"/>
                <w:kern w:val="2"/>
                <w:sz w:val="32"/>
                <w:szCs w:val="32"/>
                <w:vertAlign w:val="baseline"/>
                <w:lang w:val="en-US" w:eastAsia="zh-CN" w:bidi="ar-SA"/>
              </w:rPr>
            </w:pPr>
            <w:r>
              <w:rPr>
                <w:rFonts w:hint="eastAsia" w:ascii="仿宋_GB2312"/>
                <w:color w:val="000000"/>
                <w:lang w:val="en-US" w:eastAsia="zh-CN"/>
              </w:rPr>
              <w:t>九</w:t>
            </w:r>
            <w:r>
              <w:rPr>
                <w:rFonts w:hint="eastAsia" w:ascii="仿宋_GB2312"/>
                <w:color w:val="000000"/>
                <w:lang w:eastAsia="zh-CN"/>
              </w:rPr>
              <w:t>、行政裁决</w:t>
            </w:r>
          </w:p>
        </w:tc>
        <w:tc>
          <w:tcPr>
            <w:tcW w:w="6563" w:type="dxa"/>
            <w:vAlign w:val="center"/>
          </w:tcPr>
          <w:p>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宋体" w:hAnsi="宋体" w:eastAsia="宋体" w:cs="宋体"/>
                <w:color w:val="000000"/>
                <w:kern w:val="2"/>
                <w:sz w:val="20"/>
                <w:szCs w:val="20"/>
                <w:vertAlign w:val="baseline"/>
                <w:lang w:val="en-US" w:eastAsia="zh-CN" w:bidi="ar-SA"/>
              </w:rPr>
            </w:pPr>
            <w:r>
              <w:rPr>
                <w:rFonts w:hint="eastAsia" w:ascii="宋体" w:hAnsi="宋体" w:eastAsia="宋体" w:cs="宋体"/>
                <w:color w:val="000000"/>
                <w:sz w:val="20"/>
                <w:szCs w:val="20"/>
                <w:vertAlign w:val="baseline"/>
                <w:lang w:val="en-US" w:eastAsia="zh-CN"/>
              </w:rPr>
              <w:t>共0项</w:t>
            </w:r>
          </w:p>
        </w:tc>
        <w:tc>
          <w:tcPr>
            <w:tcW w:w="2651" w:type="dxa"/>
            <w:vAlign w:val="center"/>
          </w:tcPr>
          <w:p>
            <w:pPr>
              <w:spacing w:line="600" w:lineRule="exact"/>
              <w:jc w:val="center"/>
              <w:rPr>
                <w:rFonts w:hint="eastAsia" w:ascii="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2" w:type="dxa"/>
            <w:vAlign w:val="center"/>
          </w:tcPr>
          <w:p>
            <w:pPr>
              <w:spacing w:line="600" w:lineRule="exact"/>
              <w:jc w:val="center"/>
              <w:rPr>
                <w:rFonts w:hint="eastAsia" w:ascii="仿宋_GB2312"/>
                <w:color w:val="000000"/>
              </w:rPr>
            </w:pPr>
          </w:p>
        </w:tc>
        <w:tc>
          <w:tcPr>
            <w:tcW w:w="3200" w:type="dxa"/>
            <w:vAlign w:val="center"/>
          </w:tcPr>
          <w:p>
            <w:pPr>
              <w:adjustRightInd/>
              <w:snapToGrid/>
              <w:spacing w:after="0" w:line="600" w:lineRule="exact"/>
              <w:jc w:val="center"/>
              <w:rPr>
                <w:rFonts w:hint="eastAsia" w:ascii="仿宋_GB2312" w:hAnsi="Tahoma" w:eastAsia="微软雅黑" w:cstheme="minorBidi"/>
                <w:sz w:val="22"/>
                <w:szCs w:val="22"/>
                <w:lang w:val="en-US" w:eastAsia="zh-CN" w:bidi="ar-SA"/>
              </w:rPr>
            </w:pPr>
            <w:r>
              <w:rPr>
                <w:rFonts w:hint="eastAsia" w:ascii="仿宋_GB2312"/>
                <w:lang w:eastAsia="zh-CN"/>
              </w:rPr>
              <w:t>十</w:t>
            </w:r>
            <w:r>
              <w:rPr>
                <w:rFonts w:hint="eastAsia" w:ascii="仿宋_GB2312"/>
              </w:rPr>
              <w:t>、</w:t>
            </w:r>
            <w:r>
              <w:rPr>
                <w:rFonts w:hint="eastAsia" w:ascii="仿宋_GB2312"/>
                <w:lang w:eastAsia="zh-CN"/>
              </w:rPr>
              <w:t>其他类</w:t>
            </w:r>
          </w:p>
        </w:tc>
        <w:tc>
          <w:tcPr>
            <w:tcW w:w="6563" w:type="dxa"/>
            <w:vAlign w:val="center"/>
          </w:tcPr>
          <w:p>
            <w:pPr>
              <w:adjustRightInd/>
              <w:snapToGrid/>
              <w:spacing w:after="0" w:line="600" w:lineRule="exact"/>
              <w:jc w:val="center"/>
              <w:rPr>
                <w:rFonts w:hint="eastAsia" w:ascii="仿宋_GB2312" w:hAnsi="Tahoma" w:eastAsia="微软雅黑" w:cstheme="minorBidi"/>
                <w:b/>
                <w:bCs/>
                <w:sz w:val="22"/>
                <w:szCs w:val="22"/>
                <w:lang w:val="en-US" w:eastAsia="zh-CN" w:bidi="ar-SA"/>
              </w:rPr>
            </w:pPr>
            <w:r>
              <w:rPr>
                <w:rFonts w:hint="eastAsia" w:ascii="仿宋_GB2312"/>
              </w:rPr>
              <w:t>共</w:t>
            </w:r>
            <w:r>
              <w:rPr>
                <w:rFonts w:hint="eastAsia" w:ascii="仿宋_GB2312"/>
                <w:lang w:val="en-US" w:eastAsia="zh-CN"/>
              </w:rPr>
              <w:t>0</w:t>
            </w:r>
            <w:r>
              <w:rPr>
                <w:rFonts w:hint="eastAsia" w:ascii="仿宋_GB2312"/>
              </w:rPr>
              <w:t>项</w:t>
            </w:r>
          </w:p>
        </w:tc>
        <w:tc>
          <w:tcPr>
            <w:tcW w:w="2651" w:type="dxa"/>
            <w:vAlign w:val="center"/>
          </w:tcPr>
          <w:p>
            <w:pPr>
              <w:spacing w:line="600" w:lineRule="exact"/>
              <w:jc w:val="center"/>
              <w:rPr>
                <w:rFonts w:hint="eastAsia" w:ascii="仿宋_GB2312"/>
                <w:color w:val="000000"/>
              </w:rPr>
            </w:pPr>
          </w:p>
        </w:tc>
      </w:tr>
    </w:tbl>
    <w:p>
      <w:pPr>
        <w:spacing w:line="600" w:lineRule="exact"/>
        <w:rPr>
          <w:rFonts w:hint="eastAsia" w:ascii="黑体" w:hAnsi="黑体" w:eastAsia="黑体"/>
        </w:rPr>
      </w:pPr>
    </w:p>
    <w:p>
      <w:pPr>
        <w:spacing w:line="220" w:lineRule="atLeast"/>
      </w:pPr>
    </w:p>
    <w:p>
      <w:pPr>
        <w:spacing w:line="220" w:lineRule="atLeast"/>
      </w:pPr>
    </w:p>
    <w:sectPr>
      <w:pgSz w:w="16838" w:h="11906" w:orient="landscape"/>
      <w:pgMar w:top="1800" w:right="1440" w:bottom="180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Setting w:name="compatibilityMode" w:uri="http://schemas.microsoft.com/office/word" w:val="12"/>
  </w:compat>
  <w:docVars>
    <w:docVar w:name="commondata" w:val="eyJoZGlkIjoiYzIxMGQ3NzQ4Y2EzMzExN2VkMzUwYzI2YWYxNGZlMTcifQ=="/>
  </w:docVars>
  <w:rsids>
    <w:rsidRoot w:val="00D31D50"/>
    <w:rsid w:val="001421CF"/>
    <w:rsid w:val="0032330E"/>
    <w:rsid w:val="00323B43"/>
    <w:rsid w:val="003D37D8"/>
    <w:rsid w:val="00426133"/>
    <w:rsid w:val="004358AB"/>
    <w:rsid w:val="0064314F"/>
    <w:rsid w:val="006E3C78"/>
    <w:rsid w:val="00706E3F"/>
    <w:rsid w:val="008345BF"/>
    <w:rsid w:val="008B7726"/>
    <w:rsid w:val="00915808"/>
    <w:rsid w:val="00980EE9"/>
    <w:rsid w:val="00BF2737"/>
    <w:rsid w:val="00D31D50"/>
    <w:rsid w:val="00EE086D"/>
    <w:rsid w:val="0A9719E1"/>
    <w:rsid w:val="19522E79"/>
    <w:rsid w:val="2B0E4A15"/>
    <w:rsid w:val="2C414F4C"/>
    <w:rsid w:val="2E973CB6"/>
    <w:rsid w:val="33C670FD"/>
    <w:rsid w:val="37215DBF"/>
    <w:rsid w:val="43662434"/>
    <w:rsid w:val="5AB53516"/>
    <w:rsid w:val="5D054407"/>
    <w:rsid w:val="6D7A1788"/>
    <w:rsid w:val="7A960FFF"/>
    <w:rsid w:val="7C5476DB"/>
    <w:rsid w:val="7C8D546C"/>
    <w:rsid w:val="7E816C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微软雅黑"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paragraph" w:styleId="2">
    <w:name w:val="heading 3"/>
    <w:basedOn w:val="1"/>
    <w:next w:val="1"/>
    <w:link w:val="14"/>
    <w:qFormat/>
    <w:uiPriority w:val="0"/>
    <w:pPr>
      <w:widowControl w:val="0"/>
      <w:adjustRightInd/>
      <w:snapToGrid/>
      <w:spacing w:before="100" w:beforeAutospacing="1" w:after="100" w:afterAutospacing="1"/>
      <w:outlineLvl w:val="2"/>
    </w:pPr>
    <w:rPr>
      <w:rFonts w:hint="eastAsia" w:ascii="宋体" w:hAnsi="宋体" w:eastAsia="宋体" w:cs="Times New Roman"/>
      <w:b/>
      <w:sz w:val="27"/>
      <w:szCs w:val="27"/>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13"/>
    <w:unhideWhenUsed/>
    <w:qFormat/>
    <w:uiPriority w:val="0"/>
    <w:pPr>
      <w:tabs>
        <w:tab w:val="center" w:pos="4153"/>
        <w:tab w:val="right" w:pos="8306"/>
      </w:tabs>
    </w:pPr>
    <w:rPr>
      <w:sz w:val="18"/>
      <w:szCs w:val="18"/>
    </w:rPr>
  </w:style>
  <w:style w:type="paragraph" w:styleId="4">
    <w:name w:val="header"/>
    <w:basedOn w:val="1"/>
    <w:link w:val="12"/>
    <w:unhideWhenUsed/>
    <w:qFormat/>
    <w:uiPriority w:val="0"/>
    <w:pPr>
      <w:pBdr>
        <w:bottom w:val="single" w:color="auto" w:sz="6" w:space="1"/>
      </w:pBdr>
      <w:tabs>
        <w:tab w:val="center" w:pos="4153"/>
        <w:tab w:val="right" w:pos="8306"/>
      </w:tabs>
      <w:jc w:val="center"/>
    </w:pPr>
    <w:rPr>
      <w:sz w:val="18"/>
      <w:szCs w:val="18"/>
    </w:rPr>
  </w:style>
  <w:style w:type="paragraph" w:styleId="5">
    <w:name w:val="Normal (Web)"/>
    <w:basedOn w:val="1"/>
    <w:autoRedefine/>
    <w:qFormat/>
    <w:uiPriority w:val="0"/>
    <w:pPr>
      <w:widowControl w:val="0"/>
      <w:adjustRightInd/>
      <w:snapToGrid/>
      <w:spacing w:before="100" w:beforeAutospacing="1" w:after="100" w:afterAutospacing="1"/>
    </w:pPr>
    <w:rPr>
      <w:rFonts w:ascii="Times New Roman" w:hAnsi="Times New Roman" w:eastAsia="仿宋_GB2312" w:cs="Times New Roman"/>
      <w:sz w:val="24"/>
      <w:szCs w:val="32"/>
    </w:rPr>
  </w:style>
  <w:style w:type="character" w:styleId="8">
    <w:name w:val="Strong"/>
    <w:basedOn w:val="7"/>
    <w:qFormat/>
    <w:uiPriority w:val="0"/>
    <w:rPr>
      <w:b/>
    </w:rPr>
  </w:style>
  <w:style w:type="character" w:styleId="9">
    <w:name w:val="page number"/>
    <w:basedOn w:val="7"/>
    <w:autoRedefine/>
    <w:qFormat/>
    <w:uiPriority w:val="0"/>
  </w:style>
  <w:style w:type="character" w:styleId="10">
    <w:name w:val="FollowedHyperlink"/>
    <w:basedOn w:val="7"/>
    <w:qFormat/>
    <w:uiPriority w:val="0"/>
    <w:rPr>
      <w:color w:val="000000"/>
      <w:u w:val="none"/>
    </w:rPr>
  </w:style>
  <w:style w:type="character" w:styleId="11">
    <w:name w:val="Hyperlink"/>
    <w:basedOn w:val="7"/>
    <w:qFormat/>
    <w:uiPriority w:val="0"/>
    <w:rPr>
      <w:color w:val="000000"/>
      <w:u w:val="none"/>
    </w:rPr>
  </w:style>
  <w:style w:type="character" w:customStyle="1" w:styleId="12">
    <w:name w:val="页眉 Char"/>
    <w:basedOn w:val="7"/>
    <w:link w:val="4"/>
    <w:qFormat/>
    <w:uiPriority w:val="0"/>
    <w:rPr>
      <w:rFonts w:ascii="Tahoma" w:hAnsi="Tahoma"/>
      <w:sz w:val="18"/>
      <w:szCs w:val="18"/>
    </w:rPr>
  </w:style>
  <w:style w:type="character" w:customStyle="1" w:styleId="13">
    <w:name w:val="页脚 Char"/>
    <w:basedOn w:val="7"/>
    <w:link w:val="3"/>
    <w:autoRedefine/>
    <w:qFormat/>
    <w:uiPriority w:val="0"/>
    <w:rPr>
      <w:rFonts w:ascii="Tahoma" w:hAnsi="Tahoma"/>
      <w:sz w:val="18"/>
      <w:szCs w:val="18"/>
    </w:rPr>
  </w:style>
  <w:style w:type="character" w:customStyle="1" w:styleId="14">
    <w:name w:val="标题 3 Char"/>
    <w:basedOn w:val="7"/>
    <w:link w:val="2"/>
    <w:autoRedefine/>
    <w:qFormat/>
    <w:uiPriority w:val="0"/>
    <w:rPr>
      <w:rFonts w:ascii="宋体" w:hAnsi="宋体" w:eastAsia="宋体" w:cs="Times New Roman"/>
      <w:b/>
      <w:sz w:val="27"/>
      <w:szCs w:val="27"/>
    </w:rPr>
  </w:style>
  <w:style w:type="character" w:customStyle="1" w:styleId="15">
    <w:name w:val="font01"/>
    <w:basedOn w:val="7"/>
    <w:qFormat/>
    <w:uiPriority w:val="0"/>
    <w:rPr>
      <w:rFonts w:hint="eastAsia" w:ascii="宋体" w:hAnsi="宋体" w:eastAsia="宋体" w:cs="宋体"/>
      <w:color w:val="000000"/>
      <w:sz w:val="24"/>
      <w:szCs w:val="24"/>
      <w:u w:val="none"/>
    </w:rPr>
  </w:style>
  <w:style w:type="paragraph" w:customStyle="1" w:styleId="16">
    <w:name w:val=" Char"/>
    <w:basedOn w:val="1"/>
    <w:qFormat/>
    <w:uiPriority w:val="0"/>
    <w:pPr>
      <w:widowControl w:val="0"/>
      <w:adjustRightInd/>
      <w:spacing w:afterLines="50" w:line="360" w:lineRule="auto"/>
      <w:ind w:firstLine="480" w:firstLineChars="200"/>
      <w:jc w:val="both"/>
    </w:pPr>
    <w:rPr>
      <w:rFonts w:ascii="Times New Roman" w:hAnsi="Times New Roman" w:eastAsia="仿宋_GB2312" w:cs="Times New Roman"/>
      <w:kern w:val="2"/>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81</Pages>
  <Words>5019</Words>
  <Characters>28610</Characters>
  <Lines>238</Lines>
  <Paragraphs>67</Paragraphs>
  <TotalTime>2</TotalTime>
  <ScaleCrop>false</ScaleCrop>
  <LinksUpToDate>false</LinksUpToDate>
  <CharactersWithSpaces>33562</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Administrator</dc:creator>
  <cp:lastModifiedBy>pipihu</cp:lastModifiedBy>
  <dcterms:modified xsi:type="dcterms:W3CDTF">2024-01-25T06:45:35Z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2CDA0A4743E44E6A8362B5EE9F31AC9C</vt:lpwstr>
  </property>
</Properties>
</file>