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9C4EB">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宋体" w:hAnsi="宋体" w:eastAsia="宋体" w:cs="宋体"/>
          <w:b/>
          <w:color w:val="333333"/>
          <w:sz w:val="44"/>
          <w:szCs w:val="44"/>
          <w:shd w:val="clear" w:color="auto" w:fill="FFFFFF"/>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涞源县2025年政府信息公开工作年度报告</w:t>
      </w:r>
    </w:p>
    <w:p w14:paraId="79A18DA4">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60" w:lineRule="exact"/>
        <w:ind w:firstLine="522" w:firstLineChars="200"/>
        <w:jc w:val="both"/>
        <w:textAlignment w:val="auto"/>
        <w:rPr>
          <w:rFonts w:hint="eastAsia"/>
          <w:b/>
          <w:color w:val="333333"/>
          <w:sz w:val="26"/>
          <w:szCs w:val="26"/>
          <w:shd w:val="clear" w:color="auto" w:fill="FFFFFF"/>
        </w:rPr>
      </w:pPr>
    </w:p>
    <w:p w14:paraId="16B38E4E">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b/>
          <w:color w:val="auto"/>
          <w:sz w:val="32"/>
          <w:szCs w:val="32"/>
          <w:shd w:val="clear" w:color="auto" w:fill="FFFFFF"/>
        </w:rPr>
      </w:pPr>
      <w:r>
        <w:rPr>
          <w:rFonts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5</w:t>
      </w:r>
      <w:r>
        <w:rPr>
          <w:rFonts w:ascii="仿宋_GB2312" w:hAnsi="宋体" w:eastAsia="仿宋_GB2312" w:cs="仿宋_GB2312"/>
          <w:i w:val="0"/>
          <w:iCs w:val="0"/>
          <w:caps w:val="0"/>
          <w:color w:val="auto"/>
          <w:spacing w:val="0"/>
          <w:sz w:val="32"/>
          <w:szCs w:val="32"/>
          <w:shd w:val="clear" w:fill="FFFFFF"/>
        </w:rPr>
        <w:t>年，在</w:t>
      </w:r>
      <w:r>
        <w:rPr>
          <w:rFonts w:hint="eastAsia" w:ascii="仿宋_GB2312" w:eastAsia="仿宋_GB2312" w:cs="仿宋_GB2312"/>
          <w:i w:val="0"/>
          <w:iCs w:val="0"/>
          <w:caps w:val="0"/>
          <w:color w:val="auto"/>
          <w:spacing w:val="0"/>
          <w:sz w:val="32"/>
          <w:szCs w:val="32"/>
          <w:shd w:val="clear" w:fill="FFFFFF"/>
          <w:lang w:val="en-US" w:eastAsia="zh-CN"/>
        </w:rPr>
        <w:t>市委、市</w:t>
      </w:r>
      <w:r>
        <w:rPr>
          <w:rFonts w:ascii="仿宋_GB2312" w:hAnsi="宋体" w:eastAsia="仿宋_GB2312" w:cs="仿宋_GB2312"/>
          <w:i w:val="0"/>
          <w:iCs w:val="0"/>
          <w:caps w:val="0"/>
          <w:color w:val="auto"/>
          <w:spacing w:val="0"/>
          <w:sz w:val="32"/>
          <w:szCs w:val="32"/>
          <w:shd w:val="clear" w:fill="FFFFFF"/>
        </w:rPr>
        <w:t>政府</w:t>
      </w:r>
      <w:r>
        <w:rPr>
          <w:rFonts w:hint="eastAsia" w:ascii="仿宋_GB2312" w:eastAsia="仿宋_GB2312" w:cs="仿宋_GB2312"/>
          <w:i w:val="0"/>
          <w:iCs w:val="0"/>
          <w:caps w:val="0"/>
          <w:color w:val="auto"/>
          <w:spacing w:val="0"/>
          <w:sz w:val="32"/>
          <w:szCs w:val="32"/>
          <w:shd w:val="clear" w:fill="FFFFFF"/>
          <w:lang w:val="en-US" w:eastAsia="zh-CN"/>
        </w:rPr>
        <w:t>和</w:t>
      </w:r>
      <w:r>
        <w:rPr>
          <w:rFonts w:ascii="仿宋_GB2312" w:hAnsi="宋体" w:eastAsia="仿宋_GB2312" w:cs="仿宋_GB2312"/>
          <w:i w:val="0"/>
          <w:iCs w:val="0"/>
          <w:caps w:val="0"/>
          <w:color w:val="auto"/>
          <w:spacing w:val="0"/>
          <w:sz w:val="32"/>
          <w:szCs w:val="32"/>
          <w:shd w:val="clear" w:fill="FFFFFF"/>
        </w:rPr>
        <w:t>县</w:t>
      </w:r>
      <w:r>
        <w:rPr>
          <w:rFonts w:hint="eastAsia" w:ascii="仿宋_GB2312" w:eastAsia="仿宋_GB2312" w:cs="仿宋_GB2312"/>
          <w:i w:val="0"/>
          <w:iCs w:val="0"/>
          <w:caps w:val="0"/>
          <w:color w:val="auto"/>
          <w:spacing w:val="0"/>
          <w:sz w:val="32"/>
          <w:szCs w:val="32"/>
          <w:shd w:val="clear" w:fill="FFFFFF"/>
          <w:lang w:val="en-US" w:eastAsia="zh-CN"/>
        </w:rPr>
        <w:t>委</w:t>
      </w:r>
      <w:r>
        <w:rPr>
          <w:rFonts w:ascii="仿宋_GB2312" w:hAnsi="宋体" w:eastAsia="仿宋_GB2312" w:cs="仿宋_GB2312"/>
          <w:i w:val="0"/>
          <w:iCs w:val="0"/>
          <w:caps w:val="0"/>
          <w:color w:val="auto"/>
          <w:spacing w:val="0"/>
          <w:sz w:val="32"/>
          <w:szCs w:val="32"/>
          <w:shd w:val="clear" w:fill="FFFFFF"/>
        </w:rPr>
        <w:t>的正确领导下，按照《中华人民共和国政府信息公开条例》规定，严格贯彻落实</w:t>
      </w:r>
      <w:r>
        <w:rPr>
          <w:rFonts w:hint="eastAsia" w:ascii="仿宋_GB2312" w:eastAsia="仿宋_GB2312" w:cs="仿宋_GB2312"/>
          <w:i w:val="0"/>
          <w:iCs w:val="0"/>
          <w:caps w:val="0"/>
          <w:color w:val="auto"/>
          <w:spacing w:val="0"/>
          <w:sz w:val="32"/>
          <w:szCs w:val="32"/>
          <w:shd w:val="clear" w:fill="FFFFFF"/>
          <w:lang w:val="en-US" w:eastAsia="zh-CN"/>
        </w:rPr>
        <w:t>国家、省、市各项</w:t>
      </w:r>
      <w:r>
        <w:rPr>
          <w:rFonts w:ascii="仿宋_GB2312" w:hAnsi="宋体" w:eastAsia="仿宋_GB2312" w:cs="仿宋_GB2312"/>
          <w:i w:val="0"/>
          <w:iCs w:val="0"/>
          <w:caps w:val="0"/>
          <w:color w:val="auto"/>
          <w:spacing w:val="0"/>
          <w:sz w:val="32"/>
          <w:szCs w:val="32"/>
          <w:shd w:val="clear" w:fill="FFFFFF"/>
        </w:rPr>
        <w:t>文件要求，涞源县全面推进政务公开各项工作，不断完善政务公开制度</w:t>
      </w:r>
      <w:r>
        <w:rPr>
          <w:rFonts w:hint="eastAsia" w:ascii="仿宋_GB2312" w:eastAsia="仿宋_GB2312" w:cs="仿宋_GB2312"/>
          <w:i w:val="0"/>
          <w:iCs w:val="0"/>
          <w:caps w:val="0"/>
          <w:color w:val="auto"/>
          <w:spacing w:val="0"/>
          <w:sz w:val="32"/>
          <w:szCs w:val="32"/>
          <w:shd w:val="clear" w:fill="FFFFFF"/>
          <w:lang w:eastAsia="zh-CN"/>
        </w:rPr>
        <w:t>，</w:t>
      </w:r>
      <w:r>
        <w:rPr>
          <w:rFonts w:ascii="仿宋_GB2312" w:hAnsi="宋体" w:eastAsia="仿宋_GB2312" w:cs="仿宋_GB2312"/>
          <w:i w:val="0"/>
          <w:iCs w:val="0"/>
          <w:caps w:val="0"/>
          <w:color w:val="auto"/>
          <w:spacing w:val="0"/>
          <w:sz w:val="32"/>
          <w:szCs w:val="32"/>
          <w:shd w:val="clear" w:fill="FFFFFF"/>
        </w:rPr>
        <w:t>建立健全政府信息公开保障机制。同时，进一步加强政府门户网站建设，统筹推进政府微博、政府微信公众平台等新媒体建设，着力提升信息公开质量，信息公开工作取得了一定成效。</w:t>
      </w:r>
    </w:p>
    <w:p w14:paraId="30BDE29E">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一、总体情况</w:t>
      </w:r>
    </w:p>
    <w:p w14:paraId="04E006F7">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5</w:t>
      </w:r>
      <w:r>
        <w:rPr>
          <w:rFonts w:hint="eastAsia" w:ascii="仿宋_GB2312" w:hAnsi="宋体" w:eastAsia="仿宋_GB2312" w:cs="仿宋_GB2312"/>
          <w:i w:val="0"/>
          <w:iCs w:val="0"/>
          <w:caps w:val="0"/>
          <w:color w:val="auto"/>
          <w:spacing w:val="0"/>
          <w:sz w:val="32"/>
          <w:szCs w:val="32"/>
          <w:shd w:val="clear" w:fill="FFFFFF"/>
          <w:lang w:val="en-US" w:eastAsia="zh-CN"/>
        </w:rPr>
        <w:t>年，全县各乡镇、县直各部门严格按照《中华人民共和国政府信息公开条例》（以下简称《条例》）和国家、省、市有关要求，围绕各分管领域相关工作，持续加大主动公开政府信息力度，信息公开的内容更加充实、质量不断提高，公民、法人和其他组织获取政府信息的渠道得到不断扩展。</w:t>
      </w:r>
    </w:p>
    <w:p w14:paraId="24D04EE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（一）主动公开政府信息</w:t>
      </w:r>
    </w:p>
    <w:p w14:paraId="32B39260">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5</w:t>
      </w:r>
      <w:r>
        <w:rPr>
          <w:rFonts w:hint="eastAsia" w:ascii="仿宋_GB2312" w:hAnsi="宋体" w:eastAsia="仿宋_GB2312" w:cs="仿宋_GB2312"/>
          <w:i w:val="0"/>
          <w:iCs w:val="0"/>
          <w:caps w:val="0"/>
          <w:color w:val="auto"/>
          <w:spacing w:val="0"/>
          <w:sz w:val="32"/>
          <w:szCs w:val="32"/>
          <w:shd w:val="clear" w:fill="FFFFFF"/>
          <w:lang w:val="en-US" w:eastAsia="zh-CN"/>
        </w:rPr>
        <w:t>年，全县各部门、各乡镇按照规定抓重点促深化，持续推进重点领域信息公开的广度和深度，强化</w:t>
      </w:r>
      <w:r>
        <w:rPr>
          <w:rFonts w:hint="eastAsia" w:ascii="仿宋_GB2312" w:eastAsia="仿宋_GB2312" w:cs="仿宋_GB2312"/>
          <w:i w:val="0"/>
          <w:iCs w:val="0"/>
          <w:caps w:val="0"/>
          <w:color w:val="auto"/>
          <w:spacing w:val="0"/>
          <w:sz w:val="32"/>
          <w:szCs w:val="32"/>
          <w:shd w:val="clear" w:fill="FFFFFF"/>
          <w:lang w:val="en-US" w:eastAsia="zh-CN"/>
        </w:rPr>
        <w:t>了</w:t>
      </w:r>
      <w:r>
        <w:rPr>
          <w:rFonts w:hint="eastAsia" w:ascii="仿宋_GB2312" w:hAnsi="宋体" w:eastAsia="仿宋_GB2312" w:cs="仿宋_GB2312"/>
          <w:i w:val="0"/>
          <w:iCs w:val="0"/>
          <w:caps w:val="0"/>
          <w:color w:val="auto"/>
          <w:spacing w:val="0"/>
          <w:sz w:val="32"/>
          <w:szCs w:val="32"/>
          <w:shd w:val="clear" w:fill="FFFFFF"/>
          <w:lang w:val="en-US" w:eastAsia="zh-CN"/>
        </w:rPr>
        <w:t>对重大决策信息、权责清单、政策解读，各类规划信息、市场管理信息、财政信息、重大建设项目、公共资源配置等方面的公开力度。</w:t>
      </w:r>
      <w:r>
        <w:rPr>
          <w:rFonts w:hint="eastAsia" w:ascii="仿宋_GB2312" w:hAnsi="仿宋_GB2312" w:eastAsia="仿宋_GB2312" w:cs="仿宋_GB2312"/>
          <w:color w:val="000000"/>
          <w:spacing w:val="0"/>
          <w:w w:val="100"/>
          <w:position w:val="0"/>
          <w:sz w:val="32"/>
          <w:szCs w:val="32"/>
          <w:lang w:val="en-US" w:eastAsia="zh-CN"/>
        </w:rPr>
        <w:t>严格贯彻落实国家、省市2025年政务公开工作要求，</w:t>
      </w:r>
      <w:r>
        <w:rPr>
          <w:rFonts w:hint="default" w:ascii="仿宋_GB2312" w:hAnsi="仿宋_GB2312" w:eastAsia="仿宋_GB2312" w:cs="仿宋_GB2312"/>
          <w:sz w:val="32"/>
          <w:szCs w:val="32"/>
          <w:lang w:val="en-US" w:eastAsia="zh-CN"/>
        </w:rPr>
        <w:t>政务信息报送机制</w:t>
      </w:r>
      <w:r>
        <w:rPr>
          <w:rFonts w:hint="eastAsia" w:ascii="仿宋_GB2312" w:hAnsi="仿宋_GB2312" w:eastAsia="仿宋_GB2312" w:cs="仿宋_GB2312"/>
          <w:sz w:val="32"/>
          <w:szCs w:val="32"/>
          <w:lang w:val="en-US" w:eastAsia="zh-CN"/>
        </w:rPr>
        <w:t>持续</w:t>
      </w:r>
      <w:r>
        <w:rPr>
          <w:rFonts w:hint="default" w:ascii="仿宋_GB2312" w:hAnsi="仿宋_GB2312" w:eastAsia="仿宋_GB2312" w:cs="仿宋_GB2312"/>
          <w:sz w:val="32"/>
          <w:szCs w:val="32"/>
          <w:lang w:val="en-US" w:eastAsia="zh-CN"/>
        </w:rPr>
        <w:t>优化。</w:t>
      </w:r>
      <w:r>
        <w:rPr>
          <w:rFonts w:hint="eastAsia" w:ascii="仿宋_GB2312" w:hAnsi="仿宋_GB2312" w:eastAsia="仿宋_GB2312" w:cs="仿宋_GB2312"/>
          <w:color w:val="000000"/>
          <w:spacing w:val="0"/>
          <w:w w:val="100"/>
          <w:position w:val="0"/>
          <w:sz w:val="32"/>
          <w:szCs w:val="32"/>
          <w:lang w:val="en-US" w:eastAsia="zh-CN"/>
        </w:rPr>
        <w:t>在政府门户网站开设了“涉企行政执法公示”“优化营商环境”等专栏，对学习宣传习近平总书记系列重要讲话及批示指示、党的二十大精神和党的二十届四中全会精神及时跟进发布，</w:t>
      </w:r>
      <w:r>
        <w:rPr>
          <w:rFonts w:hint="eastAsia" w:ascii="仿宋_GB2312" w:hAnsi="宋体" w:eastAsia="仿宋_GB2312" w:cs="仿宋_GB2312"/>
          <w:i w:val="0"/>
          <w:iCs w:val="0"/>
          <w:caps w:val="0"/>
          <w:color w:val="auto"/>
          <w:spacing w:val="0"/>
          <w:sz w:val="32"/>
          <w:szCs w:val="32"/>
          <w:shd w:val="clear" w:fill="FFFFFF"/>
        </w:rPr>
        <w:t>截至目前，向保定市政府网站主动提供县域信息224余篇（短篇要情类117篇，长篇调研类46篇，国办约稿类61篇），被市《政务信息》采用42篇，组织各乡镇、各部门在涞源政府信息公开平台主动公开政府信息1900余条，在县政府门户网站公开各类政府信息500余条，利用涞源政府微博、涞源微讯推送各类信息</w:t>
      </w:r>
      <w:r>
        <w:rPr>
          <w:rFonts w:hint="eastAsia" w:ascii="仿宋_GB2312" w:eastAsia="仿宋_GB2312" w:cs="仿宋_GB2312"/>
          <w:i w:val="0"/>
          <w:iCs w:val="0"/>
          <w:caps w:val="0"/>
          <w:color w:val="auto"/>
          <w:spacing w:val="0"/>
          <w:sz w:val="32"/>
          <w:szCs w:val="32"/>
          <w:shd w:val="clear" w:fill="FFFFFF"/>
          <w:lang w:val="en-US" w:eastAsia="zh-CN"/>
        </w:rPr>
        <w:t>800</w:t>
      </w:r>
      <w:r>
        <w:rPr>
          <w:rFonts w:hint="eastAsia" w:ascii="仿宋_GB2312" w:hAnsi="宋体" w:eastAsia="仿宋_GB2312" w:cs="仿宋_GB2312"/>
          <w:i w:val="0"/>
          <w:iCs w:val="0"/>
          <w:caps w:val="0"/>
          <w:color w:val="auto"/>
          <w:spacing w:val="0"/>
          <w:sz w:val="32"/>
          <w:szCs w:val="32"/>
          <w:shd w:val="clear" w:fill="FFFFFF"/>
        </w:rPr>
        <w:t>余条，图片</w:t>
      </w:r>
      <w:r>
        <w:rPr>
          <w:rFonts w:hint="eastAsia" w:ascii="仿宋_GB2312" w:eastAsia="仿宋_GB2312" w:cs="仿宋_GB2312"/>
          <w:i w:val="0"/>
          <w:iCs w:val="0"/>
          <w:caps w:val="0"/>
          <w:color w:val="auto"/>
          <w:spacing w:val="0"/>
          <w:sz w:val="32"/>
          <w:szCs w:val="32"/>
          <w:shd w:val="clear" w:fill="FFFFFF"/>
          <w:lang w:val="en-US" w:eastAsia="zh-CN"/>
        </w:rPr>
        <w:t>400</w:t>
      </w:r>
      <w:r>
        <w:rPr>
          <w:rFonts w:hint="eastAsia" w:ascii="仿宋_GB2312" w:hAnsi="宋体" w:eastAsia="仿宋_GB2312" w:cs="仿宋_GB2312"/>
          <w:i w:val="0"/>
          <w:iCs w:val="0"/>
          <w:caps w:val="0"/>
          <w:color w:val="auto"/>
          <w:spacing w:val="0"/>
          <w:sz w:val="32"/>
          <w:szCs w:val="32"/>
          <w:shd w:val="clear" w:fill="FFFFFF"/>
        </w:rPr>
        <w:t>余幅，信息工作整体较往年有了进一步提升。</w:t>
      </w:r>
    </w:p>
    <w:p w14:paraId="110B53A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（二）依申请公开情况及行政复议</w:t>
      </w:r>
    </w:p>
    <w:p w14:paraId="2207EB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w:t>
      </w:r>
      <w:r>
        <w:rPr>
          <w:rFonts w:hint="eastAsia" w:hAnsi="宋体" w:cs="仿宋_GB2312"/>
          <w:i w:val="0"/>
          <w:iCs w:val="0"/>
          <w:caps w:val="0"/>
          <w:color w:val="auto"/>
          <w:spacing w:val="0"/>
          <w:kern w:val="0"/>
          <w:sz w:val="32"/>
          <w:szCs w:val="32"/>
          <w:shd w:val="clear" w:fill="FFFFFF"/>
          <w:lang w:val="en-US" w:eastAsia="zh-CN" w:bidi="ar-SA"/>
        </w:rPr>
        <w:t>政府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信息公开条例》，建立完善了公开制度，明确了依申请公开的受理机构和受理流程，具备了按规定程序受理、审核、处理和答复依申请公开政府信息能力。202</w:t>
      </w:r>
      <w:r>
        <w:rPr>
          <w:rFonts w:hint="eastAsia" w:hAnsi="宋体" w:cs="仿宋_GB2312"/>
          <w:i w:val="0"/>
          <w:iCs w:val="0"/>
          <w:caps w:val="0"/>
          <w:color w:val="auto"/>
          <w:spacing w:val="0"/>
          <w:kern w:val="0"/>
          <w:sz w:val="32"/>
          <w:szCs w:val="32"/>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年，接到依申请公开事项</w:t>
      </w:r>
      <w:r>
        <w:rPr>
          <w:rFonts w:hint="eastAsia" w:hAnsi="宋体" w:cs="仿宋_GB2312"/>
          <w:i w:val="0"/>
          <w:iCs w:val="0"/>
          <w:caps w:val="0"/>
          <w:color w:val="auto"/>
          <w:spacing w:val="0"/>
          <w:kern w:val="0"/>
          <w:sz w:val="32"/>
          <w:szCs w:val="32"/>
          <w:shd w:val="clear" w:fill="FFFFFF"/>
          <w:lang w:val="en-US" w:eastAsia="zh-CN" w:bidi="ar-SA"/>
        </w:rPr>
        <w:t>17</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项，并在第一时间严格按照有关规定和法律程序向申请人进行了合理答复。</w:t>
      </w:r>
    </w:p>
    <w:p w14:paraId="73C29D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highlight w:val="none"/>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highlight w:val="none"/>
          <w:shd w:val="clear" w:fill="FFFFFF"/>
          <w:lang w:val="en-US" w:eastAsia="zh-CN" w:bidi="ar-SA"/>
        </w:rPr>
        <w:t>202</w:t>
      </w:r>
      <w:r>
        <w:rPr>
          <w:rFonts w:hint="eastAsia" w:hAnsi="宋体" w:cs="仿宋_GB2312"/>
          <w:i w:val="0"/>
          <w:iCs w:val="0"/>
          <w:caps w:val="0"/>
          <w:color w:val="auto"/>
          <w:spacing w:val="0"/>
          <w:kern w:val="0"/>
          <w:sz w:val="32"/>
          <w:szCs w:val="32"/>
          <w:highlight w:val="none"/>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highlight w:val="none"/>
          <w:shd w:val="clear" w:fill="FFFFFF"/>
          <w:lang w:val="en-US" w:eastAsia="zh-CN" w:bidi="ar-SA"/>
        </w:rPr>
        <w:t>年，全县针对政府信息公开事务的行政复议申请</w:t>
      </w:r>
      <w:r>
        <w:rPr>
          <w:rFonts w:hint="eastAsia" w:hAnsi="宋体" w:cs="仿宋_GB2312"/>
          <w:i w:val="0"/>
          <w:iCs w:val="0"/>
          <w:caps w:val="0"/>
          <w:color w:val="auto"/>
          <w:spacing w:val="0"/>
          <w:kern w:val="0"/>
          <w:sz w:val="32"/>
          <w:szCs w:val="32"/>
          <w:highlight w:val="none"/>
          <w:shd w:val="clear" w:fill="FFFFFF"/>
          <w:lang w:val="en-US" w:eastAsia="zh-CN" w:bidi="ar-SA"/>
        </w:rPr>
        <w:t>7起，已全部办结。</w:t>
      </w:r>
    </w:p>
    <w:p w14:paraId="5DF0EFE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（三）政府信息管理方面</w:t>
      </w:r>
    </w:p>
    <w:p w14:paraId="126DE4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w:t>
      </w:r>
      <w:r>
        <w:rPr>
          <w:rFonts w:hint="eastAsia" w:ascii="仿宋_GB2312" w:eastAsia="仿宋_GB2312" w:cs="仿宋_GB2312"/>
          <w:i w:val="0"/>
          <w:iCs w:val="0"/>
          <w:caps w:val="0"/>
          <w:color w:val="auto"/>
          <w:spacing w:val="0"/>
          <w:kern w:val="0"/>
          <w:sz w:val="32"/>
          <w:szCs w:val="32"/>
          <w:shd w:val="clear" w:fill="FFFFFF"/>
          <w:lang w:val="en-US" w:eastAsia="zh-CN" w:bidi="ar-SA"/>
        </w:rPr>
        <w:t>、三审三校</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以及考核和责任追究等制度，建立健全信息公开保障机制。各乡镇和各部门严格依照《条例》和《中华人民共和国保</w:t>
      </w:r>
      <w:r>
        <w:rPr>
          <w:rFonts w:hint="eastAsia" w:ascii="仿宋_GB2312" w:eastAsia="仿宋_GB2312" w:cs="仿宋_GB2312"/>
          <w:i w:val="0"/>
          <w:iCs w:val="0"/>
          <w:caps w:val="0"/>
          <w:color w:val="auto"/>
          <w:spacing w:val="0"/>
          <w:kern w:val="0"/>
          <w:sz w:val="32"/>
          <w:szCs w:val="32"/>
          <w:shd w:val="clear" w:fill="FFFFFF"/>
          <w:lang w:val="en-US" w:eastAsia="zh-CN" w:bidi="ar-SA"/>
        </w:rPr>
        <w:t>守国家秘</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密法</w:t>
      </w:r>
      <w:r>
        <w:rPr>
          <w:rFonts w:hint="eastAsia" w:ascii="仿宋_GB2312" w:eastAsia="仿宋_GB2312" w:cs="仿宋_GB2312"/>
          <w:i w:val="0"/>
          <w:iCs w:val="0"/>
          <w:caps w:val="0"/>
          <w:color w:val="auto"/>
          <w:spacing w:val="0"/>
          <w:kern w:val="0"/>
          <w:sz w:val="32"/>
          <w:szCs w:val="32"/>
          <w:shd w:val="clear" w:fill="FFFFFF"/>
          <w:lang w:val="en-US" w:eastAsia="zh-CN" w:bidi="ar-SA"/>
        </w:rPr>
        <w:t>》等</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有关规定，完善政府信息主动公开工作流程，使信息及时、准确、规范上传，保证了政务公开工作扎实高效开展。</w:t>
      </w:r>
    </w:p>
    <w:p w14:paraId="6F88F14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（四）政府信息公开平台建设方面</w:t>
      </w:r>
    </w:p>
    <w:p w14:paraId="3F8301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持续加强政府门户网站和信息公开平台的建设和管理力度，凡属于需要社会公众广泛知晓的政府信息，都在第一时间在网站发布和更新。严格按照国家、省、市有关要求，</w:t>
      </w:r>
      <w:r>
        <w:rPr>
          <w:rFonts w:hint="eastAsia" w:ascii="仿宋_GB2312" w:eastAsia="仿宋_GB2312" w:cs="仿宋_GB2312"/>
          <w:i w:val="0"/>
          <w:iCs w:val="0"/>
          <w:caps w:val="0"/>
          <w:color w:val="auto"/>
          <w:spacing w:val="0"/>
          <w:kern w:val="0"/>
          <w:sz w:val="32"/>
          <w:szCs w:val="32"/>
          <w:shd w:val="clear" w:fill="FFFFFF"/>
          <w:lang w:val="en-US" w:eastAsia="zh-CN" w:bidi="ar-SA"/>
        </w:rPr>
        <w:t>已实现</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政府网站IPV6</w:t>
      </w:r>
      <w:r>
        <w:rPr>
          <w:rFonts w:hint="eastAsia" w:ascii="仿宋_GB2312" w:eastAsia="仿宋_GB2312" w:cs="仿宋_GB2312"/>
          <w:i w:val="0"/>
          <w:iCs w:val="0"/>
          <w:caps w:val="0"/>
          <w:color w:val="auto"/>
          <w:spacing w:val="0"/>
          <w:kern w:val="0"/>
          <w:sz w:val="32"/>
          <w:szCs w:val="32"/>
          <w:shd w:val="clear" w:fill="FFFFFF"/>
          <w:lang w:val="en-US" w:eastAsia="zh-CN" w:bidi="ar-SA"/>
        </w:rPr>
        <w:t>全覆盖</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。按照《中华人民共和国政府信息公开条例》《保定市202</w:t>
      </w:r>
      <w:r>
        <w:rPr>
          <w:rFonts w:hint="eastAsia" w:ascii="仿宋_GB2312" w:eastAsia="仿宋_GB2312" w:cs="仿宋_GB2312"/>
          <w:i w:val="0"/>
          <w:iCs w:val="0"/>
          <w:caps w:val="0"/>
          <w:color w:val="auto"/>
          <w:spacing w:val="0"/>
          <w:kern w:val="0"/>
          <w:sz w:val="32"/>
          <w:szCs w:val="32"/>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年政务公开工作要点》有关要求，对照《202</w:t>
      </w:r>
      <w:r>
        <w:rPr>
          <w:rFonts w:hint="eastAsia" w:ascii="仿宋_GB2312" w:eastAsia="仿宋_GB2312" w:cs="仿宋_GB2312"/>
          <w:i w:val="0"/>
          <w:iCs w:val="0"/>
          <w:caps w:val="0"/>
          <w:color w:val="auto"/>
          <w:spacing w:val="0"/>
          <w:kern w:val="0"/>
          <w:sz w:val="32"/>
          <w:szCs w:val="32"/>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w:t>
      </w:r>
      <w:r>
        <w:rPr>
          <w:rFonts w:hint="eastAsia" w:ascii="仿宋_GB2312" w:eastAsia="仿宋_GB2312" w:cs="仿宋_GB2312"/>
          <w:i w:val="0"/>
          <w:iCs w:val="0"/>
          <w:caps w:val="0"/>
          <w:color w:val="auto"/>
          <w:spacing w:val="0"/>
          <w:kern w:val="0"/>
          <w:sz w:val="32"/>
          <w:szCs w:val="32"/>
          <w:shd w:val="clear" w:fill="FFFFFF"/>
          <w:lang w:val="en-US" w:eastAsia="zh-CN" w:bidi="ar-SA"/>
        </w:rPr>
        <w:t>工作考核</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指标》持续推进各乡镇、各部门严格主动公开、依申请公开、政策解读、舆情回应、新媒体建设等方面的工作。严把公开内容和项目关，加强内容审核、保证及时更新，对网站和政务新媒体定期开展读网自查，做到发现问题及时整改。</w:t>
      </w:r>
    </w:p>
    <w:p w14:paraId="0A62D9B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（五）监督保障方面</w:t>
      </w:r>
    </w:p>
    <w:p w14:paraId="3D9EDC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坚持全县政务公开工作“一盘棋”，协调解决工作中的各类问题，形成分工明确、统筹协作、共同推进的工作局面，对重视不够、工作不力、问题解决不彻底的单位和个人，提醒约谈、督察督办、严肃问责。同时，重点提升政策解读质量，坚持“谁牵头起草、谁负责解读”，解决解读形式单一、摘抄文件、罗列小标题应付式解读等突出问题，持续推进政策解读工作标准化、规范化、多样化。严格问题督促整改，坚持将政务公开工作列入目标绩效考核指标，坚持日常读网巡网，运用“软件扫描+人工读网”方式，严格落实信息发布三审三校，常态化开展涉密审查、隐私排查和敏感字词排查。</w:t>
      </w:r>
    </w:p>
    <w:p w14:paraId="72D48529">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宋体"/>
          <w:color w:val="000000"/>
          <w:kern w:val="0"/>
          <w:sz w:val="32"/>
          <w:szCs w:val="32"/>
        </w:rPr>
      </w:pPr>
      <w:r>
        <w:rPr>
          <w:rFonts w:hint="eastAsia" w:ascii="黑体" w:hAnsi="黑体" w:eastAsia="黑体" w:cs="黑体"/>
          <w:b/>
          <w:color w:val="333333"/>
          <w:sz w:val="32"/>
          <w:szCs w:val="32"/>
          <w:shd w:val="clear" w:color="auto" w:fill="FFFFFF"/>
          <w:lang w:val="en-US" w:eastAsia="zh-CN"/>
        </w:rPr>
        <w:t>二、</w:t>
      </w:r>
      <w:r>
        <w:rPr>
          <w:rFonts w:hint="eastAsia" w:ascii="黑体" w:hAnsi="黑体" w:eastAsia="黑体" w:cs="黑体"/>
          <w:b/>
          <w:color w:val="333333"/>
          <w:sz w:val="32"/>
          <w:szCs w:val="32"/>
          <w:shd w:val="clear" w:color="auto" w:fill="FFFFFF"/>
        </w:rPr>
        <w:t>主动公开政府信息情况</w:t>
      </w: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2435"/>
        <w:gridCol w:w="2435"/>
        <w:gridCol w:w="2435"/>
        <w:gridCol w:w="2435"/>
      </w:tblGrid>
      <w:tr w14:paraId="6DF7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noWrap w:val="0"/>
            <w:tcMar>
              <w:top w:w="0" w:type="dxa"/>
              <w:left w:w="57" w:type="dxa"/>
              <w:bottom w:w="0" w:type="dxa"/>
              <w:right w:w="57" w:type="dxa"/>
            </w:tcMar>
            <w:vAlign w:val="center"/>
          </w:tcPr>
          <w:p w14:paraId="279AE2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第二十条第（一）项</w:t>
            </w:r>
          </w:p>
        </w:tc>
      </w:tr>
      <w:tr w14:paraId="7151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48F101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41838BC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5045C0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0A65BC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14:paraId="758DF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1006140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00A7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0</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AB58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0</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13C703A">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0</w:t>
            </w:r>
          </w:p>
        </w:tc>
      </w:tr>
      <w:tr w14:paraId="5FCCA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424B55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4936F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3</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83B30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0</w:t>
            </w:r>
          </w:p>
        </w:tc>
        <w:tc>
          <w:tcPr>
            <w:tcW w:w="2435"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D9F37A">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w:t>
            </w:r>
          </w:p>
        </w:tc>
      </w:tr>
      <w:tr w14:paraId="0A66F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noWrap w:val="0"/>
            <w:tcMar>
              <w:top w:w="0" w:type="dxa"/>
              <w:left w:w="57" w:type="dxa"/>
              <w:bottom w:w="0" w:type="dxa"/>
              <w:right w:w="57" w:type="dxa"/>
            </w:tcMar>
            <w:vAlign w:val="center"/>
          </w:tcPr>
          <w:p w14:paraId="73A07B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第二十条第（五）项</w:t>
            </w:r>
          </w:p>
        </w:tc>
      </w:tr>
      <w:tr w14:paraId="02788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2F9997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55754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本年处理决定数量</w:t>
            </w:r>
          </w:p>
        </w:tc>
      </w:tr>
      <w:tr w14:paraId="6BC5E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6ABCCE0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6B0B911">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9087</w:t>
            </w:r>
          </w:p>
        </w:tc>
      </w:tr>
      <w:tr w14:paraId="0FEE8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noWrap w:val="0"/>
            <w:tcMar>
              <w:top w:w="0" w:type="dxa"/>
              <w:left w:w="57" w:type="dxa"/>
              <w:bottom w:w="0" w:type="dxa"/>
              <w:right w:w="57" w:type="dxa"/>
            </w:tcMar>
            <w:vAlign w:val="center"/>
          </w:tcPr>
          <w:p w14:paraId="3AA51F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第二十条第（六）项</w:t>
            </w:r>
          </w:p>
        </w:tc>
      </w:tr>
      <w:tr w14:paraId="1BE23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7A46577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5D2C5C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pPr>
            <w:r>
              <w:rPr>
                <w:rFonts w:hint="eastAsia" w:ascii="宋体" w:hAnsi="宋体" w:eastAsia="宋体" w:cs="宋体"/>
                <w:color w:val="000000"/>
                <w:kern w:val="0"/>
                <w:sz w:val="20"/>
                <w:szCs w:val="20"/>
                <w:lang w:val="en-US" w:eastAsia="zh-CN" w:bidi="ar"/>
              </w:rPr>
              <w:t>本年处理决定数量</w:t>
            </w:r>
          </w:p>
        </w:tc>
      </w:tr>
      <w:tr w14:paraId="43399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2E6D1F7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33557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lang w:val="en-US"/>
              </w:rPr>
            </w:pPr>
            <w:r>
              <w:rPr>
                <w:rFonts w:hint="eastAsia" w:ascii="宋体"/>
                <w:sz w:val="24"/>
                <w:szCs w:val="24"/>
                <w:lang w:val="en-US" w:eastAsia="zh-CN"/>
              </w:rPr>
              <w:t>960</w:t>
            </w:r>
          </w:p>
        </w:tc>
      </w:tr>
      <w:tr w14:paraId="73038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005199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68BC8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eastAsia="仿宋_GB2312"/>
                <w:lang w:val="en-US" w:eastAsia="zh-CN"/>
              </w:rPr>
            </w:pPr>
            <w:r>
              <w:rPr>
                <w:rFonts w:hint="eastAsia" w:ascii="宋体"/>
                <w:sz w:val="24"/>
                <w:szCs w:val="24"/>
                <w:lang w:val="en-US" w:eastAsia="zh-CN"/>
              </w:rPr>
              <w:t>524</w:t>
            </w:r>
          </w:p>
        </w:tc>
      </w:tr>
      <w:tr w14:paraId="53510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noWrap w:val="0"/>
            <w:tcMar>
              <w:top w:w="0" w:type="dxa"/>
              <w:left w:w="57" w:type="dxa"/>
              <w:bottom w:w="0" w:type="dxa"/>
              <w:right w:w="57" w:type="dxa"/>
            </w:tcMar>
            <w:vAlign w:val="center"/>
          </w:tcPr>
          <w:p w14:paraId="3A2FB6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第二十条第（八）项</w:t>
            </w:r>
          </w:p>
        </w:tc>
      </w:tr>
      <w:tr w14:paraId="52CD2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2FCF04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noWrap w:val="0"/>
            <w:tcMar>
              <w:top w:w="0" w:type="dxa"/>
              <w:left w:w="57" w:type="dxa"/>
              <w:bottom w:w="0" w:type="dxa"/>
              <w:right w:w="57" w:type="dxa"/>
            </w:tcMar>
            <w:vAlign w:val="center"/>
          </w:tcPr>
          <w:p w14:paraId="6ABCFAA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本年收费金额（单位：万元）</w:t>
            </w:r>
          </w:p>
        </w:tc>
      </w:tr>
      <w:tr w14:paraId="1317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5587460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noWrap w:val="0"/>
            <w:tcMar>
              <w:top w:w="0" w:type="dxa"/>
              <w:left w:w="57" w:type="dxa"/>
              <w:bottom w:w="0" w:type="dxa"/>
              <w:right w:w="57" w:type="dxa"/>
            </w:tcMar>
            <w:vAlign w:val="center"/>
          </w:tcPr>
          <w:p w14:paraId="310CB935">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620</w:t>
            </w:r>
          </w:p>
        </w:tc>
      </w:tr>
    </w:tbl>
    <w:p w14:paraId="66CE6350">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640" w:firstLineChars="200"/>
        <w:textAlignment w:val="auto"/>
        <w:rPr>
          <w:rFonts w:ascii="黑体" w:hAnsi="黑体" w:eastAsia="黑体" w:cs="宋体"/>
          <w:color w:val="000000"/>
          <w:kern w:val="0"/>
          <w:sz w:val="32"/>
          <w:szCs w:val="32"/>
        </w:rPr>
      </w:pPr>
    </w:p>
    <w:p w14:paraId="689D7F11">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640" w:firstLineChars="200"/>
        <w:textAlignment w:val="auto"/>
        <w:rPr>
          <w:rFonts w:ascii="黑体" w:hAnsi="黑体" w:eastAsia="黑体" w:cs="宋体"/>
          <w:color w:val="000000"/>
          <w:kern w:val="0"/>
          <w:sz w:val="32"/>
          <w:szCs w:val="32"/>
          <w:highlight w:val="none"/>
        </w:rPr>
      </w:pPr>
      <w:r>
        <w:rPr>
          <w:rFonts w:ascii="黑体" w:hAnsi="黑体" w:eastAsia="黑体" w:cs="宋体"/>
          <w:color w:val="000000"/>
          <w:kern w:val="0"/>
          <w:sz w:val="32"/>
          <w:szCs w:val="32"/>
          <w:highlight w:val="none"/>
        </w:rPr>
        <w:t>三、收到和处理政府信息公开申请情况</w:t>
      </w: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6"/>
        <w:gridCol w:w="941"/>
        <w:gridCol w:w="3210"/>
        <w:gridCol w:w="698"/>
        <w:gridCol w:w="687"/>
        <w:gridCol w:w="687"/>
        <w:gridCol w:w="687"/>
        <w:gridCol w:w="687"/>
        <w:gridCol w:w="687"/>
        <w:gridCol w:w="698"/>
      </w:tblGrid>
      <w:tr w14:paraId="4BE690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vMerge w:val="restart"/>
            <w:tcBorders>
              <w:top w:val="single" w:color="auto" w:sz="8" w:space="0"/>
              <w:left w:val="single" w:color="auto" w:sz="8" w:space="0"/>
              <w:bottom w:val="outset" w:color="auto" w:sz="8" w:space="0"/>
              <w:right w:val="single" w:color="auto" w:sz="8" w:space="0"/>
            </w:tcBorders>
            <w:noWrap w:val="0"/>
            <w:tcMar>
              <w:top w:w="0" w:type="dxa"/>
              <w:left w:w="108" w:type="dxa"/>
              <w:bottom w:w="0" w:type="dxa"/>
              <w:right w:w="108" w:type="dxa"/>
            </w:tcMar>
            <w:vAlign w:val="center"/>
          </w:tcPr>
          <w:p w14:paraId="0C1E48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楷体" w:hAnsi="楷体" w:eastAsia="楷体" w:cs="楷体"/>
                <w:kern w:val="0"/>
                <w:sz w:val="20"/>
                <w:szCs w:val="20"/>
                <w:lang w:val="en-US" w:eastAsia="zh-CN" w:bidi="ar"/>
              </w:rPr>
              <w:t>（本列数据的勾稽关系为：第一项加第二项之和，等于第三项加第四项之和）</w:t>
            </w:r>
          </w:p>
        </w:tc>
        <w:tc>
          <w:tcPr>
            <w:tcW w:w="4831" w:type="dxa"/>
            <w:gridSpan w:val="7"/>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0AC5C1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申请人情况</w:t>
            </w:r>
          </w:p>
        </w:tc>
      </w:tr>
      <w:tr w14:paraId="473CD9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vMerge w:val="continue"/>
            <w:tcBorders>
              <w:top w:val="single" w:color="auto" w:sz="8" w:space="0"/>
              <w:left w:val="single" w:color="auto" w:sz="8" w:space="0"/>
              <w:bottom w:val="outset" w:color="auto" w:sz="8" w:space="0"/>
              <w:right w:val="single" w:color="auto" w:sz="8" w:space="0"/>
            </w:tcBorders>
            <w:noWrap w:val="0"/>
            <w:tcMar>
              <w:top w:w="0" w:type="dxa"/>
              <w:left w:w="108" w:type="dxa"/>
              <w:bottom w:w="0" w:type="dxa"/>
              <w:right w:w="108" w:type="dxa"/>
            </w:tcMar>
            <w:vAlign w:val="center"/>
          </w:tcPr>
          <w:p w14:paraId="25E21E42">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698" w:type="dxa"/>
            <w:vMerge w:val="restart"/>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6FDCC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自然人</w:t>
            </w:r>
          </w:p>
        </w:tc>
        <w:tc>
          <w:tcPr>
            <w:tcW w:w="3435" w:type="dxa"/>
            <w:gridSpan w:val="5"/>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533F3D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法人或其他组织</w:t>
            </w:r>
          </w:p>
        </w:tc>
        <w:tc>
          <w:tcPr>
            <w:tcW w:w="698" w:type="dxa"/>
            <w:vMerge w:val="restart"/>
            <w:tcBorders>
              <w:top w:val="single" w:color="auto" w:sz="8" w:space="0"/>
              <w:left w:val="nil"/>
              <w:bottom w:val="outset" w:color="auto" w:sz="8" w:space="0"/>
              <w:right w:val="single" w:color="auto" w:sz="8" w:space="0"/>
            </w:tcBorders>
            <w:noWrap w:val="0"/>
            <w:tcMar>
              <w:top w:w="0" w:type="dxa"/>
              <w:left w:w="57" w:type="dxa"/>
              <w:bottom w:w="0" w:type="dxa"/>
              <w:right w:w="57" w:type="dxa"/>
            </w:tcMar>
            <w:vAlign w:val="center"/>
          </w:tcPr>
          <w:p w14:paraId="1EDAC9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总计</w:t>
            </w:r>
          </w:p>
        </w:tc>
      </w:tr>
      <w:tr w14:paraId="2CB7DE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vMerge w:val="continue"/>
            <w:tcBorders>
              <w:top w:val="single" w:color="auto" w:sz="8" w:space="0"/>
              <w:left w:val="single" w:color="auto" w:sz="8" w:space="0"/>
              <w:bottom w:val="outset" w:color="auto" w:sz="8" w:space="0"/>
              <w:right w:val="single" w:color="auto" w:sz="8" w:space="0"/>
            </w:tcBorders>
            <w:noWrap w:val="0"/>
            <w:tcMar>
              <w:top w:w="0" w:type="dxa"/>
              <w:left w:w="108" w:type="dxa"/>
              <w:bottom w:w="0" w:type="dxa"/>
              <w:right w:w="108" w:type="dxa"/>
            </w:tcMar>
            <w:vAlign w:val="center"/>
          </w:tcPr>
          <w:p w14:paraId="48E9E57E">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698" w:type="dxa"/>
            <w:vMerge w:val="continue"/>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A8247F9">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3871D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商业</w:t>
            </w:r>
          </w:p>
          <w:p w14:paraId="559A75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企业</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DD5D8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科研</w:t>
            </w:r>
          </w:p>
          <w:p w14:paraId="0C4EDB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机构</w:t>
            </w:r>
          </w:p>
        </w:tc>
        <w:tc>
          <w:tcPr>
            <w:tcW w:w="687"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7D1CBA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社会公益组织</w:t>
            </w:r>
          </w:p>
        </w:tc>
        <w:tc>
          <w:tcPr>
            <w:tcW w:w="687"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2961F73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法律服务机构</w:t>
            </w:r>
          </w:p>
        </w:tc>
        <w:tc>
          <w:tcPr>
            <w:tcW w:w="687"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624695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center"/>
              <w:textAlignment w:val="auto"/>
            </w:pPr>
            <w:r>
              <w:rPr>
                <w:rFonts w:hint="eastAsia" w:ascii="宋体" w:hAnsi="宋体" w:eastAsia="宋体" w:cs="宋体"/>
                <w:kern w:val="0"/>
                <w:sz w:val="20"/>
                <w:szCs w:val="20"/>
                <w:lang w:val="en-US" w:eastAsia="zh-CN" w:bidi="ar"/>
              </w:rPr>
              <w:t>其他</w:t>
            </w:r>
          </w:p>
        </w:tc>
        <w:tc>
          <w:tcPr>
            <w:tcW w:w="698" w:type="dxa"/>
            <w:vMerge w:val="continue"/>
            <w:tcBorders>
              <w:top w:val="single" w:color="auto" w:sz="8" w:space="0"/>
              <w:left w:val="nil"/>
              <w:bottom w:val="outset" w:color="auto" w:sz="8" w:space="0"/>
              <w:right w:val="single" w:color="auto" w:sz="8" w:space="0"/>
            </w:tcBorders>
            <w:noWrap w:val="0"/>
            <w:tcMar>
              <w:top w:w="0" w:type="dxa"/>
              <w:left w:w="57" w:type="dxa"/>
              <w:bottom w:w="0" w:type="dxa"/>
              <w:right w:w="57" w:type="dxa"/>
            </w:tcMar>
            <w:vAlign w:val="center"/>
          </w:tcPr>
          <w:p w14:paraId="655A3ECF">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r>
      <w:tr w14:paraId="099A36C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5086D3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一、本年新收政府信息公开申请数量</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25564E4">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12</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F2465C5">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5</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5CF5A1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26FFF76">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DA8D2BB">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23B419F">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717C4B1">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17</w:t>
            </w:r>
          </w:p>
        </w:tc>
      </w:tr>
      <w:tr w14:paraId="6BF3B0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77EC85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二、上年结转政府信息公开申请数量</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6DF32B">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47BA62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C16B5B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91430E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497D77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EA825F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0F7D67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r>
      <w:tr w14:paraId="76EE7B1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restart"/>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005805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三、本年度办理结果</w:t>
            </w:r>
          </w:p>
        </w:tc>
        <w:tc>
          <w:tcPr>
            <w:tcW w:w="4151" w:type="dxa"/>
            <w:gridSpan w:val="2"/>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F6DE6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（一）予以公开</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6FE32B8">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3013CC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5</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B98D7D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B5BB2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41938E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8C83ED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98"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3E34FC34">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15</w:t>
            </w:r>
          </w:p>
        </w:tc>
      </w:tr>
      <w:tr w14:paraId="73BD21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541B28B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4151" w:type="dxa"/>
            <w:gridSpan w:val="2"/>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B0D528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3BCCE17">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60BAE1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DDF4A5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6547B1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638CB0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71B289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54B2C02">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1</w:t>
            </w:r>
          </w:p>
        </w:tc>
      </w:tr>
      <w:tr w14:paraId="6D9838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3AB9FDE3">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restart"/>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4A0C67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（三）不予公开</w:t>
            </w: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1FAD2C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1.属于国家秘密</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2E76FC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444507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09C63E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0BE594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36DB44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92AFB1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single" w:color="auto" w:sz="8" w:space="0"/>
              <w:left w:val="nil"/>
              <w:bottom w:val="single" w:color="auto" w:sz="8" w:space="0"/>
              <w:right w:val="single" w:color="auto" w:sz="8" w:space="0"/>
            </w:tcBorders>
            <w:noWrap w:val="0"/>
            <w:tcMar>
              <w:top w:w="0" w:type="dxa"/>
              <w:left w:w="57" w:type="dxa"/>
              <w:bottom w:w="0" w:type="dxa"/>
              <w:right w:w="57" w:type="dxa"/>
            </w:tcMar>
            <w:vAlign w:val="center"/>
          </w:tcPr>
          <w:p w14:paraId="06F964B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45C5ABA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37198F6">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581753D3">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4EA41F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2.其他法律行政法规禁止公开</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63AB0E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886218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50B204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4E4440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F66D6B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C196F3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8AB643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4D51B7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53954384">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62144BE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5BA0B8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3.危及“三安全一稳定”</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591B83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9ECF7B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2AF259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C1E7EF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FD156B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5B6DAD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A50500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6232EA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3ECAC043">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6CC8A0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6F0794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4.保护第三方合法权益</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F5E615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75BF16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CBED11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4CB2EF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FBAAE8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32F74A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907066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4FC8880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5F22E47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5452B821">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10EE4B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5.属于三类内部事务信息</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A5D7B3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7D2AE1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E8D41F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BF112E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3C9D15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28AD4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452BA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377302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97DC3E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83A697A">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780C03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6.属于四类过程性信息</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9EFEC3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7C847C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3611B0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AD45B9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6905A0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8C5783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1F20B1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4648B5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EE9200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8D671FE">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2B20B7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7.属于行政执法案卷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4388C8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45AB36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458DF8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387EAA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B0933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446455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F6CA03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35E19B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EEDFE6A">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68F03DE8">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142338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8.属于行政查询事项</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1C6C20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E6F340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DE8362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BD751D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9A3DBD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FA2108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62D121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703B6B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0" w:hRule="atLeast"/>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555FB759">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restart"/>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730733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（四）无法提供</w:t>
            </w: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0E2BD1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1.本机关不掌握相关政府信息</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6B7BBBE">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3DB1F3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3B7B34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56EC10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FE6A001">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03E40A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3759942">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r>
      <w:tr w14:paraId="14C6E0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A9DDB18">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7CACCA7C">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05D35E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2.没有现成信息需要另行制作</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90A62E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286254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422BE7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7FFF9C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EF7F4F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0535C8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788654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3286B7F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4E2CBAA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04941761">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51F007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3.补正后申请内容仍不明确</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A1BAA7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1</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346EC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A5C26A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7833F2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84ADCE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BBFD03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B47A0D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1</w:t>
            </w:r>
          </w:p>
        </w:tc>
      </w:tr>
      <w:tr w14:paraId="736666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5FB78256">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restart"/>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39851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（五）不予处理</w:t>
            </w: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2F3940E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1.信访举报投诉类申请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2FB360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62B3A4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975860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FE41B1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0F901E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8E1FDD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1F1F44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r>
      <w:tr w14:paraId="48EDDA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33E5FE57">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4617A3BB">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369850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2.重复申请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530DF7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4BCD18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70E4B7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1A068D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4E1278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7F3F71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42DE3C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00CC3A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7ACBDBE4">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78F39311">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041B4C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3.要求提供公开出版物</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22F504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CF3823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3EB13A4">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40B08AB">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245685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19AE42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009570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6FC3F4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3B6F4FF">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59EF5009">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top"/>
          </w:tcPr>
          <w:p w14:paraId="067923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4.无正当理由大量反复申请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C4E018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C51878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064CF8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5DCF843">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B1B244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1F9ADE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1AED11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2E08D6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2DC9DEB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D006C5A">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5AFF06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both"/>
              <w:textAlignment w:val="auto"/>
            </w:pPr>
            <w:r>
              <w:rPr>
                <w:rFonts w:hint="eastAsia" w:ascii="宋体" w:hAnsi="宋体" w:eastAsia="宋体" w:cs="宋体"/>
                <w:kern w:val="0"/>
                <w:sz w:val="20"/>
                <w:szCs w:val="20"/>
                <w:lang w:val="en-US" w:eastAsia="zh-CN" w:bidi="ar"/>
              </w:rPr>
              <w:t>5.要求行政机关确认或重新出具已获取信息</w:t>
            </w:r>
          </w:p>
        </w:tc>
        <w:tc>
          <w:tcPr>
            <w:tcW w:w="698"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08817B3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6092C9B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1A95442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6C6B4511">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520097A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625C0CFD">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outset" w:color="auto" w:sz="8" w:space="0"/>
              <w:right w:val="single" w:color="auto" w:sz="8" w:space="0"/>
            </w:tcBorders>
            <w:noWrap w:val="0"/>
            <w:tcMar>
              <w:top w:w="0" w:type="dxa"/>
              <w:left w:w="57" w:type="dxa"/>
              <w:bottom w:w="0" w:type="dxa"/>
              <w:right w:w="57" w:type="dxa"/>
            </w:tcMar>
            <w:vAlign w:val="center"/>
          </w:tcPr>
          <w:p w14:paraId="0852CD2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297F6F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396CC4EE">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restart"/>
            <w:tcBorders>
              <w:top w:val="outset" w:color="auto" w:sz="8" w:space="0"/>
              <w:left w:val="nil"/>
              <w:bottom w:val="outset" w:color="auto" w:sz="8" w:space="0"/>
              <w:right w:val="single" w:color="auto" w:sz="8" w:space="0"/>
            </w:tcBorders>
            <w:noWrap w:val="0"/>
            <w:tcMar>
              <w:top w:w="0" w:type="dxa"/>
              <w:left w:w="57" w:type="dxa"/>
              <w:bottom w:w="0" w:type="dxa"/>
              <w:right w:w="57" w:type="dxa"/>
            </w:tcMar>
            <w:vAlign w:val="center"/>
          </w:tcPr>
          <w:p w14:paraId="5E17B4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（六）其他处理</w:t>
            </w: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D7FB8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both"/>
              <w:textAlignment w:val="auto"/>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21515D8">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8C5CFF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68A1A10">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AE87BE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395D69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03A818F">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eastAsiaTheme="minorEastAsia"/>
                <w:sz w:val="24"/>
                <w:szCs w:val="24"/>
                <w:lang w:val="en-US" w:eastAsia="zh-CN"/>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2D4284A">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eastAsiaTheme="minorEastAsia"/>
                <w:sz w:val="24"/>
                <w:szCs w:val="24"/>
                <w:lang w:val="en-US" w:eastAsia="zh-CN"/>
              </w:rPr>
            </w:pPr>
            <w:r>
              <w:rPr>
                <w:rFonts w:hint="eastAsia" w:ascii="宋体"/>
                <w:sz w:val="24"/>
                <w:szCs w:val="24"/>
                <w:lang w:val="en-US" w:eastAsia="zh-CN"/>
              </w:rPr>
              <w:t>0</w:t>
            </w:r>
          </w:p>
        </w:tc>
      </w:tr>
      <w:tr w14:paraId="208A1DB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7E12A94B">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outset" w:color="auto" w:sz="8" w:space="0"/>
              <w:left w:val="nil"/>
              <w:bottom w:val="outset" w:color="auto" w:sz="8" w:space="0"/>
              <w:right w:val="single" w:color="auto" w:sz="8" w:space="0"/>
            </w:tcBorders>
            <w:noWrap w:val="0"/>
            <w:tcMar>
              <w:top w:w="0" w:type="dxa"/>
              <w:left w:w="57" w:type="dxa"/>
              <w:bottom w:w="0" w:type="dxa"/>
              <w:right w:w="57" w:type="dxa"/>
            </w:tcMar>
            <w:vAlign w:val="center"/>
          </w:tcPr>
          <w:p w14:paraId="5C6D5D2B">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73D63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both"/>
              <w:textAlignment w:val="auto"/>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04B57FA">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E8471C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514E03C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11411E2">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C1325D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415D52E">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28B85F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sz w:val="24"/>
                <w:szCs w:val="24"/>
              </w:rPr>
            </w:pPr>
            <w:r>
              <w:rPr>
                <w:rFonts w:hint="eastAsia" w:ascii="宋体"/>
                <w:sz w:val="24"/>
                <w:szCs w:val="24"/>
                <w:lang w:val="en-US" w:eastAsia="zh-CN"/>
              </w:rPr>
              <w:t>0</w:t>
            </w:r>
          </w:p>
        </w:tc>
      </w:tr>
      <w:tr w14:paraId="7556F5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101A5961">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941" w:type="dxa"/>
            <w:vMerge w:val="continue"/>
            <w:tcBorders>
              <w:top w:val="outset" w:color="auto" w:sz="8" w:space="0"/>
              <w:left w:val="nil"/>
              <w:bottom w:val="outset" w:color="auto" w:sz="8" w:space="0"/>
              <w:right w:val="single" w:color="auto" w:sz="8" w:space="0"/>
            </w:tcBorders>
            <w:noWrap w:val="0"/>
            <w:tcMar>
              <w:top w:w="0" w:type="dxa"/>
              <w:left w:w="57" w:type="dxa"/>
              <w:bottom w:w="0" w:type="dxa"/>
              <w:right w:w="57" w:type="dxa"/>
            </w:tcMar>
            <w:vAlign w:val="center"/>
          </w:tcPr>
          <w:p w14:paraId="552D1B35">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3210"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582CA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3.其他</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96D40D4">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8E812C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BFB16F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1860ED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097188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4787D4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8D88293">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r>
      <w:tr w14:paraId="48644B4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6" w:type="dxa"/>
            <w:vMerge w:val="continue"/>
            <w:tcBorders>
              <w:top w:val="nil"/>
              <w:left w:val="single" w:color="auto" w:sz="8" w:space="0"/>
              <w:bottom w:val="outset" w:color="auto" w:sz="8" w:space="0"/>
              <w:right w:val="single" w:color="auto" w:sz="8" w:space="0"/>
            </w:tcBorders>
            <w:noWrap w:val="0"/>
            <w:tcMar>
              <w:top w:w="0" w:type="dxa"/>
              <w:left w:w="57" w:type="dxa"/>
              <w:bottom w:w="0" w:type="dxa"/>
              <w:right w:w="57" w:type="dxa"/>
            </w:tcMar>
            <w:vAlign w:val="center"/>
          </w:tcPr>
          <w:p w14:paraId="3771FD30">
            <w:pPr>
              <w:keepNext w:val="0"/>
              <w:keepLines w:val="0"/>
              <w:pageBreakBefore w:val="0"/>
              <w:kinsoku/>
              <w:wordWrap/>
              <w:overflowPunct/>
              <w:topLinePunct w:val="0"/>
              <w:autoSpaceDE/>
              <w:autoSpaceDN/>
              <w:bidi w:val="0"/>
              <w:adjustRightInd/>
              <w:snapToGrid/>
              <w:spacing w:line="500" w:lineRule="exact"/>
              <w:textAlignment w:val="auto"/>
              <w:rPr>
                <w:rFonts w:hint="eastAsia" w:ascii="宋体"/>
                <w:sz w:val="24"/>
                <w:szCs w:val="24"/>
              </w:rPr>
            </w:pPr>
          </w:p>
        </w:tc>
        <w:tc>
          <w:tcPr>
            <w:tcW w:w="4151" w:type="dxa"/>
            <w:gridSpan w:val="2"/>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B5DC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（七）总计</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3A24F032">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4928C1B">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08B8A93F">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683707C">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9F8C603">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7D54C7CD">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18B3CE25">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17</w:t>
            </w:r>
          </w:p>
        </w:tc>
      </w:tr>
      <w:tr w14:paraId="59284D4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17" w:type="dxa"/>
            <w:gridSpan w:val="3"/>
            <w:tcBorders>
              <w:top w:val="nil"/>
              <w:left w:val="single" w:color="auto" w:sz="8" w:space="0"/>
              <w:bottom w:val="single" w:color="auto" w:sz="8" w:space="0"/>
              <w:right w:val="single" w:color="auto" w:sz="8" w:space="0"/>
            </w:tcBorders>
            <w:noWrap w:val="0"/>
            <w:tcMar>
              <w:top w:w="0" w:type="dxa"/>
              <w:left w:w="57" w:type="dxa"/>
              <w:bottom w:w="0" w:type="dxa"/>
              <w:right w:w="57" w:type="dxa"/>
            </w:tcMar>
            <w:vAlign w:val="center"/>
          </w:tcPr>
          <w:p w14:paraId="144271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jc w:val="left"/>
              <w:textAlignment w:val="auto"/>
            </w:pPr>
            <w:r>
              <w:rPr>
                <w:rFonts w:hint="eastAsia" w:ascii="宋体" w:hAnsi="宋体" w:eastAsia="宋体" w:cs="宋体"/>
                <w:kern w:val="0"/>
                <w:sz w:val="20"/>
                <w:szCs w:val="20"/>
                <w:lang w:val="en-US" w:eastAsia="zh-CN" w:bidi="ar"/>
              </w:rPr>
              <w:t>四、结转下年度继续办理</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A2D90F5">
            <w:pPr>
              <w:keepNext w:val="0"/>
              <w:keepLines w:val="0"/>
              <w:pageBreakBefore w:val="0"/>
              <w:kinsoku/>
              <w:wordWrap/>
              <w:overflowPunct/>
              <w:topLinePunct w:val="0"/>
              <w:autoSpaceDE/>
              <w:autoSpaceDN/>
              <w:bidi w:val="0"/>
              <w:adjustRightInd/>
              <w:snapToGrid/>
              <w:spacing w:line="5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E237B87">
            <w:pPr>
              <w:keepNext w:val="0"/>
              <w:keepLines w:val="0"/>
              <w:pageBreakBefore w:val="0"/>
              <w:tabs>
                <w:tab w:val="center" w:pos="346"/>
                <w:tab w:val="left" w:pos="492"/>
              </w:tabs>
              <w:kinsoku/>
              <w:wordWrap/>
              <w:overflowPunct/>
              <w:topLinePunct w:val="0"/>
              <w:autoSpaceDE/>
              <w:autoSpaceDN/>
              <w:bidi w:val="0"/>
              <w:adjustRightInd/>
              <w:snapToGrid/>
              <w:spacing w:line="500" w:lineRule="exact"/>
              <w:jc w:val="left"/>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ab/>
            </w: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922CC79">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70015B6">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2F3DEC25">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87"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63B845F7">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0</w:t>
            </w:r>
          </w:p>
        </w:tc>
        <w:tc>
          <w:tcPr>
            <w:tcW w:w="698" w:type="dxa"/>
            <w:tcBorders>
              <w:top w:val="nil"/>
              <w:left w:val="nil"/>
              <w:bottom w:val="single" w:color="auto" w:sz="8" w:space="0"/>
              <w:right w:val="single" w:color="auto" w:sz="8" w:space="0"/>
            </w:tcBorders>
            <w:noWrap w:val="0"/>
            <w:tcMar>
              <w:top w:w="0" w:type="dxa"/>
              <w:left w:w="57" w:type="dxa"/>
              <w:bottom w:w="0" w:type="dxa"/>
              <w:right w:w="57" w:type="dxa"/>
            </w:tcMar>
            <w:vAlign w:val="center"/>
          </w:tcPr>
          <w:p w14:paraId="49C765E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w:t>
            </w:r>
          </w:p>
        </w:tc>
      </w:tr>
    </w:tbl>
    <w:p w14:paraId="6327CAF9">
      <w:pPr>
        <w:keepNext w:val="0"/>
        <w:keepLines w:val="0"/>
        <w:pageBreakBefore w:val="0"/>
        <w:widowControl/>
        <w:shd w:val="clear" w:color="auto" w:fill="FFFFFF"/>
        <w:kinsoku/>
        <w:wordWrap/>
        <w:overflowPunct/>
        <w:topLinePunct w:val="0"/>
        <w:autoSpaceDE/>
        <w:autoSpaceDN/>
        <w:bidi w:val="0"/>
        <w:adjustRightInd/>
        <w:snapToGrid/>
        <w:spacing w:line="560" w:lineRule="exact"/>
        <w:ind w:right="0" w:rightChars="0"/>
        <w:textAlignment w:val="auto"/>
        <w:outlineLvl w:val="9"/>
        <w:rPr>
          <w:rFonts w:hint="eastAsia" w:ascii="黑体" w:hAnsi="黑体" w:eastAsia="黑体" w:cs="宋体"/>
          <w:color w:val="000000"/>
          <w:kern w:val="0"/>
          <w:sz w:val="32"/>
          <w:szCs w:val="32"/>
        </w:rPr>
      </w:pPr>
    </w:p>
    <w:p w14:paraId="1A0D1ECF">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黑体" w:hAnsi="黑体" w:eastAsia="黑体" w:cs="宋体"/>
          <w:color w:val="000000"/>
          <w:kern w:val="0"/>
          <w:sz w:val="32"/>
          <w:szCs w:val="32"/>
        </w:rPr>
      </w:pPr>
      <w:r>
        <w:rPr>
          <w:rFonts w:hint="eastAsia" w:ascii="黑体" w:hAnsi="黑体" w:eastAsia="黑体" w:cs="宋体"/>
          <w:color w:val="000000"/>
          <w:kern w:val="0"/>
          <w:sz w:val="32"/>
          <w:szCs w:val="32"/>
        </w:rPr>
        <w:t>四、政府信息公开行政复议、行政诉讼情况</w:t>
      </w:r>
    </w:p>
    <w:p w14:paraId="21BD3346">
      <w:pPr>
        <w:keepNext w:val="0"/>
        <w:keepLines w:val="0"/>
        <w:pageBreakBefore w:val="0"/>
        <w:widowControl/>
        <w:shd w:val="clear" w:color="auto" w:fill="FFFFFF"/>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黑体" w:hAnsi="黑体" w:eastAsia="黑体" w:cs="宋体"/>
          <w:color w:val="000000"/>
          <w:kern w:val="0"/>
          <w:sz w:val="32"/>
          <w:szCs w:val="32"/>
          <w:lang w:eastAsia="zh-CN"/>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699654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245"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12989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行政复议</w:t>
            </w:r>
          </w:p>
        </w:tc>
        <w:tc>
          <w:tcPr>
            <w:tcW w:w="6503" w:type="dxa"/>
            <w:gridSpan w:val="10"/>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9159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行政诉讼</w:t>
            </w:r>
          </w:p>
        </w:tc>
      </w:tr>
      <w:tr w14:paraId="0775534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49"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2C8B6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结果维持</w:t>
            </w:r>
          </w:p>
        </w:tc>
        <w:tc>
          <w:tcPr>
            <w:tcW w:w="649" w:type="dxa"/>
            <w:vMerge w:val="restar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278FB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6E904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5679B7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520D2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总计</w:t>
            </w:r>
          </w:p>
        </w:tc>
        <w:tc>
          <w:tcPr>
            <w:tcW w:w="3248"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341AB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未经复议直接起诉</w:t>
            </w:r>
          </w:p>
        </w:tc>
        <w:tc>
          <w:tcPr>
            <w:tcW w:w="3255" w:type="dxa"/>
            <w:gridSpan w:val="5"/>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824A1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复议后起诉</w:t>
            </w:r>
          </w:p>
        </w:tc>
      </w:tr>
      <w:tr w14:paraId="742AD1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49"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CB347D3">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sz w:val="24"/>
                <w:szCs w:val="24"/>
              </w:rPr>
            </w:pPr>
          </w:p>
        </w:tc>
        <w:tc>
          <w:tcPr>
            <w:tcW w:w="649" w:type="dxa"/>
            <w:vMerge w:val="continue"/>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A282F9">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4153B37">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592D490">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sz w:val="24"/>
                <w:szCs w:val="24"/>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EF49E4E">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eastAsia" w:ascii="宋体"/>
                <w:sz w:val="24"/>
                <w:szCs w:val="24"/>
              </w:rPr>
            </w:pP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B619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9854D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2AF552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5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2F7229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6EDB4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color w:val="000000"/>
                <w:kern w:val="0"/>
                <w:sz w:val="20"/>
                <w:szCs w:val="20"/>
                <w:lang w:val="en-US" w:eastAsia="zh-CN" w:bidi="ar"/>
              </w:rPr>
              <w:t>总计</w:t>
            </w:r>
          </w:p>
        </w:tc>
        <w:tc>
          <w:tcPr>
            <w:tcW w:w="65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282489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5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81A6B5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5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343FCD7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5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426AF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51"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C0DA8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pPr>
            <w:r>
              <w:rPr>
                <w:rFonts w:hint="eastAsia" w:ascii="宋体" w:hAnsi="宋体" w:eastAsia="宋体" w:cs="宋体"/>
                <w:color w:val="000000"/>
                <w:kern w:val="0"/>
                <w:sz w:val="20"/>
                <w:szCs w:val="20"/>
                <w:lang w:val="en-US" w:eastAsia="zh-CN" w:bidi="ar"/>
              </w:rPr>
              <w:t>总计</w:t>
            </w:r>
          </w:p>
        </w:tc>
      </w:tr>
      <w:tr w14:paraId="3C7EEB6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2" w:hRule="atLeast"/>
          <w:jc w:val="center"/>
        </w:trPr>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E4678A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9A0AB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9D0ED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EC4D6E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AA1822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32458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49"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72B06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02F94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p>
        </w:tc>
        <w:tc>
          <w:tcPr>
            <w:tcW w:w="6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FB46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10DE1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p>
        </w:tc>
        <w:tc>
          <w:tcPr>
            <w:tcW w:w="651"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60A30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51"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0A070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51"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7B917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0</w:t>
            </w:r>
          </w:p>
        </w:tc>
        <w:tc>
          <w:tcPr>
            <w:tcW w:w="651"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B0430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p>
        </w:tc>
        <w:tc>
          <w:tcPr>
            <w:tcW w:w="651"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DC140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rightChars="0" w:firstLine="0"/>
              <w:jc w:val="center"/>
              <w:textAlignment w:val="auto"/>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p>
        </w:tc>
      </w:tr>
    </w:tbl>
    <w:p w14:paraId="43EA4485">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color w:val="333333"/>
          <w:sz w:val="32"/>
          <w:szCs w:val="32"/>
        </w:rPr>
      </w:pPr>
      <w:r>
        <w:rPr>
          <w:rFonts w:hint="eastAsia" w:ascii="黑体" w:hAnsi="黑体" w:eastAsia="黑体" w:cs="黑体"/>
          <w:b/>
          <w:color w:val="333333"/>
          <w:sz w:val="32"/>
          <w:szCs w:val="32"/>
          <w:shd w:val="clear" w:color="auto" w:fill="FFFFFF"/>
        </w:rPr>
        <w:t>五、存在的主要问题及改进情况</w:t>
      </w:r>
    </w:p>
    <w:p w14:paraId="51A3D1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6</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年，我</w:t>
      </w:r>
      <w:r>
        <w:rPr>
          <w:rFonts w:hint="eastAsia" w:ascii="仿宋_GB2312" w:eastAsia="仿宋_GB2312" w:cs="仿宋_GB2312"/>
          <w:i w:val="0"/>
          <w:iCs w:val="0"/>
          <w:caps w:val="0"/>
          <w:color w:val="auto"/>
          <w:spacing w:val="0"/>
          <w:kern w:val="0"/>
          <w:sz w:val="32"/>
          <w:szCs w:val="32"/>
          <w:shd w:val="clear" w:fill="FFFFFF"/>
          <w:lang w:val="en-US" w:eastAsia="zh-CN" w:bidi="ar-SA"/>
        </w:rPr>
        <w:t>县</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将采取有效措施积极改进,严格按照《条例》规定和省、市有关要求，不断提升公开质量，切实加大公开力度。1.明确目标任务，突出工作重点。不断推进基层政务公开标准化、规范化建设，认真制定202</w:t>
      </w:r>
      <w:r>
        <w:rPr>
          <w:rFonts w:hint="eastAsia" w:ascii="仿宋_GB2312" w:eastAsia="仿宋_GB2312" w:cs="仿宋_GB2312"/>
          <w:i w:val="0"/>
          <w:iCs w:val="0"/>
          <w:caps w:val="0"/>
          <w:color w:val="auto"/>
          <w:spacing w:val="0"/>
          <w:kern w:val="0"/>
          <w:sz w:val="32"/>
          <w:szCs w:val="32"/>
          <w:shd w:val="clear" w:fill="FFFFFF"/>
          <w:lang w:val="en-US" w:eastAsia="zh-CN" w:bidi="ar-SA"/>
        </w:rPr>
        <w:t>6</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全县政务公开工作计划，使我县信息公开工作更加制度化、规范化，为我县经济社会发展发挥更大作用。2.抓好公开载体，创新公开形式。不断创新政府信息公开工作的新形式、新途径、新方法，充分发挥政务微博、政府网站、政务微信平台等媒体作用，规范完善公开内容，增强信息公开的实效性。3.突破难点重点，深化公开内容。持续加大对热点关注、政策解读栏目的公开力度；继续抓好主动公开和依申请公开工作，规范公开的内容、时限和程序，提高公开水平。扎实做好政务服务有关工作。4.加强宣传培训，增强公开意识。通过举办业务培训班和召开协调会的形式，对县直各部门、各乡（镇）的分管领导和信息公开专门人员进行相关业务培训、指导，切实提高政务公开队伍的业务能力。</w:t>
      </w:r>
    </w:p>
    <w:p w14:paraId="26394C30">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六、其他需要报告的事项</w:t>
      </w:r>
    </w:p>
    <w:p w14:paraId="6BDD26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认真贯彻执行国务院办公厅《政府信息公开信息处理费管理办法》和《关于政府信息公开处理费管理有关事项的通知》。</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5</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年我县各单位未收取信息处理费。</w:t>
      </w:r>
    </w:p>
    <w:p w14:paraId="2AC167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atLeas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 w:name="KSO_WPS_MARK_KEY" w:val="f4ab7dbc-2cf1-40bd-854d-bd3a823a6a23"/>
  </w:docVars>
  <w:rsids>
    <w:rsidRoot w:val="3E5B229F"/>
    <w:rsid w:val="02634044"/>
    <w:rsid w:val="056F7CA2"/>
    <w:rsid w:val="0A284C60"/>
    <w:rsid w:val="0D520DF2"/>
    <w:rsid w:val="0F5C391C"/>
    <w:rsid w:val="13C3499A"/>
    <w:rsid w:val="16BC3EE5"/>
    <w:rsid w:val="1A261264"/>
    <w:rsid w:val="1A5A12BE"/>
    <w:rsid w:val="21287D68"/>
    <w:rsid w:val="224F4384"/>
    <w:rsid w:val="247A025E"/>
    <w:rsid w:val="25AF752A"/>
    <w:rsid w:val="27C01D11"/>
    <w:rsid w:val="28D72871"/>
    <w:rsid w:val="29F64FFC"/>
    <w:rsid w:val="301B2322"/>
    <w:rsid w:val="31D57F22"/>
    <w:rsid w:val="349737CA"/>
    <w:rsid w:val="35481F2D"/>
    <w:rsid w:val="38103E39"/>
    <w:rsid w:val="3B1B4717"/>
    <w:rsid w:val="3C3C1D12"/>
    <w:rsid w:val="3E5B229F"/>
    <w:rsid w:val="432E7BC5"/>
    <w:rsid w:val="44713000"/>
    <w:rsid w:val="46B144D8"/>
    <w:rsid w:val="474B6A1F"/>
    <w:rsid w:val="4E0172A4"/>
    <w:rsid w:val="4EC56988"/>
    <w:rsid w:val="52B6377F"/>
    <w:rsid w:val="57DA3A59"/>
    <w:rsid w:val="58DB0A20"/>
    <w:rsid w:val="5B175951"/>
    <w:rsid w:val="5C015261"/>
    <w:rsid w:val="5C2B40FC"/>
    <w:rsid w:val="5F180BFF"/>
    <w:rsid w:val="67CB4C16"/>
    <w:rsid w:val="68986BD8"/>
    <w:rsid w:val="6A70527D"/>
    <w:rsid w:val="6D6E64E5"/>
    <w:rsid w:val="7207544B"/>
    <w:rsid w:val="72826491"/>
    <w:rsid w:val="754E1E0A"/>
    <w:rsid w:val="778F16EE"/>
    <w:rsid w:val="7A232871"/>
    <w:rsid w:val="7A651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2945</Words>
  <Characters>3039</Characters>
  <Lines>0</Lines>
  <Paragraphs>0</Paragraphs>
  <TotalTime>5</TotalTime>
  <ScaleCrop>false</ScaleCrop>
  <LinksUpToDate>false</LinksUpToDate>
  <CharactersWithSpaces>3040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姬很烦。</cp:lastModifiedBy>
  <cp:lastPrinted>2019-12-29T11:40:00Z</cp:lastPrinted>
  <dcterms:modified xsi:type="dcterms:W3CDTF">2026-02-13T03:28:04Z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41A8CC56B0E442B28ED3126F56B02155_13</vt:lpwstr>
  </property>
  <property fmtid="{D5CDD505-2E9C-101B-9397-08002B2CF9AE}" pid="4" name="KSOTemplateDocerSaveRecord">
    <vt:lpwstr>eyJoZGlkIjoiZmNiNDUwMjczYjRkMjE5NmQ3OGVlZjgxMmE2ZjhjZTMiLCJ1c2VySWQiOiI1MTkyMDA5NTUifQ==</vt:lpwstr>
  </property>
</Properties>
</file>