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DBC69">
      <w:pPr>
        <w:pStyle w:val="4"/>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rPr>
          <w:rFonts w:hint="eastAsia"/>
          <w:b/>
          <w:bCs w:val="0"/>
          <w:color w:val="000000" w:themeColor="text1"/>
          <w:sz w:val="44"/>
          <w:szCs w:val="44"/>
          <w:lang w:val="en-US" w:eastAsia="zh-CN"/>
          <w14:textFill>
            <w14:solidFill>
              <w14:schemeClr w14:val="tx1"/>
            </w14:solidFill>
          </w14:textFill>
        </w:rPr>
      </w:pPr>
      <w:r>
        <w:rPr>
          <w:rFonts w:hint="eastAsia"/>
          <w:b/>
          <w:bCs w:val="0"/>
          <w:color w:val="000000" w:themeColor="text1"/>
          <w:sz w:val="44"/>
          <w:szCs w:val="44"/>
          <w14:textFill>
            <w14:solidFill>
              <w14:schemeClr w14:val="tx1"/>
            </w14:solidFill>
          </w14:textFill>
        </w:rPr>
        <w:t>涞源县</w:t>
      </w:r>
      <w:r>
        <w:rPr>
          <w:rFonts w:hint="eastAsia"/>
          <w:b/>
          <w:bCs w:val="0"/>
          <w:color w:val="000000" w:themeColor="text1"/>
          <w:sz w:val="44"/>
          <w:szCs w:val="44"/>
          <w:lang w:val="en-US" w:eastAsia="zh-CN"/>
          <w14:textFill>
            <w14:solidFill>
              <w14:schemeClr w14:val="tx1"/>
            </w14:solidFill>
          </w14:textFill>
        </w:rPr>
        <w:t>文化广电和旅游局</w:t>
      </w:r>
    </w:p>
    <w:p w14:paraId="285F4922">
      <w:pPr>
        <w:pStyle w:val="4"/>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rPr>
          <w:sz w:val="44"/>
          <w:szCs w:val="44"/>
        </w:rPr>
      </w:pPr>
      <w:r>
        <w:rPr>
          <w:rFonts w:hint="eastAsia"/>
          <w:b/>
          <w:bCs w:val="0"/>
          <w:color w:val="000000" w:themeColor="text1"/>
          <w:sz w:val="44"/>
          <w:szCs w:val="44"/>
          <w14:textFill>
            <w14:solidFill>
              <w14:schemeClr w14:val="tx1"/>
            </w14:solidFill>
          </w14:textFill>
        </w:rPr>
        <w:t>202</w:t>
      </w:r>
      <w:r>
        <w:rPr>
          <w:rFonts w:hint="eastAsia"/>
          <w:b/>
          <w:bCs w:val="0"/>
          <w:color w:val="000000" w:themeColor="text1"/>
          <w:sz w:val="44"/>
          <w:szCs w:val="44"/>
          <w:lang w:val="en-US" w:eastAsia="zh-CN"/>
          <w14:textFill>
            <w14:solidFill>
              <w14:schemeClr w14:val="tx1"/>
            </w14:solidFill>
          </w14:textFill>
        </w:rPr>
        <w:t>5</w:t>
      </w:r>
      <w:r>
        <w:rPr>
          <w:rFonts w:hint="eastAsia"/>
          <w:b/>
          <w:bCs w:val="0"/>
          <w:color w:val="000000" w:themeColor="text1"/>
          <w:sz w:val="44"/>
          <w:szCs w:val="44"/>
          <w14:textFill>
            <w14:solidFill>
              <w14:schemeClr w14:val="tx1"/>
            </w14:solidFill>
          </w14:textFill>
        </w:rPr>
        <w:t>年政府信息公开</w:t>
      </w:r>
      <w:r>
        <w:rPr>
          <w:rFonts w:hint="eastAsia"/>
          <w:b/>
          <w:bCs w:val="0"/>
          <w:color w:val="000000" w:themeColor="text1"/>
          <w:sz w:val="44"/>
          <w:szCs w:val="44"/>
          <w:lang w:val="en-US" w:eastAsia="zh-CN"/>
          <w14:textFill>
            <w14:solidFill>
              <w14:schemeClr w14:val="tx1"/>
            </w14:solidFill>
          </w14:textFill>
        </w:rPr>
        <w:t>工作</w:t>
      </w:r>
      <w:r>
        <w:rPr>
          <w:rFonts w:hint="eastAsia"/>
          <w:b/>
          <w:bCs w:val="0"/>
          <w:color w:val="000000" w:themeColor="text1"/>
          <w:sz w:val="44"/>
          <w:szCs w:val="44"/>
          <w14:textFill>
            <w14:solidFill>
              <w14:schemeClr w14:val="tx1"/>
            </w14:solidFill>
          </w14:textFill>
        </w:rPr>
        <w:t>年度报告</w:t>
      </w:r>
    </w:p>
    <w:p w14:paraId="48AA2162">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jc w:val="left"/>
        <w:textAlignment w:val="auto"/>
        <w:rPr>
          <w:rFonts w:hint="eastAsia" w:ascii="黑体" w:hAnsi="黑体" w:eastAsia="黑体" w:cs="黑体"/>
          <w:bCs/>
          <w:color w:val="000000" w:themeColor="text1"/>
          <w:kern w:val="2"/>
          <w:sz w:val="32"/>
          <w:szCs w:val="32"/>
          <w:shd w:val="clear" w:fill="auto"/>
          <w:lang w:val="en-US" w:eastAsia="zh-CN" w:bidi="ar-SA"/>
          <w14:textFill>
            <w14:solidFill>
              <w14:schemeClr w14:val="tx1"/>
            </w14:solidFill>
          </w14:textFill>
        </w:rPr>
      </w:pPr>
      <w:r>
        <w:rPr>
          <w:rFonts w:hint="eastAsia" w:ascii="黑体" w:hAnsi="黑体" w:eastAsia="黑体" w:cs="黑体"/>
          <w:bCs/>
          <w:color w:val="000000" w:themeColor="text1"/>
          <w:kern w:val="2"/>
          <w:sz w:val="32"/>
          <w:szCs w:val="32"/>
          <w:shd w:val="clear" w:fill="auto"/>
          <w:lang w:val="en-US" w:eastAsia="zh-CN" w:bidi="ar-SA"/>
          <w14:textFill>
            <w14:solidFill>
              <w14:schemeClr w14:val="tx1"/>
            </w14:solidFill>
          </w14:textFill>
        </w:rPr>
        <w:t>一、总体情况</w:t>
      </w:r>
    </w:p>
    <w:p w14:paraId="02355247">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jc w:val="left"/>
        <w:textAlignment w:val="auto"/>
        <w:rPr>
          <w:rFonts w:hint="eastAsia" w:ascii="仿宋_GB2312" w:hAnsi="仿宋_GB2312" w:eastAsia="仿宋_GB2312" w:cs="仿宋_GB2312"/>
          <w:bCs/>
          <w:color w:val="000000" w:themeColor="text1"/>
          <w:kern w:val="2"/>
          <w:sz w:val="32"/>
          <w:szCs w:val="32"/>
          <w:shd w:val="clear" w:fill="auto"/>
          <w:lang w:val="en-US" w:eastAsia="zh-CN" w:bidi="ar-SA"/>
          <w14:textFill>
            <w14:solidFill>
              <w14:schemeClr w14:val="tx1"/>
            </w14:solidFill>
          </w14:textFill>
        </w:rPr>
      </w:pPr>
      <w:r>
        <w:rPr>
          <w:rFonts w:hint="eastAsia" w:ascii="仿宋_GB2312" w:hAnsi="仿宋_GB2312" w:eastAsia="仿宋_GB2312" w:cs="仿宋_GB2312"/>
          <w:bCs/>
          <w:color w:val="000000" w:themeColor="text1"/>
          <w:kern w:val="2"/>
          <w:sz w:val="32"/>
          <w:szCs w:val="32"/>
          <w:shd w:val="clear" w:fill="auto"/>
          <w:lang w:val="en-US" w:eastAsia="zh-CN" w:bidi="ar-SA"/>
          <w14:textFill>
            <w14:solidFill>
              <w14:schemeClr w14:val="tx1"/>
            </w14:solidFill>
          </w14:textFill>
        </w:rPr>
        <w:t>2025年，涞源县文化广电和旅游局坚持以习近平新时代中国特色社会主义思想为指引，认真贯彻党的二十大和二十届历次全会精神，深入学习习近平总书记对河北工作重要指示批示精神，全面贯彻落实县委、县政府工作部署，坚</w:t>
      </w:r>
      <w:bookmarkStart w:id="0" w:name="_GoBack"/>
      <w:bookmarkEnd w:id="0"/>
      <w:r>
        <w:rPr>
          <w:rFonts w:hint="eastAsia" w:ascii="仿宋_GB2312" w:hAnsi="仿宋_GB2312" w:eastAsia="仿宋_GB2312" w:cs="仿宋_GB2312"/>
          <w:bCs/>
          <w:color w:val="000000" w:themeColor="text1"/>
          <w:kern w:val="2"/>
          <w:sz w:val="32"/>
          <w:szCs w:val="32"/>
          <w:shd w:val="clear" w:fill="auto"/>
          <w:lang w:val="en-US" w:eastAsia="zh-CN" w:bidi="ar-SA"/>
          <w14:textFill>
            <w14:solidFill>
              <w14:schemeClr w14:val="tx1"/>
            </w14:solidFill>
          </w14:textFill>
        </w:rPr>
        <w:t>持以人民为中心的思想，深化信息公开工作，严格执行《中华人民共和国政府信息公开条例》和省政府有关政府信息公开的要求，将信息公开工作与各项业务工作紧密结合，切实增强政府信息公开工作的自觉性和主动性，严格落实信息公开保密审查、源头管理和发布审核机制，依法依规及时向社会公开。编写了2025年政府信息公开工作年度报告。本年度报告中所列数据的统计期限自2025年1月1日起至2025年12月31日止。</w:t>
      </w:r>
    </w:p>
    <w:p w14:paraId="778C7997">
      <w:pPr>
        <w:keepNext w:val="0"/>
        <w:keepLines w:val="0"/>
        <w:pageBreakBefore w:val="0"/>
        <w:widowControl w:val="0"/>
        <w:numPr>
          <w:ilvl w:val="0"/>
          <w:numId w:val="0"/>
        </w:numPr>
        <w:kinsoku/>
        <w:wordWrap/>
        <w:overflowPunct/>
        <w:topLinePunct w:val="0"/>
        <w:autoSpaceDE/>
        <w:autoSpaceDN/>
        <w:bidi w:val="0"/>
        <w:adjustRightInd/>
        <w:snapToGrid/>
        <w:ind w:left="0" w:leftChars="0" w:firstLine="643" w:firstLineChars="200"/>
        <w:jc w:val="left"/>
        <w:textAlignment w:val="auto"/>
        <w:rPr>
          <w:rFonts w:hint="eastAsia" w:ascii="楷体" w:hAnsi="楷体" w:eastAsia="楷体" w:cs="楷体"/>
          <w:b/>
          <w:bCs w:val="0"/>
          <w:color w:val="000000" w:themeColor="text1"/>
          <w:kern w:val="2"/>
          <w:sz w:val="32"/>
          <w:szCs w:val="32"/>
          <w:shd w:val="clear" w:fill="auto"/>
          <w:lang w:val="en-US" w:eastAsia="zh-CN" w:bidi="ar-SA"/>
          <w14:textFill>
            <w14:solidFill>
              <w14:schemeClr w14:val="tx1"/>
            </w14:solidFill>
          </w14:textFill>
        </w:rPr>
      </w:pPr>
      <w:r>
        <w:rPr>
          <w:rFonts w:hint="eastAsia" w:ascii="楷体" w:hAnsi="楷体" w:eastAsia="楷体" w:cs="楷体"/>
          <w:b/>
          <w:bCs w:val="0"/>
          <w:color w:val="000000" w:themeColor="text1"/>
          <w:kern w:val="2"/>
          <w:sz w:val="32"/>
          <w:szCs w:val="32"/>
          <w:shd w:val="clear" w:fill="auto"/>
          <w:lang w:val="en-US" w:eastAsia="zh-CN" w:bidi="ar-SA"/>
          <w14:textFill>
            <w14:solidFill>
              <w14:schemeClr w14:val="tx1"/>
            </w14:solidFill>
          </w14:textFill>
        </w:rPr>
        <w:t>（一）主动公开</w:t>
      </w:r>
    </w:p>
    <w:p w14:paraId="1DC05D06">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jc w:val="left"/>
        <w:textAlignment w:val="auto"/>
        <w:rPr>
          <w:rFonts w:hint="eastAsia" w:ascii="仿宋_GB2312" w:hAnsi="仿宋_GB2312" w:eastAsia="仿宋_GB2312" w:cs="仿宋_GB2312"/>
          <w:bCs/>
          <w:color w:val="000000" w:themeColor="text1"/>
          <w:kern w:val="2"/>
          <w:sz w:val="32"/>
          <w:szCs w:val="32"/>
          <w:shd w:val="clear" w:fill="auto"/>
          <w:lang w:val="en-US" w:eastAsia="zh-CN" w:bidi="ar-SA"/>
          <w14:textFill>
            <w14:solidFill>
              <w14:schemeClr w14:val="tx1"/>
            </w14:solidFill>
          </w14:textFill>
        </w:rPr>
      </w:pPr>
      <w:r>
        <w:rPr>
          <w:rFonts w:hint="eastAsia" w:ascii="仿宋_GB2312" w:hAnsi="仿宋_GB2312" w:eastAsia="仿宋_GB2312" w:cs="仿宋_GB2312"/>
          <w:bCs/>
          <w:color w:val="000000" w:themeColor="text1"/>
          <w:kern w:val="2"/>
          <w:sz w:val="32"/>
          <w:szCs w:val="32"/>
          <w:shd w:val="clear" w:fill="auto"/>
          <w:lang w:val="en-US" w:eastAsia="zh-CN" w:bidi="ar-SA"/>
          <w14:textFill>
            <w14:solidFill>
              <w14:schemeClr w14:val="tx1"/>
            </w14:solidFill>
          </w14:textFill>
        </w:rPr>
        <w:t>2025年度，我局依法主动向社会公布了在检查事项、规划总结、部门预算决算、行政处罚等方面信息9条，提高了政务公开的透明度。</w:t>
      </w:r>
    </w:p>
    <w:p w14:paraId="095CDBF8">
      <w:pPr>
        <w:keepNext w:val="0"/>
        <w:keepLines w:val="0"/>
        <w:pageBreakBefore w:val="0"/>
        <w:widowControl w:val="0"/>
        <w:numPr>
          <w:ilvl w:val="0"/>
          <w:numId w:val="0"/>
        </w:numPr>
        <w:kinsoku/>
        <w:wordWrap/>
        <w:overflowPunct/>
        <w:topLinePunct w:val="0"/>
        <w:autoSpaceDE/>
        <w:autoSpaceDN/>
        <w:bidi w:val="0"/>
        <w:adjustRightInd/>
        <w:snapToGrid/>
        <w:ind w:left="0" w:leftChars="0" w:firstLine="643" w:firstLineChars="200"/>
        <w:jc w:val="left"/>
        <w:textAlignment w:val="auto"/>
        <w:rPr>
          <w:rFonts w:hint="eastAsia" w:ascii="楷体" w:hAnsi="楷体" w:eastAsia="楷体" w:cs="楷体"/>
          <w:b/>
          <w:bCs w:val="0"/>
          <w:color w:val="000000" w:themeColor="text1"/>
          <w:kern w:val="2"/>
          <w:sz w:val="32"/>
          <w:szCs w:val="32"/>
          <w:shd w:val="clear" w:fill="auto"/>
          <w:lang w:val="en-US" w:eastAsia="zh-CN" w:bidi="ar-SA"/>
          <w14:textFill>
            <w14:solidFill>
              <w14:schemeClr w14:val="tx1"/>
            </w14:solidFill>
          </w14:textFill>
        </w:rPr>
      </w:pPr>
      <w:r>
        <w:rPr>
          <w:rFonts w:hint="eastAsia" w:ascii="楷体" w:hAnsi="楷体" w:eastAsia="楷体" w:cs="楷体"/>
          <w:b/>
          <w:bCs w:val="0"/>
          <w:color w:val="000000" w:themeColor="text1"/>
          <w:kern w:val="2"/>
          <w:sz w:val="32"/>
          <w:szCs w:val="32"/>
          <w:shd w:val="clear" w:fill="auto"/>
          <w:lang w:val="en-US" w:eastAsia="zh-CN" w:bidi="ar-SA"/>
          <w14:textFill>
            <w14:solidFill>
              <w14:schemeClr w14:val="tx1"/>
            </w14:solidFill>
          </w14:textFill>
        </w:rPr>
        <w:t>（二）依申请公开</w:t>
      </w:r>
    </w:p>
    <w:p w14:paraId="66DDB8CB">
      <w:pPr>
        <w:keepNext w:val="0"/>
        <w:keepLines w:val="0"/>
        <w:pageBreakBefore w:val="0"/>
        <w:widowControl w:val="0"/>
        <w:numPr>
          <w:ilvl w:val="0"/>
          <w:numId w:val="0"/>
        </w:numPr>
        <w:kinsoku/>
        <w:wordWrap/>
        <w:overflowPunct/>
        <w:topLinePunct w:val="0"/>
        <w:autoSpaceDE/>
        <w:autoSpaceDN/>
        <w:bidi w:val="0"/>
        <w:adjustRightInd/>
        <w:snapToGrid/>
        <w:ind w:left="0" w:leftChars="0" w:firstLine="640" w:firstLineChars="200"/>
        <w:jc w:val="left"/>
        <w:textAlignment w:val="auto"/>
        <w:rPr>
          <w:rFonts w:hint="eastAsia" w:ascii="仿宋_GB2312" w:hAnsi="仿宋_GB2312" w:eastAsia="仿宋_GB2312" w:cs="仿宋_GB2312"/>
          <w:color w:val="000000" w:themeColor="text1"/>
          <w14:textFill>
            <w14:solidFill>
              <w14:schemeClr w14:val="tx1"/>
            </w14:solidFill>
          </w14:textFill>
        </w:rPr>
      </w:pPr>
      <w:r>
        <w:rPr>
          <w:rFonts w:hint="eastAsia" w:ascii="仿宋_GB2312" w:hAnsi="仿宋_GB2312" w:eastAsia="仿宋_GB2312" w:cs="仿宋_GB2312"/>
          <w:bCs/>
          <w:color w:val="000000" w:themeColor="text1"/>
          <w:kern w:val="2"/>
          <w:sz w:val="32"/>
          <w:szCs w:val="32"/>
          <w:shd w:val="clear" w:fill="auto"/>
          <w:lang w:val="en-US" w:eastAsia="zh-CN" w:bidi="ar-SA"/>
          <w14:textFill>
            <w14:solidFill>
              <w14:schemeClr w14:val="tx1"/>
            </w14:solidFill>
          </w14:textFill>
        </w:rPr>
        <w:t>2025年度，我局未收到依申请公开事项</w:t>
      </w:r>
      <w:r>
        <w:rPr>
          <w:rFonts w:hint="eastAsia" w:ascii="仿宋_GB2312" w:hAnsi="仿宋_GB2312" w:eastAsia="仿宋_GB2312" w:cs="仿宋_GB2312"/>
          <w:sz w:val="32"/>
          <w:szCs w:val="32"/>
        </w:rPr>
        <w:t>。</w:t>
      </w:r>
    </w:p>
    <w:p w14:paraId="405F5D4D">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left"/>
        <w:textAlignment w:val="auto"/>
        <w:rPr>
          <w:rFonts w:hint="eastAsia" w:ascii="楷体" w:hAnsi="楷体" w:eastAsia="楷体" w:cs="楷体"/>
          <w:b/>
          <w:bCs w:val="0"/>
          <w:color w:val="000000" w:themeColor="text1"/>
          <w:shd w:val="clear" w:color="auto" w:fill="auto"/>
          <w14:textFill>
            <w14:solidFill>
              <w14:schemeClr w14:val="tx1"/>
            </w14:solidFill>
          </w14:textFill>
        </w:rPr>
      </w:pPr>
      <w:r>
        <w:rPr>
          <w:rFonts w:hint="eastAsia" w:ascii="楷体" w:hAnsi="楷体" w:eastAsia="楷体" w:cs="楷体"/>
          <w:b/>
          <w:bCs w:val="0"/>
          <w:color w:val="000000" w:themeColor="text1"/>
          <w:kern w:val="2"/>
          <w:sz w:val="32"/>
          <w:szCs w:val="32"/>
          <w:shd w:val="clear" w:fill="auto"/>
          <w:lang w:val="en-US" w:eastAsia="zh-CN" w:bidi="ar-SA"/>
          <w14:textFill>
            <w14:solidFill>
              <w14:schemeClr w14:val="tx1"/>
            </w14:solidFill>
          </w14:textFill>
        </w:rPr>
        <w:t>（三）</w:t>
      </w:r>
      <w:r>
        <w:rPr>
          <w:rFonts w:hint="eastAsia" w:ascii="楷体" w:hAnsi="楷体" w:eastAsia="楷体" w:cs="楷体"/>
          <w:b/>
          <w:bCs w:val="0"/>
          <w:color w:val="000000" w:themeColor="text1"/>
          <w:shd w:val="clear" w:color="auto" w:fill="auto"/>
          <w14:textFill>
            <w14:solidFill>
              <w14:schemeClr w14:val="tx1"/>
            </w14:solidFill>
          </w14:textFill>
        </w:rPr>
        <w:t>政府信息管理</w:t>
      </w:r>
    </w:p>
    <w:p w14:paraId="3B6B622F">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left"/>
        <w:textAlignment w:val="auto"/>
        <w:rPr>
          <w:rFonts w:hint="eastAsia"/>
          <w:color w:val="000000" w:themeColor="text1"/>
          <w:shd w:val="clear" w:color="auto" w:fill="auto"/>
          <w14:textFill>
            <w14:solidFill>
              <w14:schemeClr w14:val="tx1"/>
            </w14:solidFill>
          </w14:textFill>
        </w:rPr>
      </w:pPr>
      <w:r>
        <w:rPr>
          <w:rFonts w:hint="eastAsia" w:ascii="仿宋_GB2312" w:hAnsi="仿宋_GB2312" w:eastAsia="仿宋_GB2312" w:cs="仿宋_GB2312"/>
          <w:color w:val="000000" w:themeColor="text1"/>
          <w:shd w:val="clear" w:color="auto" w:fill="auto"/>
          <w14:textFill>
            <w14:solidFill>
              <w14:schemeClr w14:val="tx1"/>
            </w14:solidFill>
          </w14:textFill>
        </w:rPr>
        <w:t>完善保密审查机制，严格落实“先审查、后公开”“一事一审”要求，明确审核流程和责任主体；将政务公开纳入年度工作要点，定期排查清理信息，及时更新维护公开内容，修正错链、断链问题，确保公开信息准确、时效、安全。</w:t>
      </w:r>
    </w:p>
    <w:p w14:paraId="19C3E846">
      <w:pPr>
        <w:keepNext w:val="0"/>
        <w:keepLines w:val="0"/>
        <w:pageBreakBefore w:val="0"/>
        <w:widowControl w:val="0"/>
        <w:numPr>
          <w:ilvl w:val="0"/>
          <w:numId w:val="0"/>
        </w:numPr>
        <w:kinsoku/>
        <w:wordWrap/>
        <w:overflowPunct/>
        <w:topLinePunct w:val="0"/>
        <w:autoSpaceDE/>
        <w:autoSpaceDN/>
        <w:bidi w:val="0"/>
        <w:adjustRightInd/>
        <w:snapToGrid/>
        <w:ind w:left="0" w:leftChars="0" w:firstLine="643" w:firstLineChars="200"/>
        <w:jc w:val="left"/>
        <w:textAlignment w:val="auto"/>
        <w:rPr>
          <w:rFonts w:hint="eastAsia" w:ascii="楷体" w:hAnsi="楷体" w:eastAsia="楷体" w:cs="楷体"/>
          <w:b/>
          <w:bCs w:val="0"/>
          <w:color w:val="000000" w:themeColor="text1"/>
          <w:sz w:val="32"/>
          <w:szCs w:val="32"/>
          <w:shd w:val="clear" w:color="auto" w:fill="auto"/>
          <w14:textFill>
            <w14:solidFill>
              <w14:schemeClr w14:val="tx1"/>
            </w14:solidFill>
          </w14:textFill>
        </w:rPr>
      </w:pPr>
      <w:r>
        <w:rPr>
          <w:rFonts w:hint="eastAsia" w:ascii="楷体" w:hAnsi="楷体" w:eastAsia="楷体" w:cs="楷体"/>
          <w:b/>
          <w:bCs w:val="0"/>
          <w:color w:val="000000" w:themeColor="text1"/>
          <w:kern w:val="2"/>
          <w:sz w:val="32"/>
          <w:szCs w:val="32"/>
          <w:shd w:val="clear" w:fill="auto"/>
          <w:lang w:val="en-US" w:eastAsia="zh-CN" w:bidi="ar-SA"/>
          <w14:textFill>
            <w14:solidFill>
              <w14:schemeClr w14:val="tx1"/>
            </w14:solidFill>
          </w14:textFill>
        </w:rPr>
        <w:t>（四）</w:t>
      </w:r>
      <w:r>
        <w:rPr>
          <w:rFonts w:hint="eastAsia" w:ascii="楷体" w:hAnsi="楷体" w:eastAsia="楷体" w:cs="楷体"/>
          <w:b/>
          <w:bCs w:val="0"/>
          <w:color w:val="000000" w:themeColor="text1"/>
          <w:sz w:val="32"/>
          <w:szCs w:val="32"/>
          <w:shd w:val="clear" w:color="auto" w:fill="auto"/>
          <w14:textFill>
            <w14:solidFill>
              <w14:schemeClr w14:val="tx1"/>
            </w14:solidFill>
          </w14:textFill>
        </w:rPr>
        <w:t>政府信息公开平台建设</w:t>
      </w:r>
    </w:p>
    <w:p w14:paraId="1CE7A4E7">
      <w:pPr>
        <w:keepNext w:val="0"/>
        <w:keepLines w:val="0"/>
        <w:pageBreakBefore w:val="0"/>
        <w:widowControl w:val="0"/>
        <w:numPr>
          <w:ilvl w:val="0"/>
          <w:numId w:val="0"/>
        </w:numPr>
        <w:kinsoku/>
        <w:wordWrap/>
        <w:overflowPunct/>
        <w:topLinePunct w:val="0"/>
        <w:autoSpaceDE/>
        <w:autoSpaceDN/>
        <w:bidi w:val="0"/>
        <w:adjustRightInd/>
        <w:snapToGrid/>
        <w:ind w:leftChars="0" w:firstLine="640" w:firstLineChars="200"/>
        <w:jc w:val="left"/>
        <w:textAlignment w:val="auto"/>
        <w:rPr>
          <w:rFonts w:hint="eastAsia" w:ascii="仿宋_GB2312" w:hAnsi="仿宋_GB2312" w:eastAsia="仿宋_GB2312" w:cs="仿宋_GB2312"/>
          <w:color w:val="auto"/>
          <w:shd w:val="clear" w:color="auto" w:fill="auto"/>
          <w:lang w:val="en-US" w:eastAsia="zh-CN"/>
        </w:rPr>
      </w:pPr>
      <w:r>
        <w:rPr>
          <w:rFonts w:hint="eastAsia" w:ascii="仿宋_GB2312" w:hAnsi="仿宋_GB2312" w:eastAsia="仿宋_GB2312" w:cs="仿宋_GB2312"/>
          <w:color w:val="auto"/>
          <w:shd w:val="clear" w:color="auto" w:fill="auto"/>
          <w:lang w:eastAsia="zh-CN"/>
        </w:rPr>
        <w:t>一是</w:t>
      </w:r>
      <w:r>
        <w:rPr>
          <w:rFonts w:hint="eastAsia" w:ascii="仿宋_GB2312" w:hAnsi="仿宋_GB2312" w:eastAsia="仿宋_GB2312" w:cs="仿宋_GB2312"/>
          <w:color w:val="auto"/>
          <w:shd w:val="clear" w:color="auto" w:fill="auto"/>
        </w:rPr>
        <w:t>强化县政府官网政务公开专栏主阵地作用，规范栏目设置、提升检索便捷性</w:t>
      </w:r>
      <w:r>
        <w:rPr>
          <w:rFonts w:hint="eastAsia" w:ascii="仿宋_GB2312" w:hAnsi="仿宋_GB2312" w:eastAsia="仿宋_GB2312" w:cs="仿宋_GB2312"/>
          <w:color w:val="auto"/>
          <w:shd w:val="clear" w:color="auto" w:fill="auto"/>
          <w:lang w:eastAsia="zh-CN"/>
        </w:rPr>
        <w:t>。二是</w:t>
      </w:r>
      <w:r>
        <w:rPr>
          <w:rFonts w:hint="eastAsia" w:ascii="仿宋_GB2312" w:hAnsi="仿宋_GB2312" w:eastAsia="仿宋_GB2312" w:cs="仿宋_GB2312"/>
          <w:color w:val="auto"/>
          <w:sz w:val="32"/>
          <w:szCs w:val="32"/>
        </w:rPr>
        <w:t>充分利用好微信</w:t>
      </w:r>
      <w:r>
        <w:rPr>
          <w:rFonts w:hint="eastAsia" w:ascii="仿宋_GB2312" w:hAnsi="仿宋_GB2312" w:eastAsia="仿宋_GB2312" w:cs="仿宋_GB2312"/>
          <w:color w:val="auto"/>
          <w:sz w:val="32"/>
          <w:szCs w:val="32"/>
          <w:lang w:eastAsia="zh-CN"/>
        </w:rPr>
        <w:t>视频</w:t>
      </w:r>
      <w:r>
        <w:rPr>
          <w:rFonts w:hint="eastAsia" w:ascii="仿宋_GB2312" w:hAnsi="仿宋_GB2312" w:eastAsia="仿宋_GB2312" w:cs="仿宋_GB2312"/>
          <w:color w:val="auto"/>
          <w:sz w:val="32"/>
          <w:szCs w:val="32"/>
        </w:rPr>
        <w:t>号、抖音等新媒体，积极做好新媒体的信息宣传工作</w:t>
      </w:r>
      <w:r>
        <w:rPr>
          <w:rFonts w:hint="eastAsia" w:ascii="仿宋_GB2312" w:hAnsi="仿宋_GB2312" w:eastAsia="仿宋_GB2312" w:cs="仿宋_GB2312"/>
          <w:color w:val="auto"/>
          <w:sz w:val="32"/>
          <w:szCs w:val="32"/>
          <w:lang w:eastAsia="zh-CN"/>
        </w:rPr>
        <w:t>，其中微信视频号发布视频</w:t>
      </w:r>
      <w:r>
        <w:rPr>
          <w:rFonts w:hint="eastAsia" w:ascii="仿宋_GB2312" w:hAnsi="仿宋_GB2312" w:eastAsia="仿宋_GB2312" w:cs="仿宋_GB2312"/>
          <w:color w:val="auto"/>
          <w:sz w:val="32"/>
          <w:szCs w:val="32"/>
          <w:lang w:val="en-US" w:eastAsia="zh-CN"/>
        </w:rPr>
        <w:t>342个、涞源文旅抖音号发布视频366个。</w:t>
      </w:r>
    </w:p>
    <w:p w14:paraId="0ACDE57C">
      <w:pPr>
        <w:keepNext w:val="0"/>
        <w:keepLines w:val="0"/>
        <w:pageBreakBefore w:val="0"/>
        <w:widowControl w:val="0"/>
        <w:numPr>
          <w:ilvl w:val="0"/>
          <w:numId w:val="0"/>
        </w:numPr>
        <w:kinsoku/>
        <w:wordWrap/>
        <w:overflowPunct/>
        <w:topLinePunct w:val="0"/>
        <w:autoSpaceDE/>
        <w:autoSpaceDN/>
        <w:bidi w:val="0"/>
        <w:adjustRightInd/>
        <w:snapToGrid/>
        <w:ind w:firstLine="643" w:firstLineChars="200"/>
        <w:jc w:val="left"/>
        <w:textAlignment w:val="auto"/>
        <w:rPr>
          <w:rFonts w:hint="eastAsia" w:ascii="楷体" w:hAnsi="楷体" w:eastAsia="楷体" w:cs="楷体"/>
          <w:b/>
          <w:bCs w:val="0"/>
          <w:color w:val="000000" w:themeColor="text1"/>
          <w:shd w:val="clear" w:color="auto" w:fill="auto"/>
          <w14:textFill>
            <w14:solidFill>
              <w14:schemeClr w14:val="tx1"/>
            </w14:solidFill>
          </w14:textFill>
        </w:rPr>
      </w:pPr>
      <w:r>
        <w:rPr>
          <w:rFonts w:hint="eastAsia" w:ascii="楷体" w:hAnsi="楷体" w:eastAsia="楷体" w:cs="楷体"/>
          <w:b/>
          <w:bCs w:val="0"/>
          <w:color w:val="000000" w:themeColor="text1"/>
          <w:kern w:val="2"/>
          <w:sz w:val="32"/>
          <w:szCs w:val="32"/>
          <w:shd w:val="clear" w:fill="auto"/>
          <w:lang w:val="en-US" w:eastAsia="zh-CN" w:bidi="ar-SA"/>
          <w14:textFill>
            <w14:solidFill>
              <w14:schemeClr w14:val="tx1"/>
            </w14:solidFill>
          </w14:textFill>
        </w:rPr>
        <w:t>（五）</w:t>
      </w:r>
      <w:r>
        <w:rPr>
          <w:rFonts w:hint="eastAsia" w:ascii="楷体" w:hAnsi="楷体" w:eastAsia="楷体" w:cs="楷体"/>
          <w:b/>
          <w:bCs w:val="0"/>
          <w:color w:val="000000" w:themeColor="text1"/>
          <w:shd w:val="clear" w:color="auto" w:fill="auto"/>
          <w14:textFill>
            <w14:solidFill>
              <w14:schemeClr w14:val="tx1"/>
            </w14:solidFill>
          </w14:textFill>
        </w:rPr>
        <w:t>监督保障</w:t>
      </w:r>
    </w:p>
    <w:p w14:paraId="48467474">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jc w:val="left"/>
        <w:textAlignment w:val="auto"/>
        <w:rPr>
          <w:rFonts w:hint="eastAsia" w:ascii="仿宋_GB2312" w:hAnsi="仿宋_GB2312" w:eastAsia="仿宋_GB2312" w:cs="仿宋_GB2312"/>
          <w:color w:val="auto"/>
          <w:shd w:val="clear" w:color="auto" w:fill="auto"/>
        </w:rPr>
      </w:pPr>
      <w:r>
        <w:rPr>
          <w:rFonts w:hint="eastAsia" w:ascii="仿宋_GB2312" w:hAnsi="仿宋_GB2312" w:eastAsia="仿宋_GB2312" w:cs="仿宋_GB2312"/>
          <w:color w:val="auto"/>
          <w:shd w:val="clear" w:color="auto" w:fill="auto"/>
          <w:lang w:eastAsia="zh-CN"/>
        </w:rPr>
        <w:t>一是</w:t>
      </w:r>
      <w:r>
        <w:rPr>
          <w:rFonts w:hint="eastAsia" w:ascii="仿宋_GB2312" w:hAnsi="仿宋_GB2312" w:eastAsia="仿宋_GB2312" w:cs="仿宋_GB2312"/>
          <w:color w:val="auto"/>
          <w:shd w:val="clear" w:color="auto" w:fill="auto"/>
        </w:rPr>
        <w:t>成立政务公开工作专班，明确专人专岗负责日常工作</w:t>
      </w:r>
      <w:r>
        <w:rPr>
          <w:rFonts w:hint="eastAsia" w:ascii="仿宋_GB2312" w:hAnsi="仿宋_GB2312" w:eastAsia="仿宋_GB2312" w:cs="仿宋_GB2312"/>
          <w:color w:val="auto"/>
          <w:shd w:val="clear" w:color="auto" w:fill="auto"/>
          <w:lang w:eastAsia="zh-CN"/>
        </w:rPr>
        <w:t>。二是</w:t>
      </w:r>
      <w:r>
        <w:rPr>
          <w:rFonts w:hint="eastAsia" w:ascii="仿宋_GB2312" w:hAnsi="仿宋_GB2312" w:eastAsia="仿宋_GB2312" w:cs="仿宋_GB2312"/>
          <w:color w:val="auto"/>
          <w:shd w:val="clear" w:color="auto" w:fill="auto"/>
        </w:rPr>
        <w:t>建立常态化督导检查机制，定期开展自查自纠，及时整改问题</w:t>
      </w:r>
      <w:r>
        <w:rPr>
          <w:rFonts w:hint="eastAsia" w:ascii="仿宋_GB2312" w:hAnsi="仿宋_GB2312" w:eastAsia="仿宋_GB2312" w:cs="仿宋_GB2312"/>
          <w:color w:val="auto"/>
          <w:shd w:val="clear" w:color="auto" w:fill="auto"/>
          <w:lang w:eastAsia="zh-CN"/>
        </w:rPr>
        <w:t>。三是</w:t>
      </w:r>
      <w:r>
        <w:rPr>
          <w:rFonts w:hint="eastAsia" w:ascii="仿宋_GB2312" w:hAnsi="仿宋_GB2312" w:eastAsia="仿宋_GB2312" w:cs="仿宋_GB2312"/>
          <w:color w:val="auto"/>
          <w:shd w:val="clear" w:color="auto" w:fill="auto"/>
        </w:rPr>
        <w:t>加强业务培训，提升工作人员政务公开业务能力，推动政务公开工作制度化、标准化、信息化建设走深走实。</w:t>
      </w:r>
    </w:p>
    <w:p w14:paraId="721999E2">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shd w:val="clear" w:color="auto" w:fill="auto"/>
        </w:rPr>
        <w:t>报告中所列数据的统计期限自202</w:t>
      </w:r>
      <w:r>
        <w:rPr>
          <w:rFonts w:hint="eastAsia" w:ascii="仿宋_GB2312" w:hAnsi="仿宋_GB2312" w:eastAsia="仿宋_GB2312" w:cs="仿宋_GB2312"/>
          <w:color w:val="auto"/>
          <w:shd w:val="clear" w:color="auto" w:fill="auto"/>
          <w:lang w:val="en-US" w:eastAsia="zh-CN"/>
        </w:rPr>
        <w:t>5</w:t>
      </w:r>
      <w:r>
        <w:rPr>
          <w:rFonts w:hint="eastAsia" w:ascii="仿宋_GB2312" w:hAnsi="仿宋_GB2312" w:eastAsia="仿宋_GB2312" w:cs="仿宋_GB2312"/>
          <w:color w:val="auto"/>
          <w:shd w:val="clear" w:color="auto" w:fill="auto"/>
        </w:rPr>
        <w:t>年1月1日至202</w:t>
      </w:r>
      <w:r>
        <w:rPr>
          <w:rFonts w:hint="eastAsia" w:ascii="仿宋_GB2312" w:hAnsi="仿宋_GB2312" w:eastAsia="仿宋_GB2312" w:cs="仿宋_GB2312"/>
          <w:color w:val="auto"/>
          <w:shd w:val="clear" w:color="auto" w:fill="auto"/>
          <w:lang w:val="en-US" w:eastAsia="zh-CN"/>
        </w:rPr>
        <w:t>5</w:t>
      </w:r>
      <w:r>
        <w:rPr>
          <w:rFonts w:hint="eastAsia" w:ascii="仿宋_GB2312" w:hAnsi="仿宋_GB2312" w:eastAsia="仿宋_GB2312" w:cs="仿宋_GB2312"/>
          <w:color w:val="auto"/>
          <w:shd w:val="clear" w:color="auto" w:fill="auto"/>
        </w:rPr>
        <w:t>年12月31日。</w:t>
      </w:r>
    </w:p>
    <w:p w14:paraId="29FB37C7">
      <w:pPr>
        <w:pStyle w:val="4"/>
        <w:rPr>
          <w:rFonts w:hint="eastAsia" w:ascii="黑体" w:hAnsi="黑体" w:eastAsia="黑体" w:cs="黑体"/>
          <w:sz w:val="32"/>
          <w:szCs w:val="32"/>
        </w:rPr>
      </w:pPr>
      <w:r>
        <w:rPr>
          <w:rFonts w:hint="eastAsia" w:ascii="黑体" w:hAnsi="黑体" w:eastAsia="黑体" w:cs="黑体"/>
          <w:b/>
          <w:bCs w:val="0"/>
          <w:sz w:val="32"/>
          <w:szCs w:val="32"/>
        </w:rPr>
        <w:t>二、主动公开政府信息情况</w:t>
      </w:r>
    </w:p>
    <w:tbl>
      <w:tblPr>
        <w:tblStyle w:val="5"/>
        <w:tblW w:w="9740" w:type="dxa"/>
        <w:jc w:val="center"/>
        <w:tblLayout w:type="autofit"/>
        <w:tblCellMar>
          <w:top w:w="15" w:type="dxa"/>
          <w:left w:w="15" w:type="dxa"/>
          <w:bottom w:w="15" w:type="dxa"/>
          <w:right w:w="15" w:type="dxa"/>
        </w:tblCellMar>
      </w:tblPr>
      <w:tblGrid>
        <w:gridCol w:w="2435"/>
        <w:gridCol w:w="2435"/>
        <w:gridCol w:w="2435"/>
        <w:gridCol w:w="2435"/>
      </w:tblGrid>
      <w:tr w14:paraId="62B928F0">
        <w:tblPrEx>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41FB571B">
            <w:pPr>
              <w:rPr>
                <w:sz w:val="22"/>
                <w:szCs w:val="22"/>
              </w:rPr>
            </w:pPr>
            <w:r>
              <w:rPr>
                <w:rFonts w:hint="eastAsia"/>
                <w:sz w:val="22"/>
                <w:szCs w:val="22"/>
                <w:lang w:bidi="ar"/>
              </w:rPr>
              <w:t>第二十条第（一）项</w:t>
            </w:r>
          </w:p>
        </w:tc>
      </w:tr>
      <w:tr w14:paraId="7F9D5B09">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0445A13">
            <w:pPr>
              <w:rPr>
                <w:sz w:val="22"/>
                <w:szCs w:val="22"/>
              </w:rPr>
            </w:pPr>
            <w:r>
              <w:rPr>
                <w:rFonts w:hint="eastAsia"/>
                <w:sz w:val="22"/>
                <w:szCs w:val="22"/>
                <w:lang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FDE0BA">
            <w:pPr>
              <w:rPr>
                <w:sz w:val="22"/>
                <w:szCs w:val="22"/>
              </w:rPr>
            </w:pPr>
            <w:r>
              <w:rPr>
                <w:rFonts w:hint="eastAsia"/>
                <w:color w:val="000000"/>
                <w:sz w:val="22"/>
                <w:szCs w:val="22"/>
                <w:lang w:bidi="ar"/>
              </w:rPr>
              <w:t>本年</w:t>
            </w:r>
            <w:r>
              <w:rPr>
                <w:rFonts w:hint="eastAsia"/>
                <w:sz w:val="22"/>
                <w:szCs w:val="22"/>
                <w:lang w:bidi="ar"/>
              </w:rPr>
              <w:t>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34CC6FD">
            <w:pPr>
              <w:rPr>
                <w:sz w:val="22"/>
                <w:szCs w:val="22"/>
              </w:rPr>
            </w:pPr>
            <w:r>
              <w:rPr>
                <w:rFonts w:hint="eastAsia"/>
                <w:sz w:val="22"/>
                <w:szCs w:val="22"/>
                <w:lang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6C9E4C">
            <w:pPr>
              <w:rPr>
                <w:sz w:val="22"/>
                <w:szCs w:val="22"/>
              </w:rPr>
            </w:pPr>
            <w:r>
              <w:rPr>
                <w:rFonts w:hint="eastAsia"/>
                <w:sz w:val="22"/>
                <w:szCs w:val="22"/>
                <w:lang w:bidi="ar"/>
              </w:rPr>
              <w:t>现行有效件数</w:t>
            </w:r>
          </w:p>
        </w:tc>
      </w:tr>
      <w:tr w14:paraId="0DD6F4B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F451C50">
            <w:pPr>
              <w:rPr>
                <w:sz w:val="22"/>
                <w:szCs w:val="22"/>
              </w:rPr>
            </w:pPr>
            <w:r>
              <w:rPr>
                <w:rFonts w:hint="eastAsia"/>
                <w:sz w:val="22"/>
                <w:szCs w:val="22"/>
                <w:lang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5977F3F">
            <w:pPr>
              <w:rPr>
                <w:sz w:val="22"/>
                <w:szCs w:val="22"/>
              </w:rPr>
            </w:pPr>
            <w:r>
              <w:rPr>
                <w:rFonts w:hint="eastAsia"/>
                <w:sz w:val="22"/>
                <w:szCs w:val="22"/>
                <w:lang w:bidi="ar"/>
              </w:rPr>
              <w:t>　　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6066DE">
            <w:pPr>
              <w:rPr>
                <w:sz w:val="22"/>
                <w:szCs w:val="22"/>
              </w:rPr>
            </w:pPr>
            <w:r>
              <w:rPr>
                <w:rFonts w:hint="eastAsia"/>
                <w:sz w:val="22"/>
                <w:szCs w:val="22"/>
                <w:lang w:bidi="ar"/>
              </w:rPr>
              <w:t>　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EC2BB30">
            <w:pPr>
              <w:rPr>
                <w:sz w:val="22"/>
                <w:szCs w:val="22"/>
              </w:rPr>
            </w:pPr>
            <w:r>
              <w:rPr>
                <w:rFonts w:hint="eastAsia"/>
                <w:sz w:val="22"/>
                <w:szCs w:val="22"/>
              </w:rPr>
              <w:t>0</w:t>
            </w:r>
          </w:p>
        </w:tc>
      </w:tr>
      <w:tr w14:paraId="146A3F15">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452317A">
            <w:pPr>
              <w:rPr>
                <w:sz w:val="22"/>
                <w:szCs w:val="22"/>
              </w:rPr>
            </w:pPr>
            <w:r>
              <w:rPr>
                <w:rFonts w:hint="eastAsia"/>
                <w:sz w:val="22"/>
                <w:szCs w:val="22"/>
                <w:lang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E617A8">
            <w:pPr>
              <w:rPr>
                <w:sz w:val="22"/>
                <w:szCs w:val="22"/>
              </w:rPr>
            </w:pPr>
            <w:r>
              <w:rPr>
                <w:rFonts w:hint="eastAsia"/>
                <w:sz w:val="22"/>
                <w:szCs w:val="22"/>
                <w:lang w:val="en-US" w:eastAsia="zh-CN" w:bidi="ar"/>
              </w:rPr>
              <w:t xml:space="preserve">    </w:t>
            </w:r>
            <w:r>
              <w:rPr>
                <w:sz w:val="22"/>
                <w:szCs w:val="22"/>
                <w:lang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11B519">
            <w:pPr>
              <w:rPr>
                <w:sz w:val="22"/>
                <w:szCs w:val="22"/>
              </w:rPr>
            </w:pPr>
            <w:r>
              <w:rPr>
                <w:rFonts w:hint="eastAsia"/>
                <w:sz w:val="22"/>
                <w:szCs w:val="22"/>
                <w:lang w:bidi="ar"/>
              </w:rPr>
              <w:t>　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041303">
            <w:pPr>
              <w:rPr>
                <w:rFonts w:hint="eastAsia" w:eastAsia="仿宋"/>
                <w:sz w:val="22"/>
                <w:szCs w:val="22"/>
                <w:lang w:val="en-US" w:eastAsia="zh-CN"/>
              </w:rPr>
            </w:pPr>
            <w:r>
              <w:rPr>
                <w:rFonts w:hint="eastAsia"/>
                <w:sz w:val="22"/>
                <w:szCs w:val="22"/>
                <w:lang w:val="en-US" w:eastAsia="zh-CN"/>
              </w:rPr>
              <w:t>0</w:t>
            </w:r>
          </w:p>
        </w:tc>
      </w:tr>
      <w:tr w14:paraId="76F86CFD">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0289BA1">
            <w:pPr>
              <w:rPr>
                <w:sz w:val="22"/>
                <w:szCs w:val="22"/>
              </w:rPr>
            </w:pPr>
            <w:r>
              <w:rPr>
                <w:rFonts w:hint="eastAsia"/>
                <w:sz w:val="22"/>
                <w:szCs w:val="22"/>
                <w:lang w:bidi="ar"/>
              </w:rPr>
              <w:t>第二十条第（五）项</w:t>
            </w:r>
          </w:p>
        </w:tc>
      </w:tr>
      <w:tr w14:paraId="529B18C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5C99057E">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66EC69">
            <w:pPr>
              <w:rPr>
                <w:sz w:val="22"/>
                <w:szCs w:val="22"/>
              </w:rPr>
            </w:pPr>
            <w:r>
              <w:rPr>
                <w:rFonts w:hint="eastAsia"/>
                <w:sz w:val="22"/>
                <w:szCs w:val="22"/>
                <w:lang w:bidi="ar"/>
              </w:rPr>
              <w:t>本年处理决定数量</w:t>
            </w:r>
          </w:p>
        </w:tc>
      </w:tr>
      <w:tr w14:paraId="5B12D9AA">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05592C41">
            <w:pPr>
              <w:rPr>
                <w:sz w:val="22"/>
                <w:szCs w:val="22"/>
              </w:rPr>
            </w:pPr>
            <w:r>
              <w:rPr>
                <w:rFonts w:hint="eastAsia"/>
                <w:sz w:val="22"/>
                <w:szCs w:val="22"/>
                <w:lang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FDD5379">
            <w:pPr>
              <w:rPr>
                <w:sz w:val="22"/>
                <w:szCs w:val="22"/>
              </w:rPr>
            </w:pPr>
            <w:r>
              <w:rPr>
                <w:rFonts w:hint="eastAsia"/>
                <w:sz w:val="22"/>
                <w:szCs w:val="22"/>
              </w:rPr>
              <w:t>0</w:t>
            </w:r>
          </w:p>
        </w:tc>
      </w:tr>
      <w:tr w14:paraId="652BBD58">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CF5A25D">
            <w:pPr>
              <w:rPr>
                <w:sz w:val="22"/>
                <w:szCs w:val="22"/>
              </w:rPr>
            </w:pPr>
            <w:r>
              <w:rPr>
                <w:rFonts w:hint="eastAsia"/>
                <w:sz w:val="22"/>
                <w:szCs w:val="22"/>
                <w:lang w:bidi="ar"/>
              </w:rPr>
              <w:t>第二十条第（六）项</w:t>
            </w:r>
          </w:p>
        </w:tc>
      </w:tr>
      <w:tr w14:paraId="375F4280">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D675764">
            <w:pPr>
              <w:rPr>
                <w:sz w:val="22"/>
                <w:szCs w:val="22"/>
              </w:rPr>
            </w:pPr>
            <w:r>
              <w:rPr>
                <w:rFonts w:hint="eastAsia"/>
                <w:sz w:val="22"/>
                <w:szCs w:val="22"/>
                <w:lang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3C01DBF7">
            <w:pPr>
              <w:rPr>
                <w:sz w:val="22"/>
                <w:szCs w:val="22"/>
              </w:rPr>
            </w:pPr>
            <w:r>
              <w:rPr>
                <w:rFonts w:hint="eastAsia"/>
                <w:sz w:val="22"/>
                <w:szCs w:val="22"/>
                <w:lang w:bidi="ar"/>
              </w:rPr>
              <w:t>本年处理决定数量</w:t>
            </w:r>
          </w:p>
        </w:tc>
      </w:tr>
      <w:tr w14:paraId="29041414">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EFFFDCF">
            <w:pPr>
              <w:rPr>
                <w:sz w:val="22"/>
                <w:szCs w:val="22"/>
              </w:rPr>
            </w:pPr>
            <w:r>
              <w:rPr>
                <w:rFonts w:hint="eastAsia"/>
                <w:sz w:val="22"/>
                <w:szCs w:val="22"/>
                <w:lang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8F1700A">
            <w:pPr>
              <w:rPr>
                <w:rFonts w:hint="eastAsia" w:eastAsia="仿宋"/>
                <w:sz w:val="22"/>
                <w:szCs w:val="22"/>
                <w:lang w:eastAsia="zh-CN"/>
              </w:rPr>
            </w:pPr>
            <w:r>
              <w:rPr>
                <w:rFonts w:hint="eastAsia"/>
                <w:sz w:val="22"/>
                <w:szCs w:val="22"/>
                <w:lang w:bidi="ar"/>
              </w:rPr>
              <w:t>　</w:t>
            </w:r>
            <w:r>
              <w:rPr>
                <w:rFonts w:hint="eastAsia"/>
                <w:sz w:val="22"/>
                <w:szCs w:val="22"/>
                <w:lang w:val="en-US" w:eastAsia="zh-CN" w:bidi="ar"/>
              </w:rPr>
              <w:t>2</w:t>
            </w:r>
          </w:p>
        </w:tc>
      </w:tr>
      <w:tr w14:paraId="6CD0FB61">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405C3D2">
            <w:pPr>
              <w:rPr>
                <w:sz w:val="22"/>
                <w:szCs w:val="22"/>
              </w:rPr>
            </w:pPr>
            <w:r>
              <w:rPr>
                <w:rFonts w:hint="eastAsia"/>
                <w:sz w:val="22"/>
                <w:szCs w:val="22"/>
                <w:lang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35C4C1F">
            <w:pPr>
              <w:rPr>
                <w:sz w:val="22"/>
                <w:szCs w:val="22"/>
              </w:rPr>
            </w:pPr>
            <w:r>
              <w:rPr>
                <w:rFonts w:hint="eastAsia"/>
                <w:sz w:val="22"/>
                <w:szCs w:val="22"/>
                <w:lang w:bidi="ar"/>
              </w:rPr>
              <w:t>　0</w:t>
            </w:r>
          </w:p>
        </w:tc>
      </w:tr>
      <w:tr w14:paraId="47239D3C">
        <w:tblPrEx>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12857692">
            <w:pPr>
              <w:rPr>
                <w:sz w:val="22"/>
                <w:szCs w:val="22"/>
              </w:rPr>
            </w:pPr>
            <w:r>
              <w:rPr>
                <w:rFonts w:hint="eastAsia"/>
                <w:sz w:val="22"/>
                <w:szCs w:val="22"/>
                <w:lang w:bidi="ar"/>
              </w:rPr>
              <w:t>第二十条第（八）项</w:t>
            </w:r>
          </w:p>
        </w:tc>
      </w:tr>
      <w:tr w14:paraId="2B24ACA5">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70147C8">
            <w:pPr>
              <w:rPr>
                <w:sz w:val="22"/>
                <w:szCs w:val="22"/>
              </w:rPr>
            </w:pPr>
            <w:r>
              <w:rPr>
                <w:rFonts w:hint="eastAsia"/>
                <w:sz w:val="22"/>
                <w:szCs w:val="22"/>
                <w:lang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5F1D51BE">
            <w:pPr>
              <w:rPr>
                <w:sz w:val="22"/>
                <w:szCs w:val="22"/>
              </w:rPr>
            </w:pPr>
            <w:r>
              <w:rPr>
                <w:rFonts w:hint="eastAsia"/>
                <w:sz w:val="22"/>
                <w:szCs w:val="22"/>
                <w:lang w:bidi="ar"/>
              </w:rPr>
              <w:t>本年收费金额（单位：万元）</w:t>
            </w:r>
          </w:p>
        </w:tc>
      </w:tr>
      <w:tr w14:paraId="701FD946">
        <w:tblPrEx>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B13D773">
            <w:pPr>
              <w:rPr>
                <w:sz w:val="22"/>
                <w:szCs w:val="22"/>
              </w:rPr>
            </w:pPr>
            <w:r>
              <w:rPr>
                <w:rFonts w:hint="eastAsia"/>
                <w:sz w:val="22"/>
                <w:szCs w:val="22"/>
                <w:lang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46C7DB1F">
            <w:pPr>
              <w:jc w:val="center"/>
              <w:rPr>
                <w:sz w:val="22"/>
                <w:szCs w:val="22"/>
              </w:rPr>
            </w:pPr>
            <w:r>
              <w:rPr>
                <w:rFonts w:hint="eastAsia"/>
                <w:sz w:val="22"/>
                <w:szCs w:val="22"/>
              </w:rPr>
              <w:t>0</w:t>
            </w:r>
          </w:p>
        </w:tc>
      </w:tr>
    </w:tbl>
    <w:p w14:paraId="24921D16">
      <w:pPr>
        <w:pStyle w:val="4"/>
        <w:rPr>
          <w:rFonts w:hint="eastAsia" w:ascii="黑体" w:hAnsi="黑体" w:eastAsia="黑体" w:cs="黑体"/>
          <w:sz w:val="32"/>
          <w:szCs w:val="32"/>
        </w:rPr>
      </w:pPr>
      <w:r>
        <w:rPr>
          <w:rFonts w:hint="eastAsia" w:ascii="黑体" w:hAnsi="黑体" w:eastAsia="黑体" w:cs="黑体"/>
          <w:b/>
          <w:bCs w:val="0"/>
          <w:sz w:val="32"/>
          <w:szCs w:val="32"/>
        </w:rPr>
        <w:t>三、收到和处理政府信息公开申请情况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768"/>
        <w:gridCol w:w="945"/>
        <w:gridCol w:w="3217"/>
        <w:gridCol w:w="688"/>
        <w:gridCol w:w="688"/>
        <w:gridCol w:w="688"/>
        <w:gridCol w:w="688"/>
        <w:gridCol w:w="688"/>
        <w:gridCol w:w="689"/>
        <w:gridCol w:w="689"/>
      </w:tblGrid>
      <w:tr w14:paraId="34BCDEA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3CECE31">
            <w:pPr>
              <w:rPr>
                <w:color w:val="000000" w:themeColor="text1"/>
                <w:sz w:val="21"/>
                <w:szCs w:val="21"/>
                <w14:textFill>
                  <w14:solidFill>
                    <w14:schemeClr w14:val="tx1"/>
                  </w14:solidFill>
                </w14:textFill>
              </w:rPr>
            </w:pPr>
            <w:r>
              <w:rPr>
                <w:color w:val="000000" w:themeColor="text1"/>
                <w:sz w:val="21"/>
                <w:szCs w:val="21"/>
                <w:lang w:bidi="ar"/>
                <w14:textFill>
                  <w14:solidFill>
                    <w14:schemeClr w14:val="tx1"/>
                  </w14:solidFill>
                </w14:textFill>
              </w:rPr>
              <w:t>（本列数据的勾稽关系为：第一项加第二项之和，等于第三项加第四项之和）</w:t>
            </w:r>
          </w:p>
        </w:tc>
        <w:tc>
          <w:tcPr>
            <w:tcW w:w="4998"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80C3A8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申请人情况</w:t>
            </w:r>
          </w:p>
        </w:tc>
      </w:tr>
      <w:tr w14:paraId="16D339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361696E7">
            <w:pPr>
              <w:rPr>
                <w:color w:val="000000" w:themeColor="text1"/>
                <w:sz w:val="21"/>
                <w:szCs w:val="21"/>
                <w14:textFill>
                  <w14:solidFill>
                    <w14:schemeClr w14:val="tx1"/>
                  </w14:solidFill>
                </w14:textFill>
              </w:rPr>
            </w:pPr>
          </w:p>
        </w:tc>
        <w:tc>
          <w:tcPr>
            <w:tcW w:w="714"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E51155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自</w:t>
            </w:r>
          </w:p>
          <w:p w14:paraId="77015716">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1"/>
                <w:szCs w:val="21"/>
                <w:lang w:bidi="ar"/>
                <w14:textFill>
                  <w14:solidFill>
                    <w14:schemeClr w14:val="tx1"/>
                  </w14:solidFill>
                </w14:textFill>
              </w:rPr>
            </w:pPr>
            <w:r>
              <w:rPr>
                <w:rFonts w:hint="eastAsia"/>
                <w:color w:val="000000" w:themeColor="text1"/>
                <w:sz w:val="21"/>
                <w:szCs w:val="21"/>
                <w:lang w:bidi="ar"/>
                <w14:textFill>
                  <w14:solidFill>
                    <w14:schemeClr w14:val="tx1"/>
                  </w14:solidFill>
                </w14:textFill>
              </w:rPr>
              <w:t>然</w:t>
            </w:r>
          </w:p>
          <w:p w14:paraId="6D2216B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人</w:t>
            </w:r>
          </w:p>
        </w:tc>
        <w:tc>
          <w:tcPr>
            <w:tcW w:w="357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79267C">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法人或其他组织</w:t>
            </w:r>
          </w:p>
        </w:tc>
        <w:tc>
          <w:tcPr>
            <w:tcW w:w="714"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7E92624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总计</w:t>
            </w:r>
          </w:p>
        </w:tc>
      </w:tr>
      <w:tr w14:paraId="625DB1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45C625AC">
            <w:pPr>
              <w:rPr>
                <w:color w:val="000000" w:themeColor="text1"/>
                <w:sz w:val="21"/>
                <w:szCs w:val="21"/>
                <w14:textFill>
                  <w14:solidFill>
                    <w14:schemeClr w14:val="tx1"/>
                  </w14:solidFill>
                </w14:textFill>
              </w:rPr>
            </w:pPr>
          </w:p>
        </w:tc>
        <w:tc>
          <w:tcPr>
            <w:tcW w:w="714"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37AB91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96480B">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商业</w:t>
            </w:r>
          </w:p>
          <w:p w14:paraId="64B950D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企业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AED1B0">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科研</w:t>
            </w:r>
          </w:p>
          <w:p w14:paraId="73F65B8B">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C20FB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社会公益组织</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55446F">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法律服务机构</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1AD85C6">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其他</w:t>
            </w:r>
          </w:p>
        </w:tc>
        <w:tc>
          <w:tcPr>
            <w:tcW w:w="714"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1FAB433">
            <w:pPr>
              <w:rPr>
                <w:color w:val="000000" w:themeColor="text1"/>
                <w:sz w:val="21"/>
                <w:szCs w:val="21"/>
                <w14:textFill>
                  <w14:solidFill>
                    <w14:schemeClr w14:val="tx1"/>
                  </w14:solidFill>
                </w14:textFill>
              </w:rPr>
            </w:pPr>
          </w:p>
        </w:tc>
      </w:tr>
      <w:tr w14:paraId="4F5C4A1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CF8349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一、本年新收政府信息公开申请数量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21FD6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8DB8D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0F65C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0F729D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E2DFA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5D5E10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6031AC5">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42015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79810AD">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二、上年结转政府信息公开申请数量</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BC9F8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357C7F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2583D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65B7A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1FAEC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79067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C852C27">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D5B08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120540C">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三、本年度办理结果</w:t>
            </w: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3241371">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（一）予以公开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8073D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7BE14E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AA469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6D1EF3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77516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FC343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tcPr>
          <w:p w14:paraId="44606D17">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39DBA4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98"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C3D0B0C">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CDE5527">
            <w:pPr>
              <w:keepNext w:val="0"/>
              <w:keepLines w:val="0"/>
              <w:pageBreakBefore w:val="0"/>
              <w:widowControl w:val="0"/>
              <w:kinsoku/>
              <w:wordWrap/>
              <w:overflowPunct/>
              <w:topLinePunct w:val="0"/>
              <w:autoSpaceDE/>
              <w:autoSpaceDN/>
              <w:bidi w:val="0"/>
              <w:adjustRightInd/>
              <w:snapToGrid/>
              <w:spacing w:line="400" w:lineRule="exact"/>
              <w:jc w:val="left"/>
              <w:textAlignment w:val="auto"/>
              <w:rPr>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lang w:bidi="ar"/>
                <w14:textFill>
                  <w14:solidFill>
                    <w14:schemeClr w14:val="tx1"/>
                  </w14:solidFill>
                </w14:textFill>
              </w:rPr>
              <w:t>（二）部分公开</w:t>
            </w:r>
            <w:r>
              <w:rPr>
                <w:rFonts w:hint="eastAsia"/>
                <w:color w:val="000000" w:themeColor="text1"/>
                <w:sz w:val="21"/>
                <w:szCs w:val="21"/>
                <w:lang w:bidi="ar"/>
                <w14:textFill>
                  <w14:solidFill>
                    <w14:schemeClr w14:val="tx1"/>
                  </w14:solidFill>
                </w14:textFill>
              </w:rPr>
              <w:t>（区分处理的，只计这一情形，不计其他情形）</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F87659">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86E29F">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E58A04">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3B731C">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271A6B">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1A31F9">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AF284D7">
            <w:pPr>
              <w:jc w:val="cente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7862790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700B76A">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3D4A739">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（三）不予公开</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EF0F15E">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1.属于国家秘密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55E8E26">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A8E96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FC22C1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539B43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8BCD2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ACD924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tcPr>
          <w:p w14:paraId="646C2024">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4AB13C0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4584070">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15B62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7E5600">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2.其他法律行政法规禁止公开</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993588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36D08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88C622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6B21FE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7A38DD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3D80EF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A0517E7">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1B600B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355B11C">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03048F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6DDD87D">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3.危及“三安全一稳定”</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7B54B60">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ED2450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F9BA34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BDEDE8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9759F6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AF2645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BC8B5E6">
            <w:pPr>
              <w:jc w:val="center"/>
              <w:rPr>
                <w:color w:val="000000" w:themeColor="text1"/>
                <w:sz w:val="21"/>
                <w:szCs w:val="21"/>
                <w14:textFill>
                  <w14:solidFill>
                    <w14:schemeClr w14:val="tx1"/>
                  </w14:solidFill>
                </w14:textFill>
              </w:rPr>
            </w:pPr>
            <w:r>
              <w:rPr>
                <w:color w:val="000000" w:themeColor="text1"/>
                <w:sz w:val="21"/>
                <w:szCs w:val="21"/>
                <w14:textFill>
                  <w14:solidFill>
                    <w14:schemeClr w14:val="tx1"/>
                  </w14:solidFill>
                </w14:textFill>
              </w:rPr>
              <w:t>0</w:t>
            </w:r>
          </w:p>
        </w:tc>
      </w:tr>
      <w:tr w14:paraId="4821FE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EEDA4E5">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F543957">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D433095">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4.保护第三方合法权益</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5A8BE83">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236E65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BA7CD6">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714643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D7139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7AD57FC">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93FCF6">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630FCD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08714A4">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AB885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904F934">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5.属于三类内部事务信息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DCE3337">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D574054">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225BE2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73F5C47">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B6BE16A">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4D6F09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5E23876">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4E32B4F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1F5EAA9">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02854DA">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C4D9976">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6.属于四类过程性信息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632C93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86BAA31">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15E84D">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44D86C4">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C608EEE">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137A275">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60ED4E">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6CBAA8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D51692F">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7CE151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76553F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7.属于行政执法案卷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3BA419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B0CC0F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19B821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32433C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FFBC23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FA7289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944DB0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F945A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6306AB9">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2F369CD">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A57A43B">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8.属于行政查询事项</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98CA4A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A5BF08">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20698EB">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284DF9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AE358D2">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D6C222F">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298CC89">
            <w:pP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0</w:t>
            </w:r>
          </w:p>
        </w:tc>
      </w:tr>
      <w:tr w14:paraId="08BC7BE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0D12C138">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1D2BFF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（四）无法提供</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733E055">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1.本机关不掌握相关政府信息</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14B376E">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B9E48C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164B48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C158D4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B96643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AA5F25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0E0AFA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885CC4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306591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98DC94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D165627">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2.没有现成信息需要另行制作</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805F37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45B4CD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EA6A8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5F6F4E9">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83665E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7D09A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27B6D2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223D33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B83000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A6C530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B77ABE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3.补正后申请内容仍不明确</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50CE8D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002CF9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E0BC4F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0387B3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C881E7E">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991524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35DAB2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386518C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3F1016E">
            <w:pPr>
              <w:rPr>
                <w:color w:val="000000" w:themeColor="text1"/>
                <w:sz w:val="21"/>
                <w:szCs w:val="21"/>
                <w14:textFill>
                  <w14:solidFill>
                    <w14:schemeClr w14:val="tx1"/>
                  </w14:solidFill>
                </w14:textFill>
              </w:rPr>
            </w:pPr>
          </w:p>
        </w:tc>
        <w:tc>
          <w:tcPr>
            <w:tcW w:w="959"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9A92EEE">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（五）不予处理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A71E9FA">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1.信访举报投诉类申请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99FBF2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44DAF9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14F1E5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51F615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2D7D41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BC8AB8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7B3E9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0F8FB58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D9917BA">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2D81B329">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1B774FC">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5B5676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2F43C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AA0FD4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F20202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5135E6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BD7FD01">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5BD2226">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ACED01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30E0047">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8DAECE6">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C103AB">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3.要求提供公开出版物</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7D68BC3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C1C0B43">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241A1E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6E038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72CB45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4EF614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E717950">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250C98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560C5C8">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E96F43A">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04C25E7">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4.无正当理由大量反复申请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1E1BC761">
            <w:pP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01B6590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2D3194D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E59CE9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BA1D8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5140111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AB2219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0A4714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79" w:hRule="atLeast"/>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46B2876">
            <w:pPr>
              <w:rPr>
                <w:color w:val="000000" w:themeColor="text1"/>
                <w:sz w:val="21"/>
                <w:szCs w:val="21"/>
                <w14:textFill>
                  <w14:solidFill>
                    <w14:schemeClr w14:val="tx1"/>
                  </w14:solidFill>
                </w14:textFill>
              </w:rPr>
            </w:pPr>
          </w:p>
        </w:tc>
        <w:tc>
          <w:tcPr>
            <w:tcW w:w="959"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400027A">
            <w:pPr>
              <w:rPr>
                <w:color w:val="000000" w:themeColor="text1"/>
                <w:sz w:val="21"/>
                <w:szCs w:val="21"/>
                <w14:textFill>
                  <w14:solidFill>
                    <w14:schemeClr w14:val="tx1"/>
                  </w14:solidFill>
                </w14:textFill>
              </w:rPr>
            </w:pPr>
          </w:p>
        </w:tc>
        <w:tc>
          <w:tcPr>
            <w:tcW w:w="3406"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B2C7C48">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5.要求行政机关确认或重新出具已获取信息</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1D8DAF17">
            <w:pPr>
              <w:rPr>
                <w:rFonts w:hint="default"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4BAE19E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55893C4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687CB57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48879C1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7F78DCA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outset" w:color="auto" w:sz="8" w:space="0"/>
              <w:right w:val="single" w:color="auto" w:sz="8" w:space="0"/>
            </w:tcBorders>
            <w:shd w:val="clear" w:color="auto" w:fill="auto"/>
            <w:tcMar>
              <w:top w:w="0" w:type="dxa"/>
              <w:left w:w="57" w:type="dxa"/>
              <w:bottom w:w="0" w:type="dxa"/>
              <w:right w:w="57" w:type="dxa"/>
            </w:tcMar>
          </w:tcPr>
          <w:p w14:paraId="61BA60D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36473A9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6E088A5">
            <w:pPr>
              <w:rPr>
                <w:color w:val="000000" w:themeColor="text1"/>
                <w:sz w:val="21"/>
                <w:szCs w:val="21"/>
                <w14:textFill>
                  <w14:solidFill>
                    <w14:schemeClr w14:val="tx1"/>
                  </w14:solidFill>
                </w14:textFill>
              </w:rPr>
            </w:pPr>
          </w:p>
        </w:tc>
        <w:tc>
          <w:tcPr>
            <w:tcW w:w="959"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A985FE4">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（六）其他处理</w:t>
            </w: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286193C">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1.申请人无正当理由逾期不补正、行政机关不再处理其政府信息公开申请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4383E8">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A3687E">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4CABAA9">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E658901">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779B80C">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12FF8ED">
            <w:pPr>
              <w:jc w:val="center"/>
              <w:rPr>
                <w:rFonts w:hint="eastAsia"/>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5E3246">
            <w:pPr>
              <w:jc w:val="center"/>
              <w:rPr>
                <w:rFonts w:hint="default"/>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5457060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C395957">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4DE53631">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21D734">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2.申请人逾期未按收费通知要求缴纳费用、行政机关不再处理其政府信息公开申请</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23405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8E701B">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FA6991">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78AB07">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53C2E2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5160A2">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EA06A3">
            <w:pPr>
              <w:jc w:val="cente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785CBC3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CA08B1B">
            <w:pPr>
              <w:rPr>
                <w:color w:val="000000" w:themeColor="text1"/>
                <w:sz w:val="21"/>
                <w:szCs w:val="21"/>
                <w14:textFill>
                  <w14:solidFill>
                    <w14:schemeClr w14:val="tx1"/>
                  </w14:solidFill>
                </w14:textFill>
              </w:rPr>
            </w:pPr>
          </w:p>
        </w:tc>
        <w:tc>
          <w:tcPr>
            <w:tcW w:w="959"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65AB40B5">
            <w:pPr>
              <w:rPr>
                <w:color w:val="000000" w:themeColor="text1"/>
                <w:sz w:val="21"/>
                <w:szCs w:val="21"/>
                <w14:textFill>
                  <w14:solidFill>
                    <w14:schemeClr w14:val="tx1"/>
                  </w14:solidFill>
                </w14:textFill>
              </w:rPr>
            </w:pPr>
          </w:p>
        </w:tc>
        <w:tc>
          <w:tcPr>
            <w:tcW w:w="3406"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85B9726">
            <w:pPr>
              <w:keepNext w:val="0"/>
              <w:keepLines w:val="0"/>
              <w:pageBreakBefore w:val="0"/>
              <w:widowControl w:val="0"/>
              <w:kinsoku/>
              <w:wordWrap/>
              <w:overflowPunct/>
              <w:topLinePunct w:val="0"/>
              <w:autoSpaceDE/>
              <w:autoSpaceDN/>
              <w:bidi w:val="0"/>
              <w:adjustRightInd/>
              <w:snapToGrid/>
              <w:jc w:val="left"/>
              <w:textAlignment w:val="auto"/>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3.其他</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6C533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15C07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B129755">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11263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BF38E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91F6B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38BDC66B">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09064B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85"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2793C3D">
            <w:pPr>
              <w:rPr>
                <w:color w:val="000000" w:themeColor="text1"/>
                <w:sz w:val="21"/>
                <w:szCs w:val="21"/>
                <w14:textFill>
                  <w14:solidFill>
                    <w14:schemeClr w14:val="tx1"/>
                  </w14:solidFill>
                </w14:textFill>
              </w:rPr>
            </w:pPr>
          </w:p>
        </w:tc>
        <w:tc>
          <w:tcPr>
            <w:tcW w:w="4365"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098532">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（七）总计</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880CC7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C914A9C">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56394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35690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5BCBE9">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43274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62C6E832">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r w14:paraId="1F7338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5150"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574A7DB">
            <w:pPr>
              <w:rPr>
                <w:color w:val="000000" w:themeColor="text1"/>
                <w:sz w:val="21"/>
                <w:szCs w:val="21"/>
                <w14:textFill>
                  <w14:solidFill>
                    <w14:schemeClr w14:val="tx1"/>
                  </w14:solidFill>
                </w14:textFill>
              </w:rPr>
            </w:pPr>
            <w:r>
              <w:rPr>
                <w:rFonts w:hint="eastAsia"/>
                <w:color w:val="000000" w:themeColor="text1"/>
                <w:sz w:val="21"/>
                <w:szCs w:val="21"/>
                <w:lang w:bidi="ar"/>
                <w14:textFill>
                  <w14:solidFill>
                    <w14:schemeClr w14:val="tx1"/>
                  </w14:solidFill>
                </w14:textFill>
              </w:rPr>
              <w:t>四、结转下年度继续办理</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06B565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814BB84">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17C505A">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767BB68">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C09937">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60EBEEF">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c>
          <w:tcPr>
            <w:tcW w:w="714" w:type="dxa"/>
            <w:tcBorders>
              <w:top w:val="nil"/>
              <w:left w:val="nil"/>
              <w:bottom w:val="single" w:color="auto" w:sz="8" w:space="0"/>
              <w:right w:val="single" w:color="auto" w:sz="8" w:space="0"/>
            </w:tcBorders>
            <w:shd w:val="clear" w:color="auto" w:fill="auto"/>
            <w:tcMar>
              <w:top w:w="0" w:type="dxa"/>
              <w:left w:w="57" w:type="dxa"/>
              <w:bottom w:w="0" w:type="dxa"/>
              <w:right w:w="57" w:type="dxa"/>
            </w:tcMar>
          </w:tcPr>
          <w:p w14:paraId="41F791FD">
            <w:pPr>
              <w:rPr>
                <w:rFonts w:hint="eastAsia" w:eastAsia="仿宋"/>
                <w:color w:val="000000" w:themeColor="text1"/>
                <w:sz w:val="21"/>
                <w:szCs w:val="21"/>
                <w:lang w:val="en-US" w:eastAsia="zh-CN"/>
                <w14:textFill>
                  <w14:solidFill>
                    <w14:schemeClr w14:val="tx1"/>
                  </w14:solidFill>
                </w14:textFill>
              </w:rPr>
            </w:pPr>
            <w:r>
              <w:rPr>
                <w:rFonts w:hint="eastAsia"/>
                <w:color w:val="000000" w:themeColor="text1"/>
                <w:sz w:val="21"/>
                <w:szCs w:val="21"/>
                <w:lang w:val="en-US" w:eastAsia="zh-CN"/>
                <w14:textFill>
                  <w14:solidFill>
                    <w14:schemeClr w14:val="tx1"/>
                  </w14:solidFill>
                </w14:textFill>
              </w:rPr>
              <w:t>0</w:t>
            </w:r>
          </w:p>
        </w:tc>
      </w:tr>
    </w:tbl>
    <w:p w14:paraId="26F0358D">
      <w:pPr>
        <w:pStyle w:val="4"/>
        <w:rPr>
          <w:rFonts w:hint="eastAsia" w:ascii="黑体" w:hAnsi="黑体" w:eastAsia="黑体" w:cs="黑体"/>
          <w:sz w:val="32"/>
          <w:szCs w:val="32"/>
        </w:rPr>
      </w:pPr>
      <w:r>
        <w:rPr>
          <w:rFonts w:hint="eastAsia" w:ascii="黑体" w:hAnsi="黑体" w:eastAsia="黑体" w:cs="黑体"/>
          <w:b/>
          <w:bCs w:val="0"/>
          <w:sz w:val="32"/>
          <w:szCs w:val="32"/>
        </w:rPr>
        <w:t>四、政府信息公开行政复议、行政诉讼情况</w:t>
      </w:r>
    </w:p>
    <w:tbl>
      <w:tblPr>
        <w:tblStyle w:val="5"/>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5932329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17" w:hRule="atLeast"/>
          <w:jc w:val="center"/>
        </w:trPr>
        <w:tc>
          <w:tcPr>
            <w:tcW w:w="3210"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C014BFA">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行政复议</w:t>
            </w:r>
          </w:p>
        </w:tc>
        <w:tc>
          <w:tcPr>
            <w:tcW w:w="6428"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ACA151F">
            <w:pPr>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行政诉讼</w:t>
            </w:r>
          </w:p>
        </w:tc>
      </w:tr>
      <w:tr w14:paraId="1162225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542854F">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结果维持</w:t>
            </w:r>
          </w:p>
        </w:tc>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E846A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BFA071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F7EA08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CE8371">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3213"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56E3471">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未经复议直接起诉</w:t>
            </w:r>
          </w:p>
        </w:tc>
        <w:tc>
          <w:tcPr>
            <w:tcW w:w="321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2BA489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复议后起诉</w:t>
            </w:r>
          </w:p>
        </w:tc>
      </w:tr>
      <w:tr w14:paraId="41C35B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EEE8A9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DCD3E43">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AE7CE7C">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6917B07">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38B8F65">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ED7B48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145839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D53DEF4">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6AFBCED">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4D83E3E">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13841D0">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维持</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30439F8">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结果</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DA06112">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其他</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8C5A802">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尚未</w:t>
            </w:r>
            <w:r>
              <w:rPr>
                <w:rFonts w:hint="eastAsia"/>
                <w:color w:val="000000" w:themeColor="text1"/>
                <w:sz w:val="24"/>
                <w:szCs w:val="24"/>
                <w:lang w:bidi="ar"/>
                <w14:textFill>
                  <w14:solidFill>
                    <w14:schemeClr w14:val="tx1"/>
                  </w14:solidFill>
                </w14:textFill>
              </w:rPr>
              <w:br w:type="textWrapping"/>
            </w:r>
            <w:r>
              <w:rPr>
                <w:rFonts w:hint="eastAsia"/>
                <w:color w:val="000000" w:themeColor="text1"/>
                <w:sz w:val="24"/>
                <w:szCs w:val="24"/>
                <w:lang w:bidi="ar"/>
                <w14:textFill>
                  <w14:solidFill>
                    <w14:schemeClr w14:val="tx1"/>
                  </w14:solidFill>
                </w14:textFill>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3316959">
            <w:pPr>
              <w:keepNext w:val="0"/>
              <w:keepLines w:val="0"/>
              <w:pageBreakBefore w:val="0"/>
              <w:widowControl w:val="0"/>
              <w:kinsoku/>
              <w:wordWrap/>
              <w:overflowPunct/>
              <w:topLinePunct w:val="0"/>
              <w:autoSpaceDE/>
              <w:autoSpaceDN/>
              <w:bidi w:val="0"/>
              <w:adjustRightInd/>
              <w:snapToGrid/>
              <w:spacing w:line="400" w:lineRule="exact"/>
              <w:textAlignment w:val="auto"/>
              <w:rPr>
                <w:color w:val="000000" w:themeColor="text1"/>
                <w:sz w:val="24"/>
                <w:szCs w:val="24"/>
                <w14:textFill>
                  <w14:solidFill>
                    <w14:schemeClr w14:val="tx1"/>
                  </w14:solidFill>
                </w14:textFill>
              </w:rPr>
            </w:pPr>
            <w:r>
              <w:rPr>
                <w:rFonts w:hint="eastAsia"/>
                <w:color w:val="000000" w:themeColor="text1"/>
                <w:sz w:val="24"/>
                <w:szCs w:val="24"/>
                <w:lang w:bidi="ar"/>
                <w14:textFill>
                  <w14:solidFill>
                    <w14:schemeClr w14:val="tx1"/>
                  </w14:solidFill>
                </w14:textFill>
              </w:rPr>
              <w:t>总计</w:t>
            </w:r>
          </w:p>
        </w:tc>
      </w:tr>
      <w:tr w14:paraId="474B24D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72"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F4C30F2">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60E3E78">
            <w:pPr>
              <w:rPr>
                <w:rFonts w:hint="default"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16B506A">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77B3D34">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1D872B9">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636A026">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E0C75E8">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CD2AF10">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77AD783">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38625EE">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6B01EE8">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0BD0B19">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85BEB4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D3559D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37186C1">
            <w:pPr>
              <w:rPr>
                <w:rFonts w:hint="eastAsia" w:eastAsia="仿宋"/>
                <w:color w:val="000000" w:themeColor="text1"/>
                <w:sz w:val="24"/>
                <w:szCs w:val="24"/>
                <w:lang w:val="en-US" w:eastAsia="zh-CN"/>
                <w14:textFill>
                  <w14:solidFill>
                    <w14:schemeClr w14:val="tx1"/>
                  </w14:solidFill>
                </w14:textFill>
              </w:rPr>
            </w:pPr>
            <w:r>
              <w:rPr>
                <w:rFonts w:hint="eastAsia"/>
                <w:color w:val="000000" w:themeColor="text1"/>
                <w:sz w:val="24"/>
                <w:szCs w:val="24"/>
                <w:lang w:val="en-US" w:eastAsia="zh-CN"/>
                <w14:textFill>
                  <w14:solidFill>
                    <w14:schemeClr w14:val="tx1"/>
                  </w14:solidFill>
                </w14:textFill>
              </w:rPr>
              <w:t>0</w:t>
            </w:r>
          </w:p>
        </w:tc>
      </w:tr>
    </w:tbl>
    <w:p w14:paraId="06DF5896">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rPr>
          <w:rFonts w:hint="eastAsia"/>
          <w:b/>
          <w:bCs w:val="0"/>
          <w:sz w:val="32"/>
          <w:szCs w:val="40"/>
          <w:lang w:val="en-US" w:eastAsia="zh-CN"/>
        </w:rPr>
      </w:pPr>
    </w:p>
    <w:p w14:paraId="11223757">
      <w:pPr>
        <w:pStyle w:val="4"/>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textAlignment w:val="auto"/>
        <w:rPr>
          <w:rFonts w:hint="eastAsia" w:ascii="黑体" w:hAnsi="黑体" w:eastAsia="黑体" w:cs="黑体"/>
          <w:sz w:val="32"/>
          <w:szCs w:val="32"/>
        </w:rPr>
      </w:pPr>
      <w:r>
        <w:rPr>
          <w:rFonts w:hint="eastAsia" w:ascii="黑体" w:hAnsi="黑体" w:eastAsia="黑体" w:cs="黑体"/>
          <w:b/>
          <w:bCs w:val="0"/>
          <w:sz w:val="32"/>
          <w:szCs w:val="32"/>
          <w:lang w:val="en-US" w:eastAsia="zh-CN"/>
        </w:rPr>
        <w:t>五、</w:t>
      </w:r>
      <w:r>
        <w:rPr>
          <w:rFonts w:hint="eastAsia" w:ascii="黑体" w:hAnsi="黑体" w:eastAsia="黑体" w:cs="黑体"/>
          <w:b/>
          <w:bCs w:val="0"/>
          <w:sz w:val="32"/>
          <w:szCs w:val="32"/>
        </w:rPr>
        <w:t>存在的主要问题及改进情况</w:t>
      </w:r>
    </w:p>
    <w:p w14:paraId="3832B4AB">
      <w:pPr>
        <w:pStyle w:val="4"/>
        <w:keepNext w:val="0"/>
        <w:keepLines w:val="0"/>
        <w:pageBreakBefore w:val="0"/>
        <w:widowControl/>
        <w:kinsoku/>
        <w:wordWrap/>
        <w:overflowPunct/>
        <w:topLinePunct w:val="0"/>
        <w:autoSpaceDE/>
        <w:autoSpaceDN/>
        <w:bidi w:val="0"/>
        <w:adjustRightInd/>
        <w:snapToGrid/>
        <w:spacing w:before="0" w:beforeAutospacing="0" w:after="0" w:afterAutospacing="0"/>
        <w:ind w:firstLine="640" w:firstLineChars="200"/>
        <w:textAlignment w:val="auto"/>
        <w:rPr>
          <w:rFonts w:hint="eastAsia" w:ascii="仿宋_GB2312" w:hAnsi="仿宋_GB2312" w:eastAsia="仿宋_GB2312" w:cs="仿宋_GB2312"/>
          <w:color w:val="auto"/>
          <w:kern w:val="0"/>
          <w:sz w:val="32"/>
          <w:szCs w:val="32"/>
          <w:lang w:eastAsia="zh-CN"/>
        </w:rPr>
      </w:pPr>
      <w:r>
        <w:rPr>
          <w:rFonts w:hint="eastAsia" w:ascii="仿宋_GB2312" w:hAnsi="仿宋_GB2312" w:eastAsia="仿宋_GB2312" w:cs="仿宋_GB2312"/>
          <w:color w:val="auto"/>
          <w:kern w:val="0"/>
          <w:sz w:val="32"/>
          <w:szCs w:val="32"/>
        </w:rPr>
        <w:t> 202</w:t>
      </w:r>
      <w:r>
        <w:rPr>
          <w:rFonts w:hint="eastAsia" w:ascii="仿宋_GB2312" w:hAnsi="仿宋_GB2312" w:eastAsia="仿宋_GB2312" w:cs="仿宋_GB2312"/>
          <w:color w:val="auto"/>
          <w:kern w:val="0"/>
          <w:sz w:val="32"/>
          <w:szCs w:val="32"/>
          <w:lang w:val="en-US" w:eastAsia="zh-CN"/>
        </w:rPr>
        <w:t>5</w:t>
      </w:r>
      <w:r>
        <w:rPr>
          <w:rFonts w:hint="eastAsia" w:ascii="仿宋_GB2312" w:hAnsi="仿宋_GB2312" w:eastAsia="仿宋_GB2312" w:cs="仿宋_GB2312"/>
          <w:color w:val="auto"/>
          <w:kern w:val="0"/>
          <w:sz w:val="32"/>
          <w:szCs w:val="32"/>
        </w:rPr>
        <w:t>年，我局政府信息公开工作虽然取得一定成效，但仍存在一些问题和不足</w:t>
      </w:r>
      <w:r>
        <w:rPr>
          <w:rFonts w:hint="eastAsia" w:ascii="仿宋_GB2312" w:hAnsi="仿宋_GB2312" w:eastAsia="仿宋_GB2312" w:cs="仿宋_GB2312"/>
          <w:color w:val="auto"/>
          <w:kern w:val="0"/>
          <w:sz w:val="32"/>
          <w:szCs w:val="32"/>
          <w:lang w:eastAsia="zh-CN"/>
        </w:rPr>
        <w:t>：一是公开信息的时效性、全面性有待提升；二是工作人员信息公开业务能力仍需加强。下一步，我局将把政务公开工作纳入常态化考核，聚焦文旅领域重点工作加大信息发布力度，常态化开展业务培训，完善信息审核发布机制，提升政策解读质量，切实增强政务公开工作实效。</w:t>
      </w:r>
    </w:p>
    <w:p w14:paraId="12FD6983">
      <w:pPr>
        <w:pStyle w:val="4"/>
        <w:keepNext w:val="0"/>
        <w:keepLines w:val="0"/>
        <w:pageBreakBefore w:val="0"/>
        <w:widowControl/>
        <w:kinsoku/>
        <w:wordWrap/>
        <w:overflowPunct/>
        <w:topLinePunct w:val="0"/>
        <w:autoSpaceDE/>
        <w:autoSpaceDN/>
        <w:bidi w:val="0"/>
        <w:adjustRightInd/>
        <w:snapToGrid/>
        <w:spacing w:before="0" w:beforeAutospacing="0" w:after="0" w:afterAutospacing="0"/>
        <w:textAlignment w:val="auto"/>
        <w:rPr>
          <w:rFonts w:hint="eastAsia" w:ascii="黑体" w:hAnsi="黑体" w:eastAsia="黑体" w:cs="黑体"/>
          <w:b/>
          <w:bCs w:val="0"/>
          <w:sz w:val="32"/>
          <w:szCs w:val="32"/>
        </w:rPr>
      </w:pPr>
      <w:r>
        <w:rPr>
          <w:rFonts w:hint="eastAsia" w:ascii="黑体" w:hAnsi="黑体" w:eastAsia="黑体" w:cs="黑体"/>
          <w:b/>
          <w:bCs w:val="0"/>
          <w:sz w:val="32"/>
          <w:szCs w:val="32"/>
        </w:rPr>
        <w:t>六、其他需要报告的事项</w:t>
      </w:r>
    </w:p>
    <w:p w14:paraId="342058E9">
      <w:pPr>
        <w:pStyle w:val="4"/>
        <w:keepNext w:val="0"/>
        <w:keepLines w:val="0"/>
        <w:pageBreakBefore w:val="0"/>
        <w:widowControl/>
        <w:kinsoku/>
        <w:wordWrap/>
        <w:overflowPunct/>
        <w:topLinePunct w:val="0"/>
        <w:autoSpaceDE/>
        <w:autoSpaceDN/>
        <w:bidi w:val="0"/>
        <w:adjustRightInd/>
        <w:snapToGrid/>
        <w:spacing w:before="0" w:beforeAutospacing="0" w:after="0" w:afterAutospacing="0"/>
        <w:ind w:firstLine="640" w:firstLineChars="200"/>
        <w:textAlignment w:val="auto"/>
        <w:rPr>
          <w:rFonts w:hint="eastAsia" w:ascii="仿宋_GB2312" w:hAnsi="仿宋_GB2312" w:eastAsia="仿宋_GB2312" w:cs="仿宋_GB2312"/>
          <w:color w:val="auto"/>
          <w:sz w:val="32"/>
          <w:szCs w:val="40"/>
        </w:rPr>
      </w:pPr>
      <w:r>
        <w:rPr>
          <w:rFonts w:hint="eastAsia" w:ascii="仿宋_GB2312" w:hAnsi="仿宋_GB2312" w:eastAsia="仿宋_GB2312" w:cs="仿宋_GB2312"/>
          <w:color w:val="auto"/>
          <w:sz w:val="32"/>
          <w:szCs w:val="40"/>
        </w:rPr>
        <w:t>认真贯彻执行国务院办公厅《政府信息公开信息处理费管理办法》和《关于政府信息公开处理费管理有关事项的通知》。202</w:t>
      </w:r>
      <w:r>
        <w:rPr>
          <w:rFonts w:hint="eastAsia" w:ascii="仿宋_GB2312" w:hAnsi="仿宋_GB2312" w:eastAsia="仿宋_GB2312" w:cs="仿宋_GB2312"/>
          <w:color w:val="auto"/>
          <w:sz w:val="32"/>
          <w:szCs w:val="40"/>
          <w:lang w:val="en-US" w:eastAsia="zh-CN"/>
        </w:rPr>
        <w:t>5</w:t>
      </w:r>
      <w:r>
        <w:rPr>
          <w:rFonts w:hint="eastAsia" w:ascii="仿宋_GB2312" w:hAnsi="仿宋_GB2312" w:eastAsia="仿宋_GB2312" w:cs="仿宋_GB2312"/>
          <w:color w:val="auto"/>
          <w:sz w:val="32"/>
          <w:szCs w:val="40"/>
        </w:rPr>
        <w:t>年我</w:t>
      </w:r>
      <w:r>
        <w:rPr>
          <w:rFonts w:hint="eastAsia" w:ascii="仿宋_GB2312" w:hAnsi="仿宋_GB2312" w:eastAsia="仿宋_GB2312" w:cs="仿宋_GB2312"/>
          <w:color w:val="auto"/>
          <w:sz w:val="32"/>
          <w:szCs w:val="40"/>
          <w:lang w:val="en-US" w:eastAsia="zh-CN"/>
        </w:rPr>
        <w:t>单位</w:t>
      </w:r>
      <w:r>
        <w:rPr>
          <w:rFonts w:hint="eastAsia" w:ascii="仿宋_GB2312" w:hAnsi="仿宋_GB2312" w:eastAsia="仿宋_GB2312" w:cs="仿宋_GB2312"/>
          <w:color w:val="auto"/>
          <w:sz w:val="32"/>
          <w:szCs w:val="40"/>
        </w:rPr>
        <w:t>未收取信息处理费。</w:t>
      </w:r>
    </w:p>
    <w:p w14:paraId="0DF61A1F">
      <w:pPr>
        <w:pStyle w:val="4"/>
      </w:pPr>
    </w:p>
    <w:sectPr>
      <w:pgSz w:w="11906" w:h="16838"/>
      <w:pgMar w:top="1559" w:right="1531" w:bottom="1559" w:left="1531"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3E5B229F"/>
    <w:rsid w:val="00013325"/>
    <w:rsid w:val="003F474B"/>
    <w:rsid w:val="006000DD"/>
    <w:rsid w:val="00601565"/>
    <w:rsid w:val="00692E1B"/>
    <w:rsid w:val="00754D50"/>
    <w:rsid w:val="00976581"/>
    <w:rsid w:val="00BC7FF5"/>
    <w:rsid w:val="00DF58E6"/>
    <w:rsid w:val="00FF7963"/>
    <w:rsid w:val="093F0D49"/>
    <w:rsid w:val="0EDA6169"/>
    <w:rsid w:val="259D0E7A"/>
    <w:rsid w:val="302857C1"/>
    <w:rsid w:val="34880F47"/>
    <w:rsid w:val="3DAF755A"/>
    <w:rsid w:val="3E116F60"/>
    <w:rsid w:val="3E5B229F"/>
    <w:rsid w:val="440427CF"/>
    <w:rsid w:val="45BC0CF5"/>
    <w:rsid w:val="47F6649C"/>
    <w:rsid w:val="60541BE7"/>
    <w:rsid w:val="6D6B5CE1"/>
    <w:rsid w:val="6F85042D"/>
    <w:rsid w:val="72826491"/>
    <w:rsid w:val="749C3A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60" w:lineRule="exact"/>
      <w:jc w:val="center"/>
    </w:pPr>
    <w:rPr>
      <w:rFonts w:ascii="仿宋" w:hAnsi="仿宋" w:eastAsia="仿宋" w:cs="仿宋"/>
      <w:bCs/>
      <w:color w:val="333333"/>
      <w:kern w:val="2"/>
      <w:sz w:val="32"/>
      <w:szCs w:val="32"/>
      <w:shd w:val="clear" w:color="auto" w:fill="FFFFFF"/>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qFormat/>
    <w:uiPriority w:val="0"/>
    <w:pPr>
      <w:tabs>
        <w:tab w:val="center" w:pos="4153"/>
        <w:tab w:val="right" w:pos="8306"/>
      </w:tabs>
      <w:snapToGrid w:val="0"/>
      <w:jc w:val="left"/>
    </w:pPr>
    <w:rPr>
      <w:sz w:val="18"/>
      <w:szCs w:val="18"/>
    </w:rPr>
  </w:style>
  <w:style w:type="paragraph" w:styleId="3">
    <w:name w:val="header"/>
    <w:basedOn w:val="1"/>
    <w:link w:val="7"/>
    <w:autoRedefine/>
    <w:qFormat/>
    <w:uiPriority w:val="0"/>
    <w:pPr>
      <w:pBdr>
        <w:bottom w:val="single" w:color="auto" w:sz="6" w:space="1"/>
      </w:pBdr>
      <w:tabs>
        <w:tab w:val="center" w:pos="4153"/>
        <w:tab w:val="right" w:pos="8306"/>
      </w:tabs>
      <w:snapToGrid w:val="0"/>
    </w:pPr>
    <w:rPr>
      <w:sz w:val="18"/>
      <w:szCs w:val="18"/>
    </w:rPr>
  </w:style>
  <w:style w:type="paragraph" w:styleId="4">
    <w:name w:val="Normal (Web)"/>
    <w:basedOn w:val="1"/>
    <w:autoRedefine/>
    <w:unhideWhenUsed/>
    <w:qFormat/>
    <w:uiPriority w:val="99"/>
    <w:pPr>
      <w:widowControl/>
      <w:spacing w:before="100" w:beforeAutospacing="1" w:after="100" w:afterAutospacing="1"/>
      <w:jc w:val="left"/>
    </w:pPr>
    <w:rPr>
      <w:rFonts w:ascii="宋体" w:hAnsi="宋体" w:eastAsia="宋体" w:cs="宋体"/>
      <w:color w:val="000000"/>
      <w:kern w:val="0"/>
      <w:sz w:val="24"/>
    </w:rPr>
  </w:style>
  <w:style w:type="character" w:customStyle="1" w:styleId="7">
    <w:name w:val="页眉 Char"/>
    <w:basedOn w:val="6"/>
    <w:link w:val="3"/>
    <w:autoRedefine/>
    <w:qFormat/>
    <w:uiPriority w:val="0"/>
    <w:rPr>
      <w:rFonts w:ascii="仿宋_GB2312" w:eastAsia="仿宋_GB2312"/>
      <w:kern w:val="2"/>
      <w:sz w:val="18"/>
      <w:szCs w:val="18"/>
    </w:rPr>
  </w:style>
  <w:style w:type="character" w:customStyle="1" w:styleId="8">
    <w:name w:val="页脚 Char"/>
    <w:basedOn w:val="6"/>
    <w:link w:val="2"/>
    <w:autoRedefine/>
    <w:qFormat/>
    <w:uiPriority w:val="0"/>
    <w:rPr>
      <w:rFonts w:ascii="仿宋_GB2312" w:eastAsia="仿宋_GB2312"/>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5</Pages>
  <Words>1822</Words>
  <Characters>1879</Characters>
  <Lines>15</Lines>
  <Paragraphs>4</Paragraphs>
  <TotalTime>20</TotalTime>
  <ScaleCrop>false</ScaleCrop>
  <LinksUpToDate>false</LinksUpToDate>
  <CharactersWithSpaces>1890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N d.</cp:lastModifiedBy>
  <cp:lastPrinted>2019-12-29T11:40:00Z</cp:lastPrinted>
  <dcterms:modified xsi:type="dcterms:W3CDTF">2026-01-30T08:18:50Z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FBCF55F67D78453FB888B0583394FBA9_13</vt:lpwstr>
  </property>
  <property fmtid="{D5CDD505-2E9C-101B-9397-08002B2CF9AE}" pid="4" name="KSOTemplateDocerSaveRecord">
    <vt:lpwstr>eyJoZGlkIjoiZTNlYTdiOTgwNTdiOTkwZjFkZTZiM2FiYzczYmQwNDgiLCJ1c2VySWQiOiIxMTU4ODYwMTk3In0=</vt:lpwstr>
  </property>
</Properties>
</file>