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2A7C1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cs="宋体"/>
          <w:b/>
          <w:bCs/>
          <w:i w:val="0"/>
          <w:iCs w:val="0"/>
          <w:caps w:val="0"/>
          <w:color w:val="333333"/>
          <w:spacing w:val="0"/>
          <w:sz w:val="44"/>
          <w:szCs w:val="44"/>
          <w:shd w:val="clear" w:fill="FFFFFF"/>
          <w:lang w:val="en-US" w:eastAsia="zh-CN"/>
        </w:rPr>
      </w:pPr>
      <w:r>
        <w:rPr>
          <w:rFonts w:hint="eastAsia" w:cs="宋体"/>
          <w:b/>
          <w:bCs/>
          <w:i w:val="0"/>
          <w:iCs w:val="0"/>
          <w:caps w:val="0"/>
          <w:color w:val="333333"/>
          <w:spacing w:val="0"/>
          <w:sz w:val="44"/>
          <w:szCs w:val="44"/>
          <w:shd w:val="clear" w:fill="FFFFFF"/>
          <w:lang w:val="en-US" w:eastAsia="zh-CN"/>
        </w:rPr>
        <w:t>涞源县教育和体育局</w:t>
      </w:r>
    </w:p>
    <w:p w14:paraId="7D2FD9B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44"/>
          <w:szCs w:val="44"/>
        </w:rPr>
      </w:pPr>
      <w:r>
        <w:rPr>
          <w:rFonts w:hint="eastAsia" w:cs="宋体"/>
          <w:b/>
          <w:bCs/>
          <w:i w:val="0"/>
          <w:iCs w:val="0"/>
          <w:caps w:val="0"/>
          <w:color w:val="333333"/>
          <w:spacing w:val="0"/>
          <w:sz w:val="44"/>
          <w:szCs w:val="44"/>
          <w:shd w:val="clear" w:fill="FFFFFF"/>
          <w:lang w:val="en-US" w:eastAsia="zh-CN"/>
        </w:rPr>
        <w:t>2025年</w:t>
      </w:r>
      <w:r>
        <w:rPr>
          <w:rFonts w:hint="eastAsia" w:ascii="宋体" w:hAnsi="宋体" w:eastAsia="宋体" w:cs="宋体"/>
          <w:b/>
          <w:bCs/>
          <w:i w:val="0"/>
          <w:iCs w:val="0"/>
          <w:caps w:val="0"/>
          <w:color w:val="333333"/>
          <w:spacing w:val="0"/>
          <w:sz w:val="44"/>
          <w:szCs w:val="44"/>
          <w:shd w:val="clear" w:fill="FFFFFF"/>
        </w:rPr>
        <w:t>政府信息公开</w:t>
      </w:r>
      <w:r>
        <w:rPr>
          <w:rFonts w:hint="eastAsia" w:cs="宋体"/>
          <w:b/>
          <w:bCs/>
          <w:i w:val="0"/>
          <w:iCs w:val="0"/>
          <w:caps w:val="0"/>
          <w:color w:val="333333"/>
          <w:spacing w:val="0"/>
          <w:sz w:val="44"/>
          <w:szCs w:val="44"/>
          <w:shd w:val="clear" w:fill="FFFFFF"/>
          <w:lang w:eastAsia="zh-CN"/>
        </w:rPr>
        <w:t>工作</w:t>
      </w:r>
      <w:r>
        <w:rPr>
          <w:rFonts w:hint="eastAsia" w:ascii="宋体" w:hAnsi="宋体" w:eastAsia="宋体" w:cs="宋体"/>
          <w:b/>
          <w:bCs/>
          <w:i w:val="0"/>
          <w:iCs w:val="0"/>
          <w:caps w:val="0"/>
          <w:color w:val="333333"/>
          <w:spacing w:val="0"/>
          <w:sz w:val="44"/>
          <w:szCs w:val="44"/>
          <w:shd w:val="clear" w:fill="FFFFFF"/>
        </w:rPr>
        <w:t>年度报告</w:t>
      </w:r>
    </w:p>
    <w:p w14:paraId="154C974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3" w:firstLineChars="200"/>
        <w:jc w:val="both"/>
        <w:textAlignment w:val="auto"/>
        <w:rPr>
          <w:rFonts w:hint="eastAsia" w:ascii="宋体" w:hAnsi="宋体" w:eastAsia="宋体" w:cs="宋体"/>
          <w:b/>
          <w:bCs/>
          <w:i w:val="0"/>
          <w:iCs w:val="0"/>
          <w:caps w:val="0"/>
          <w:color w:val="333333"/>
          <w:spacing w:val="0"/>
          <w:sz w:val="32"/>
          <w:szCs w:val="32"/>
          <w:highlight w:val="none"/>
          <w:shd w:val="clear" w:fill="FFFFFF"/>
          <w:lang w:val="en-US" w:eastAsia="zh-CN"/>
        </w:rPr>
      </w:pPr>
      <w:r>
        <w:rPr>
          <w:rFonts w:hint="eastAsia" w:ascii="宋体" w:hAnsi="宋体" w:eastAsia="宋体" w:cs="宋体"/>
          <w:b/>
          <w:bCs/>
          <w:i w:val="0"/>
          <w:iCs w:val="0"/>
          <w:caps w:val="0"/>
          <w:color w:val="333333"/>
          <w:spacing w:val="0"/>
          <w:sz w:val="32"/>
          <w:szCs w:val="32"/>
          <w:highlight w:val="none"/>
          <w:shd w:val="clear" w:fill="FFFFFF"/>
          <w:lang w:val="en-US" w:eastAsia="zh-CN"/>
        </w:rPr>
        <w:t>一、总体情况</w:t>
      </w:r>
    </w:p>
    <w:p w14:paraId="3B94018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2025年教体局政务公开工作坚持以习近平新时代中国特色社会主义思想为指导，紧紧围绕县委、县</w:t>
      </w:r>
      <w:bookmarkStart w:id="0" w:name="_GoBack"/>
      <w:bookmarkEnd w:id="0"/>
      <w:r>
        <w:rPr>
          <w:rFonts w:hint="eastAsia" w:ascii="仿宋" w:hAnsi="仿宋" w:eastAsia="仿宋" w:cs="仿宋"/>
          <w:i w:val="0"/>
          <w:iCs w:val="0"/>
          <w:caps w:val="0"/>
          <w:color w:val="333333"/>
          <w:spacing w:val="0"/>
          <w:sz w:val="32"/>
          <w:szCs w:val="32"/>
          <w:highlight w:val="none"/>
          <w:shd w:val="clear" w:fill="FFFFFF"/>
          <w:lang w:val="en-US" w:eastAsia="zh-CN"/>
        </w:rPr>
        <w:t>政府工作部署和总体要求，始终牢记全心全意为人民服务的宗旨，及时公开人民群众关注的教育热点和难点等问题。推进政府信息公开是我局贯彻落实《中华人民共和国政府信息公开条例》的重要举措，是深入推行政务公开，转变机关职能，实现管理创新，建设人民满意的服务型机关的一项重要工作。</w:t>
      </w:r>
    </w:p>
    <w:p w14:paraId="39E0CAE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（一）主动公开政府信息</w:t>
      </w:r>
    </w:p>
    <w:p w14:paraId="12E8393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按照《中华人民共和国政府信息公开条例》的规定，2025年度我局政务信息公开工作在深化公开内容、建立和完善各项制度、规范公开载体形式、加强基础性建设工作等方面取得了新的进展。2025年，我局主动公开政务信息，公开形式为县政府网站。</w:t>
      </w:r>
    </w:p>
    <w:p w14:paraId="5CE5A026">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依申请公开</w:t>
      </w:r>
    </w:p>
    <w:p w14:paraId="1BFC558A">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rightChars="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严格按照《河北省政府信息公开申请办理规范的通知》要求，畅通政府信息申请受理渠道，健全完善接收、登记、审核、办理、答复、归档工作制度，提高依申请公开网上办理能力。</w:t>
      </w:r>
    </w:p>
    <w:p w14:paraId="20ECFE6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（三）政府信息管理</w:t>
      </w:r>
    </w:p>
    <w:p w14:paraId="09541F3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不断加强政府信息公开工作培训，以及对错敏信息的整合归纳，增强公开意识，严格抓好信息安全的动态维护，落实保密审查制度，所有对外公开的信息均由相关部门审核通过后发布，确保“上网信息不涉密、涉密信息不上网”。根据人事调整、工作变化等情况，及时调整相关工作人员，确保政府信息公开责任到人、履职到位。</w:t>
      </w:r>
    </w:p>
    <w:p w14:paraId="73A596B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（四）政府信息公开平台建设</w:t>
      </w:r>
    </w:p>
    <w:p w14:paraId="66115C5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严格按照工作要求，做好涞源县人民政府政府信息公开网站更新工作，及时将教体局工作动态等信息向各有关部门和社会各界传达，做到了信息公开、透明。做好公开内容审核把关，定期排查已公开信息，确保发布信息的准确性和规范性。</w:t>
      </w:r>
    </w:p>
    <w:p w14:paraId="7BAC57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（五）监督保障</w:t>
      </w:r>
    </w:p>
    <w:p w14:paraId="7C6CCC3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right="0" w:firstLine="640" w:firstLineChars="200"/>
        <w:jc w:val="both"/>
        <w:textAlignment w:val="auto"/>
        <w:rPr>
          <w:rFonts w:hint="eastAsia" w:ascii="仿宋" w:hAnsi="仿宋" w:eastAsia="仿宋" w:cs="仿宋"/>
          <w:i w:val="0"/>
          <w:iCs w:val="0"/>
          <w:caps w:val="0"/>
          <w:color w:val="333333"/>
          <w:spacing w:val="0"/>
          <w:sz w:val="32"/>
          <w:szCs w:val="32"/>
          <w:highlight w:val="none"/>
          <w:shd w:val="clear" w:fill="FFFFFF"/>
          <w:lang w:val="en-US" w:eastAsia="zh-CN"/>
        </w:rPr>
      </w:pPr>
      <w:r>
        <w:rPr>
          <w:rFonts w:hint="eastAsia" w:ascii="仿宋" w:hAnsi="仿宋" w:eastAsia="仿宋" w:cs="仿宋"/>
          <w:i w:val="0"/>
          <w:iCs w:val="0"/>
          <w:caps w:val="0"/>
          <w:color w:val="333333"/>
          <w:spacing w:val="0"/>
          <w:sz w:val="32"/>
          <w:szCs w:val="32"/>
          <w:highlight w:val="none"/>
          <w:shd w:val="clear" w:fill="FFFFFF"/>
          <w:lang w:val="en-US" w:eastAsia="zh-CN"/>
        </w:rPr>
        <w:t>一是将政务公开工作列入年度重点工作，明确各科室职责任务，使政务公开工作与日常业务工作融为一体，同步推进。二是加强全县教育系统政务媒体监管。对学校、幼儿园的微信公众号等政务新媒体开展违规内容自查和信息动态监测，遇违规内容及时预警改正。</w:t>
      </w:r>
    </w:p>
    <w:p w14:paraId="2D59C06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shd w:val="clear" w:fill="FFFFFF"/>
        </w:rPr>
        <w:t>二、主动公开政府信息情况</w:t>
      </w:r>
    </w:p>
    <w:p w14:paraId="5F07AB1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4"/>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14:paraId="5DD4E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393D0242">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第二十条第（一）项</w:t>
            </w:r>
          </w:p>
        </w:tc>
      </w:tr>
      <w:tr w14:paraId="34F0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E75F0D">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FB1F7E">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0F83112">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354438">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现行有效件数</w:t>
            </w:r>
          </w:p>
        </w:tc>
      </w:tr>
      <w:tr w14:paraId="2C8A3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01B9D8B">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EFEA08">
            <w:pPr>
              <w:spacing w:line="560" w:lineRule="exact"/>
              <w:jc w:val="center"/>
              <w:rPr>
                <w:rFonts w:hint="default" w:ascii="仿宋" w:hAnsi="仿宋" w:eastAsia="仿宋" w:cs="仿宋"/>
                <w:bCs/>
                <w:color w:val="333333"/>
                <w:sz w:val="22"/>
                <w:szCs w:val="22"/>
                <w:shd w:val="clear" w:color="auto" w:fill="FFFFFF"/>
                <w:lang w:val="en-US" w:bidi="ar"/>
              </w:rPr>
            </w:pPr>
            <w:r>
              <w:rPr>
                <w:rFonts w:hint="eastAsia" w:ascii="仿宋" w:hAnsi="仿宋" w:eastAsia="仿宋" w:cs="仿宋"/>
                <w:bCs/>
                <w:color w:val="333333"/>
                <w:sz w:val="22"/>
                <w:szCs w:val="22"/>
                <w:shd w:val="clear" w:color="auto" w:fill="FFFFFF"/>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662512">
            <w:pPr>
              <w:spacing w:line="560" w:lineRule="exact"/>
              <w:jc w:val="center"/>
              <w:rPr>
                <w:rFonts w:hint="default" w:ascii="仿宋" w:hAnsi="仿宋" w:eastAsia="仿宋" w:cs="仿宋"/>
                <w:bCs/>
                <w:color w:val="333333"/>
                <w:sz w:val="22"/>
                <w:szCs w:val="22"/>
                <w:shd w:val="clear" w:color="auto" w:fill="FFFFFF"/>
                <w:lang w:val="en-US" w:bidi="ar"/>
              </w:rPr>
            </w:pPr>
            <w:r>
              <w:rPr>
                <w:rFonts w:hint="eastAsia" w:ascii="仿宋" w:hAnsi="仿宋" w:eastAsia="仿宋" w:cs="仿宋"/>
                <w:bCs/>
                <w:color w:val="333333"/>
                <w:sz w:val="22"/>
                <w:szCs w:val="22"/>
                <w:shd w:val="clear" w:color="auto" w:fill="FFFFFF"/>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BC3AAD">
            <w:pPr>
              <w:spacing w:line="560" w:lineRule="exact"/>
              <w:jc w:val="center"/>
              <w:rPr>
                <w:rFonts w:hint="eastAsia" w:ascii="仿宋" w:hAnsi="仿宋" w:eastAsia="仿宋" w:cs="仿宋"/>
                <w:bCs/>
                <w:color w:val="333333"/>
                <w:sz w:val="22"/>
                <w:szCs w:val="22"/>
                <w:shd w:val="clear" w:color="auto" w:fill="FFFFFF"/>
                <w:lang w:val="en-US" w:eastAsia="zh-CN" w:bidi="ar"/>
              </w:rPr>
            </w:pPr>
            <w:r>
              <w:rPr>
                <w:rFonts w:hint="eastAsia" w:ascii="仿宋" w:hAnsi="仿宋" w:eastAsia="仿宋" w:cs="仿宋"/>
                <w:bCs/>
                <w:color w:val="333333"/>
                <w:sz w:val="22"/>
                <w:szCs w:val="22"/>
                <w:shd w:val="clear" w:color="auto" w:fill="FFFFFF"/>
                <w:lang w:val="en-US" w:eastAsia="zh-CN" w:bidi="ar"/>
              </w:rPr>
              <w:t>0</w:t>
            </w:r>
          </w:p>
        </w:tc>
      </w:tr>
      <w:tr w14:paraId="7BADC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5D0DC73">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98845A">
            <w:pPr>
              <w:spacing w:line="560" w:lineRule="exact"/>
              <w:jc w:val="center"/>
              <w:rPr>
                <w:rFonts w:hint="default" w:ascii="仿宋" w:hAnsi="仿宋" w:eastAsia="仿宋" w:cs="仿宋"/>
                <w:bCs/>
                <w:color w:val="333333"/>
                <w:sz w:val="22"/>
                <w:szCs w:val="22"/>
                <w:shd w:val="clear" w:color="auto" w:fill="FFFFFF"/>
                <w:lang w:val="en-US" w:bidi="ar"/>
              </w:rPr>
            </w:pPr>
            <w:r>
              <w:rPr>
                <w:rFonts w:hint="eastAsia" w:ascii="仿宋" w:hAnsi="仿宋" w:eastAsia="仿宋" w:cs="仿宋"/>
                <w:bCs/>
                <w:color w:val="333333"/>
                <w:sz w:val="22"/>
                <w:szCs w:val="22"/>
                <w:shd w:val="clear" w:color="auto" w:fill="FFFFFF"/>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850ACC">
            <w:pPr>
              <w:spacing w:line="560" w:lineRule="exact"/>
              <w:jc w:val="center"/>
              <w:rPr>
                <w:rFonts w:hint="default" w:ascii="仿宋" w:hAnsi="仿宋" w:eastAsia="仿宋" w:cs="仿宋"/>
                <w:bCs/>
                <w:color w:val="333333"/>
                <w:sz w:val="22"/>
                <w:szCs w:val="22"/>
                <w:shd w:val="clear" w:color="auto" w:fill="FFFFFF"/>
                <w:lang w:val="en-US" w:bidi="ar"/>
              </w:rPr>
            </w:pPr>
            <w:r>
              <w:rPr>
                <w:rFonts w:hint="eastAsia" w:ascii="仿宋" w:hAnsi="仿宋" w:eastAsia="仿宋" w:cs="仿宋"/>
                <w:bCs/>
                <w:color w:val="333333"/>
                <w:sz w:val="22"/>
                <w:szCs w:val="22"/>
                <w:shd w:val="clear" w:color="auto" w:fill="FFFFFF"/>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C3C088">
            <w:pPr>
              <w:spacing w:line="560" w:lineRule="exact"/>
              <w:jc w:val="center"/>
              <w:rPr>
                <w:rFonts w:hint="eastAsia" w:ascii="仿宋" w:hAnsi="仿宋" w:eastAsia="仿宋" w:cs="仿宋"/>
                <w:bCs/>
                <w:color w:val="333333"/>
                <w:sz w:val="22"/>
                <w:szCs w:val="22"/>
                <w:shd w:val="clear" w:color="auto" w:fill="FFFFFF"/>
                <w:lang w:val="en-US" w:eastAsia="zh-CN" w:bidi="ar"/>
              </w:rPr>
            </w:pPr>
            <w:r>
              <w:rPr>
                <w:rFonts w:hint="eastAsia" w:ascii="仿宋" w:hAnsi="仿宋" w:eastAsia="仿宋" w:cs="仿宋"/>
                <w:bCs/>
                <w:color w:val="333333"/>
                <w:sz w:val="22"/>
                <w:szCs w:val="22"/>
                <w:shd w:val="clear" w:color="auto" w:fill="FFFFFF"/>
                <w:lang w:val="en-US" w:eastAsia="zh-CN" w:bidi="ar"/>
              </w:rPr>
              <w:t>0</w:t>
            </w:r>
          </w:p>
        </w:tc>
      </w:tr>
      <w:tr w14:paraId="63F30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64BAEEEB">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第二十条第（五）项</w:t>
            </w:r>
          </w:p>
        </w:tc>
      </w:tr>
      <w:tr w14:paraId="46FF3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433A8FD">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21C2EB0">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本年处理决定数量</w:t>
            </w:r>
          </w:p>
        </w:tc>
      </w:tr>
      <w:tr w14:paraId="02B1A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F4CFF28">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83C004">
            <w:pPr>
              <w:spacing w:line="560" w:lineRule="exact"/>
              <w:jc w:val="center"/>
              <w:rPr>
                <w:rFonts w:hint="default" w:ascii="仿宋" w:hAnsi="仿宋" w:eastAsia="仿宋" w:cs="仿宋"/>
                <w:bCs/>
                <w:color w:val="333333"/>
                <w:sz w:val="22"/>
                <w:szCs w:val="22"/>
                <w:shd w:val="clear" w:color="auto" w:fill="FFFFFF"/>
                <w:lang w:val="en-US" w:eastAsia="zh-CN" w:bidi="ar"/>
              </w:rPr>
            </w:pPr>
            <w:r>
              <w:rPr>
                <w:rFonts w:hint="eastAsia" w:ascii="仿宋" w:hAnsi="仿宋" w:eastAsia="仿宋" w:cs="仿宋"/>
                <w:bCs/>
                <w:color w:val="333333"/>
                <w:sz w:val="22"/>
                <w:szCs w:val="22"/>
                <w:shd w:val="clear" w:color="auto" w:fill="FFFFFF"/>
                <w:lang w:val="en-US" w:eastAsia="zh-CN" w:bidi="ar"/>
              </w:rPr>
              <w:t>0</w:t>
            </w:r>
          </w:p>
        </w:tc>
      </w:tr>
      <w:tr w14:paraId="52288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B62CF26">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第二十条第（六）项</w:t>
            </w:r>
          </w:p>
        </w:tc>
      </w:tr>
      <w:tr w14:paraId="24821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D356B32">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73094A">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本年处理决定数量</w:t>
            </w:r>
          </w:p>
        </w:tc>
      </w:tr>
      <w:tr w14:paraId="7A6F9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70AC5C2">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5EB0F1">
            <w:pPr>
              <w:spacing w:line="560" w:lineRule="exact"/>
              <w:jc w:val="center"/>
              <w:rPr>
                <w:rFonts w:hint="default" w:ascii="仿宋" w:hAnsi="仿宋" w:eastAsia="仿宋" w:cs="仿宋"/>
                <w:bCs/>
                <w:color w:val="333333"/>
                <w:sz w:val="22"/>
                <w:szCs w:val="22"/>
                <w:shd w:val="clear" w:color="auto" w:fill="FFFFFF"/>
                <w:lang w:val="en-US" w:bidi="ar"/>
              </w:rPr>
            </w:pPr>
            <w:r>
              <w:rPr>
                <w:rFonts w:hint="eastAsia" w:ascii="仿宋" w:hAnsi="仿宋" w:eastAsia="仿宋" w:cs="仿宋"/>
                <w:bCs/>
                <w:color w:val="333333"/>
                <w:sz w:val="22"/>
                <w:szCs w:val="22"/>
                <w:shd w:val="clear" w:color="auto" w:fill="FFFFFF"/>
                <w:lang w:val="en-US" w:eastAsia="zh-CN" w:bidi="ar"/>
              </w:rPr>
              <w:t>0</w:t>
            </w:r>
          </w:p>
        </w:tc>
      </w:tr>
      <w:tr w14:paraId="67C29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E742196">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3BD75">
            <w:pPr>
              <w:spacing w:line="560" w:lineRule="exact"/>
              <w:jc w:val="center"/>
              <w:rPr>
                <w:rFonts w:hint="default" w:ascii="仿宋" w:hAnsi="仿宋" w:eastAsia="仿宋" w:cs="仿宋"/>
                <w:bCs/>
                <w:color w:val="333333"/>
                <w:sz w:val="22"/>
                <w:szCs w:val="22"/>
                <w:shd w:val="clear" w:color="auto" w:fill="FFFFFF"/>
                <w:lang w:val="en-US" w:bidi="ar"/>
              </w:rPr>
            </w:pPr>
            <w:r>
              <w:rPr>
                <w:rFonts w:hint="eastAsia" w:ascii="仿宋" w:hAnsi="仿宋" w:eastAsia="仿宋" w:cs="仿宋"/>
                <w:bCs/>
                <w:color w:val="333333"/>
                <w:sz w:val="22"/>
                <w:szCs w:val="22"/>
                <w:shd w:val="clear" w:color="auto" w:fill="FFFFFF"/>
                <w:lang w:val="en-US" w:eastAsia="zh-CN" w:bidi="ar"/>
              </w:rPr>
              <w:t>0</w:t>
            </w:r>
          </w:p>
        </w:tc>
      </w:tr>
      <w:tr w14:paraId="6E2B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DA39B52">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第二十条第（八）项</w:t>
            </w:r>
          </w:p>
        </w:tc>
      </w:tr>
      <w:tr w14:paraId="493C8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84829E2">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7EC33890">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本年收费金额（单位：万元）</w:t>
            </w:r>
          </w:p>
        </w:tc>
      </w:tr>
      <w:tr w14:paraId="047CF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D9CA929">
            <w:pPr>
              <w:spacing w:line="560" w:lineRule="exact"/>
              <w:jc w:val="center"/>
              <w:rPr>
                <w:rFonts w:hint="eastAsia" w:ascii="仿宋" w:hAnsi="仿宋" w:eastAsia="仿宋" w:cs="仿宋"/>
                <w:bCs/>
                <w:color w:val="333333"/>
                <w:sz w:val="22"/>
                <w:szCs w:val="22"/>
                <w:shd w:val="clear" w:color="auto" w:fill="FFFFFF"/>
                <w:lang w:bidi="ar"/>
              </w:rPr>
            </w:pPr>
            <w:r>
              <w:rPr>
                <w:rFonts w:hint="eastAsia" w:ascii="仿宋" w:hAnsi="仿宋" w:eastAsia="仿宋" w:cs="仿宋"/>
                <w:bCs/>
                <w:color w:val="333333"/>
                <w:sz w:val="22"/>
                <w:szCs w:val="22"/>
                <w:shd w:val="clear" w:color="auto" w:fill="FFFFFF"/>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3D35DFF4">
            <w:pPr>
              <w:spacing w:line="560" w:lineRule="exact"/>
              <w:jc w:val="center"/>
              <w:rPr>
                <w:rFonts w:hint="default" w:ascii="仿宋" w:hAnsi="仿宋" w:eastAsia="仿宋" w:cs="仿宋"/>
                <w:bCs/>
                <w:color w:val="333333"/>
                <w:sz w:val="22"/>
                <w:szCs w:val="22"/>
                <w:shd w:val="clear" w:color="auto" w:fill="FFFFFF"/>
                <w:lang w:val="en-US" w:eastAsia="zh-CN" w:bidi="ar"/>
              </w:rPr>
            </w:pPr>
            <w:r>
              <w:rPr>
                <w:rFonts w:hint="eastAsia" w:ascii="仿宋" w:hAnsi="仿宋" w:eastAsia="仿宋" w:cs="仿宋"/>
                <w:bCs/>
                <w:color w:val="333333"/>
                <w:sz w:val="22"/>
                <w:szCs w:val="22"/>
                <w:shd w:val="clear" w:color="auto" w:fill="FFFFFF"/>
                <w:lang w:val="en-US" w:eastAsia="zh-CN" w:bidi="ar"/>
              </w:rPr>
              <w:t>0</w:t>
            </w:r>
          </w:p>
        </w:tc>
      </w:tr>
    </w:tbl>
    <w:p w14:paraId="4F3B6F5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shd w:val="clear" w:fill="FFFFFF"/>
        </w:rPr>
        <w:t>三、收到和处理政府信息公开申请情况</w:t>
      </w:r>
    </w:p>
    <w:p w14:paraId="614A053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宋体" w:hAnsi="宋体" w:eastAsia="宋体" w:cs="宋体"/>
          <w:i w:val="0"/>
          <w:iCs w:val="0"/>
          <w:caps w:val="0"/>
          <w:color w:val="333333"/>
          <w:spacing w:val="0"/>
          <w:sz w:val="24"/>
          <w:szCs w:val="24"/>
        </w:rPr>
      </w:pP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14:paraId="619B4A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5C89AD">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ascii="仿宋" w:hAnsi="仿宋" w:eastAsia="仿宋" w:cs="仿宋"/>
                <w:bCs/>
                <w:color w:val="000000" w:themeColor="text1"/>
                <w:sz w:val="21"/>
                <w:szCs w:val="21"/>
                <w:shd w:val="clear" w:color="auto" w:fill="FFFFFF"/>
                <w:lang w:val="en-US" w:eastAsia="zh-CN" w:bidi="ar"/>
                <w14:textFill>
                  <w14:solidFill>
                    <w14:schemeClr w14:val="tx1"/>
                  </w14:solidFill>
                </w14:textFill>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6FBD66">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申请人情况</w:t>
            </w:r>
          </w:p>
        </w:tc>
      </w:tr>
      <w:tr w14:paraId="0302E9B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7616D3FB">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8B3943">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0D62EA2">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25AA50A">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总计</w:t>
            </w:r>
          </w:p>
        </w:tc>
      </w:tr>
      <w:tr w14:paraId="6A4A07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3B3EF04">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F291F2">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1123A">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商业</w:t>
            </w:r>
          </w:p>
          <w:p w14:paraId="5B39FC44">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6252C9">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科研</w:t>
            </w:r>
          </w:p>
          <w:p w14:paraId="45235BD6">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C49DA7">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B3B8B3">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AD6E6B">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289A56C">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r>
      <w:tr w14:paraId="489E4C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660547E">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0266B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67AA6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86E2A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BC6781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3092D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D5EF2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D9ADBE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4AE931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2A9B2AB">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8171E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C4048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C528E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BD3E6B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7C7F6D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FB52C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CD7E3F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75F2A09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E45419A">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69024B">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7ED4AE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ABEF93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F3C91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62B7F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08399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1F3C8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4BB1B6E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4757BC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1ABF9AC">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402AE06">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（二）部分公开（区分处理的，只计这一情形，不计其他情形）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06092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97D18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8573E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70C89A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771BA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77B65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0EDA7C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136D5D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C767CA">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FF922D">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1E67519">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228977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37358F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1C1E78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4AD097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78C9BC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1955D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327CCB0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1394770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19BD524">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394AD2">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C328009">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1F8CAC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9741B6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989AA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8FEC99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160203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DBBD91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82C342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130ABC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4029BFA">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9737154">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03DB904">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4816E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980BDB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BA71A8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95B595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CC06B8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E02AD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580EF6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34F310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F31EBA5">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E5EAE1E">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AD949C7">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5AED85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A753D3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BA8A72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64D59B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9ACC1B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325BC4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DFA0B7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6EF66FC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50A8DDA">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0E91B0D">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817C315">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832261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2978C2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4633B9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6A663E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373AD2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827CEB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F29B0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77C1001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63925C6">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7B4D524">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7EF881C">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C73327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1CE3B7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8CE8A7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952E4B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E39F97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F842B1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FAAE51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7609E8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C9E2C43">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F51522D">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73635CA">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F13188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183585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3D7CA0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18616E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34A35A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62EF5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4CD25D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3C801A3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76E034">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DDCF415">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90D81B0">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546B5B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1A2A44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709587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9E1319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A01F56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8B88DA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DA6BD4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0941D2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44004E1">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CE4AA2F">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CC40C7D">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679B61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EE297F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C11FA5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4FCC57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DEF9BF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9005D3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FD4386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670D368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57227F1">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529D35">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63130A">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533032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FAECBB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16F22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2C718A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598181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4BF0A7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F63163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60105A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AA49562">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E63961C">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E118E13">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95D135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B7B64E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9435A1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8B285B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19F672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34F630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CDF25E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296F86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B77C411">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D26721C">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15E71AF">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37F8AC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75AE28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F40A17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F0E847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5EC1BD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68B06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8ECEF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341D64A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A40846F">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0A561B">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DB77AB6">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BADF21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ABE8A5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60F9BB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B18FEB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699594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A84436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A96976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30CC84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F10AB9B">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83E7C47">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D4E13F0">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EFAAF6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0724BF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570C77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B32B60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F33F10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43BF85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9B61CD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19443F8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9830FB0">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394CBE">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5C5D20D">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CD0FBF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6638B3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01CBB8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C590EE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66E5B7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A409FC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6E5FA2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67CD1C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13E7D6">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040716B">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8E256BE">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3AB8853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775EAAA1">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0188E248">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6BD62EE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04EAD45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29BB978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21DAC1A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1BB013E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5809159">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A67E6">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05D80D">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497FD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2E17A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33799F">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9B63D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314E2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09590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D9D2A7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6FC5882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923755D">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7ECDE76">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209071">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1D51E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938AE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08AEB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1718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54E298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B2985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82858D0">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3A6544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F7DBD22">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E6F73C">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8745D5">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F3D46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81B3C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EB8F1D">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5FB78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54499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09C63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7B52CEB">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6AE4D6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72B7874">
            <w:pPr>
              <w:spacing w:line="560" w:lineRule="exact"/>
              <w:jc w:val="center"/>
              <w:rPr>
                <w:rFonts w:hint="eastAsia" w:ascii="仿宋" w:hAnsi="仿宋" w:eastAsia="仿宋" w:cs="仿宋"/>
                <w:bCs/>
                <w:color w:val="000000" w:themeColor="text1"/>
                <w:sz w:val="21"/>
                <w:szCs w:val="21"/>
                <w:shd w:val="clear" w:color="auto" w:fill="FFFFFF"/>
                <w:lang w:bidi="ar"/>
                <w14:textFill>
                  <w14:solidFill>
                    <w14:schemeClr w14:val="tx1"/>
                  </w14:solidFill>
                </w14:textFill>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63857">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D4E33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4D65387">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09E8D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B747D2">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A0AA99">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E235A6">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770496C">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r w14:paraId="2E44319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C4D9554">
            <w:pPr>
              <w:spacing w:line="560" w:lineRule="exact"/>
              <w:jc w:val="center"/>
              <w:rPr>
                <w:rFonts w:ascii="仿宋" w:hAnsi="仿宋" w:eastAsia="仿宋" w:cs="仿宋"/>
                <w:bCs/>
                <w:color w:val="000000" w:themeColor="text1"/>
                <w:sz w:val="21"/>
                <w:szCs w:val="21"/>
                <w:shd w:val="clear" w:color="auto" w:fill="FFFFFF"/>
                <w:lang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F688B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29DA5">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8357DA">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A439F5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55DCC4">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BD023">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7491BEE">
            <w:pPr>
              <w:spacing w:line="560" w:lineRule="exact"/>
              <w:jc w:val="cente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1"/>
                <w:szCs w:val="21"/>
                <w:shd w:val="clear" w:color="auto" w:fill="FFFFFF"/>
                <w:lang w:val="en-US" w:eastAsia="zh-CN" w:bidi="ar"/>
                <w14:textFill>
                  <w14:solidFill>
                    <w14:schemeClr w14:val="tx1"/>
                  </w14:solidFill>
                </w14:textFill>
              </w:rPr>
              <w:t>0</w:t>
            </w:r>
          </w:p>
        </w:tc>
      </w:tr>
    </w:tbl>
    <w:p w14:paraId="7C0A83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32"/>
          <w:szCs w:val="32"/>
        </w:rPr>
      </w:pPr>
    </w:p>
    <w:p w14:paraId="3265B76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shd w:val="clear" w:fill="FFFFFF"/>
        </w:rPr>
        <w:t>四、政府信息公开行政复议、行政诉讼情况</w:t>
      </w:r>
    </w:p>
    <w:p w14:paraId="5BB3D2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宋体" w:hAnsi="宋体" w:eastAsia="宋体" w:cs="宋体"/>
          <w:i w:val="0"/>
          <w:iCs w:val="0"/>
          <w:caps w:val="0"/>
          <w:color w:val="333333"/>
          <w:spacing w:val="0"/>
          <w:sz w:val="24"/>
          <w:szCs w:val="24"/>
        </w:rPr>
      </w:pP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28A60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324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5EE1AC">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行政复议</w:t>
            </w:r>
          </w:p>
        </w:tc>
        <w:tc>
          <w:tcPr>
            <w:tcW w:w="6503"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9B92EA9">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行政诉讼</w:t>
            </w:r>
          </w:p>
        </w:tc>
      </w:tr>
      <w:tr w14:paraId="5FD12C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7A69358">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结果维持</w:t>
            </w:r>
          </w:p>
        </w:tc>
        <w:tc>
          <w:tcPr>
            <w:tcW w:w="649"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560849D">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纠正</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683E96">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其他</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20F7AE8">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尚未</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审结</w:t>
            </w:r>
          </w:p>
        </w:tc>
        <w:tc>
          <w:tcPr>
            <w:tcW w:w="649"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52D4E4D">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总计</w:t>
            </w:r>
          </w:p>
        </w:tc>
        <w:tc>
          <w:tcPr>
            <w:tcW w:w="3248"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DDAE29">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未经复议直接起诉</w:t>
            </w:r>
          </w:p>
        </w:tc>
        <w:tc>
          <w:tcPr>
            <w:tcW w:w="325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239BE">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复议后起诉</w:t>
            </w:r>
          </w:p>
        </w:tc>
      </w:tr>
      <w:tr w14:paraId="1C4BE4C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AC5D96">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p>
        </w:tc>
        <w:tc>
          <w:tcPr>
            <w:tcW w:w="649"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E7E196D">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BF34320">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D4C437">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p>
        </w:tc>
        <w:tc>
          <w:tcPr>
            <w:tcW w:w="649"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1AD064">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A344AA7">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维持</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B9A049E">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纠正</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63BD281">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其他</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2FEDEEE">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尚未</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审结</w:t>
            </w:r>
          </w:p>
        </w:tc>
        <w:tc>
          <w:tcPr>
            <w:tcW w:w="650"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C9A67E">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总计</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81E704">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维持</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F3C62A5">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纠正</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D07F58B">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其他</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结果</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AAF9F31">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尚未</w:t>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br w:type="textWrapping"/>
            </w: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审结</w:t>
            </w:r>
          </w:p>
        </w:tc>
        <w:tc>
          <w:tcPr>
            <w:tcW w:w="65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CD6BEDE">
            <w:pPr>
              <w:spacing w:line="560" w:lineRule="exact"/>
              <w:jc w:val="center"/>
              <w:rPr>
                <w:rFonts w:hint="eastAsia" w:ascii="仿宋" w:hAnsi="仿宋" w:eastAsia="仿宋" w:cs="仿宋"/>
                <w:bCs/>
                <w:color w:val="000000" w:themeColor="text1"/>
                <w:sz w:val="24"/>
                <w:szCs w:val="24"/>
                <w:shd w:val="clear" w:color="auto" w:fill="FFFFFF"/>
                <w:lang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总计</w:t>
            </w:r>
          </w:p>
        </w:tc>
      </w:tr>
      <w:tr w14:paraId="77A0C1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95040EC">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ABEBBF">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15D9F2">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160CDCD">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C71A07">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0175139">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49"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576A98">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77F441E">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FAE393E">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0"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CB3BA4E">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AE53FBE">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AC4282D">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12C1A33">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41DCBB9">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c>
          <w:tcPr>
            <w:tcW w:w="65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955AA37">
            <w:pPr>
              <w:spacing w:line="560" w:lineRule="exact"/>
              <w:jc w:val="cente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pPr>
            <w:r>
              <w:rPr>
                <w:rFonts w:hint="eastAsia" w:ascii="仿宋" w:hAnsi="仿宋" w:eastAsia="仿宋" w:cs="仿宋"/>
                <w:bCs/>
                <w:color w:val="000000" w:themeColor="text1"/>
                <w:sz w:val="24"/>
                <w:szCs w:val="24"/>
                <w:shd w:val="clear" w:color="auto" w:fill="FFFFFF"/>
                <w:lang w:val="en-US" w:eastAsia="zh-CN" w:bidi="ar"/>
                <w14:textFill>
                  <w14:solidFill>
                    <w14:schemeClr w14:val="tx1"/>
                  </w14:solidFill>
                </w14:textFill>
              </w:rPr>
              <w:t>0</w:t>
            </w:r>
          </w:p>
        </w:tc>
      </w:tr>
    </w:tbl>
    <w:p w14:paraId="274A000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34F53D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shd w:val="clear" w:fill="FFFFFF"/>
        </w:rPr>
        <w:t>五、存在的主要问题及改进情况</w:t>
      </w:r>
    </w:p>
    <w:p w14:paraId="13CDA90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rPr>
        <w:t>（一）政府信息公开工作取得了一定成效，但仍存在一些困难和问题。其主要表现为：信息公开内容</w:t>
      </w:r>
      <w:r>
        <w:rPr>
          <w:rFonts w:hint="eastAsia" w:ascii="仿宋" w:hAnsi="仿宋" w:eastAsia="仿宋" w:cs="仿宋"/>
          <w:i w:val="0"/>
          <w:iCs w:val="0"/>
          <w:caps w:val="0"/>
          <w:color w:val="333333"/>
          <w:spacing w:val="0"/>
          <w:sz w:val="32"/>
          <w:szCs w:val="32"/>
          <w:shd w:val="clear" w:fill="FFFFFF"/>
          <w:lang w:val="en-US" w:eastAsia="zh-CN"/>
        </w:rPr>
        <w:t>还需进一步增容扩面，让群众能够更加全面的了解教体局工作，更好的监督、督促各项工作更进一步。</w:t>
      </w:r>
    </w:p>
    <w:p w14:paraId="143138B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rPr>
      </w:pPr>
      <w:r>
        <w:rPr>
          <w:rFonts w:hint="eastAsia" w:ascii="仿宋" w:hAnsi="仿宋" w:eastAsia="仿宋" w:cs="仿宋"/>
          <w:i w:val="0"/>
          <w:iCs w:val="0"/>
          <w:caps w:val="0"/>
          <w:color w:val="333333"/>
          <w:spacing w:val="0"/>
          <w:sz w:val="32"/>
          <w:szCs w:val="32"/>
          <w:shd w:val="clear" w:fill="FFFFFF"/>
        </w:rPr>
        <w:t>（二）具体的解决办法和改进措施。以社会关注度高，公开利益大的信息作为突破口，做到所公开的信息透明度高、内容涉及广、强度大、形式多样。</w:t>
      </w:r>
    </w:p>
    <w:p w14:paraId="311A8A2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i w:val="0"/>
          <w:iCs w:val="0"/>
          <w:caps w:val="0"/>
          <w:color w:val="333333"/>
          <w:spacing w:val="0"/>
          <w:sz w:val="32"/>
          <w:szCs w:val="32"/>
        </w:rPr>
      </w:pPr>
      <w:r>
        <w:rPr>
          <w:rFonts w:hint="eastAsia" w:ascii="宋体" w:hAnsi="宋体" w:eastAsia="宋体" w:cs="宋体"/>
          <w:b/>
          <w:bCs/>
          <w:i w:val="0"/>
          <w:iCs w:val="0"/>
          <w:caps w:val="0"/>
          <w:color w:val="333333"/>
          <w:spacing w:val="0"/>
          <w:sz w:val="32"/>
          <w:szCs w:val="32"/>
          <w:shd w:val="clear" w:fill="FFFFFF"/>
        </w:rPr>
        <w:t>六、其他需要报告的事项</w:t>
      </w:r>
    </w:p>
    <w:p w14:paraId="287AE28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0" w:firstLineChars="200"/>
        <w:jc w:val="both"/>
        <w:rPr>
          <w:rFonts w:hint="eastAsia" w:ascii="仿宋" w:hAnsi="仿宋" w:eastAsia="仿宋" w:cs="仿宋"/>
          <w:i w:val="0"/>
          <w:iCs w:val="0"/>
          <w:caps w:val="0"/>
          <w:color w:val="333333"/>
          <w:spacing w:val="0"/>
          <w:sz w:val="32"/>
          <w:szCs w:val="32"/>
          <w:shd w:val="clear" w:fill="FFFFFF"/>
          <w:lang w:val="en-US" w:eastAsia="zh-CN"/>
        </w:rPr>
      </w:pPr>
      <w:r>
        <w:rPr>
          <w:rFonts w:hint="eastAsia" w:ascii="仿宋" w:hAnsi="仿宋" w:eastAsia="仿宋" w:cs="仿宋"/>
          <w:i w:val="0"/>
          <w:iCs w:val="0"/>
          <w:caps w:val="0"/>
          <w:color w:val="333333"/>
          <w:spacing w:val="0"/>
          <w:sz w:val="32"/>
          <w:szCs w:val="32"/>
          <w:shd w:val="clear" w:fill="FFFFFF"/>
          <w:lang w:val="en-US" w:eastAsia="zh-CN"/>
        </w:rPr>
        <w:t>认真贯彻执行国务院办公厅《政府信息公开信息处理费管理办法》和《关于政府信息公开处理费管理有关事项的通知》。2025年未收取信息处理费。</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A26CDC"/>
    <w:multiLevelType w:val="singleLevel"/>
    <w:tmpl w:val="76A26CDC"/>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xNTY5ZjBmN2Y3YzY3NWFlZmQ2OTEwZTI5NmMyMDYifQ=="/>
  </w:docVars>
  <w:rsids>
    <w:rsidRoot w:val="3E5B229F"/>
    <w:rsid w:val="027520D7"/>
    <w:rsid w:val="03BC7892"/>
    <w:rsid w:val="040C6A6B"/>
    <w:rsid w:val="056612AA"/>
    <w:rsid w:val="09C3197A"/>
    <w:rsid w:val="0A3463D4"/>
    <w:rsid w:val="0C01678A"/>
    <w:rsid w:val="0F1467D4"/>
    <w:rsid w:val="12940358"/>
    <w:rsid w:val="132D6B92"/>
    <w:rsid w:val="13887B74"/>
    <w:rsid w:val="16F70EB5"/>
    <w:rsid w:val="171B1048"/>
    <w:rsid w:val="18965BEC"/>
    <w:rsid w:val="18F356AC"/>
    <w:rsid w:val="19314B52"/>
    <w:rsid w:val="1D232A04"/>
    <w:rsid w:val="1DEC729A"/>
    <w:rsid w:val="1F3233D2"/>
    <w:rsid w:val="1FE94299"/>
    <w:rsid w:val="222E6489"/>
    <w:rsid w:val="24883A94"/>
    <w:rsid w:val="255F65A3"/>
    <w:rsid w:val="26E256DE"/>
    <w:rsid w:val="2F2F581C"/>
    <w:rsid w:val="302857C1"/>
    <w:rsid w:val="307D14B4"/>
    <w:rsid w:val="320E382B"/>
    <w:rsid w:val="35F90C91"/>
    <w:rsid w:val="36C605A6"/>
    <w:rsid w:val="3A020531"/>
    <w:rsid w:val="3A201269"/>
    <w:rsid w:val="3E5B229F"/>
    <w:rsid w:val="3E990920"/>
    <w:rsid w:val="448636F5"/>
    <w:rsid w:val="44957494"/>
    <w:rsid w:val="44C935E1"/>
    <w:rsid w:val="45DE4E6B"/>
    <w:rsid w:val="492D458E"/>
    <w:rsid w:val="4A5858E3"/>
    <w:rsid w:val="4D1E42FB"/>
    <w:rsid w:val="4F2A2ECF"/>
    <w:rsid w:val="5354676C"/>
    <w:rsid w:val="55E211FB"/>
    <w:rsid w:val="59803AA5"/>
    <w:rsid w:val="59FD5DAF"/>
    <w:rsid w:val="5F5875E4"/>
    <w:rsid w:val="60A26D69"/>
    <w:rsid w:val="61E167F1"/>
    <w:rsid w:val="66560D21"/>
    <w:rsid w:val="6E4B4EE4"/>
    <w:rsid w:val="703B0F88"/>
    <w:rsid w:val="70877D29"/>
    <w:rsid w:val="720535FB"/>
    <w:rsid w:val="720C2BD8"/>
    <w:rsid w:val="72826491"/>
    <w:rsid w:val="731D6723"/>
    <w:rsid w:val="74983C6F"/>
    <w:rsid w:val="78267E28"/>
    <w:rsid w:val="7A41719B"/>
    <w:rsid w:val="7D1868D9"/>
    <w:rsid w:val="7DF91F4C"/>
    <w:rsid w:val="7E2D1F10"/>
    <w:rsid w:val="7E855ED3"/>
    <w:rsid w:val="7ED676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toc 1"/>
    <w:basedOn w:val="1"/>
    <w:next w:val="1"/>
    <w:autoRedefine/>
    <w:qFormat/>
    <w:uiPriority w:val="0"/>
    <w:rPr>
      <w:rFonts w:ascii="Times New Roman" w:hAnsi="Times New Roman"/>
    </w:rPr>
  </w:style>
  <w:style w:type="paragraph" w:styleId="3">
    <w:name w:val="Normal (Web)"/>
    <w:basedOn w:val="1"/>
    <w:autoRedefine/>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1639</Words>
  <Characters>1670</Characters>
  <Lines>0</Lines>
  <Paragraphs>0</Paragraphs>
  <TotalTime>60</TotalTime>
  <ScaleCrop>false</ScaleCrop>
  <LinksUpToDate>false</LinksUpToDate>
  <CharactersWithSpaces>1670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姬很烦。</cp:lastModifiedBy>
  <cp:lastPrinted>2024-01-18T06:14:00Z</cp:lastPrinted>
  <dcterms:modified xsi:type="dcterms:W3CDTF">2026-01-27T09:00:04Z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472EE0D8EC1B4B93BAA8C7249F8E7B14_13</vt:lpwstr>
  </property>
  <property fmtid="{D5CDD505-2E9C-101B-9397-08002B2CF9AE}" pid="4" name="KSOTemplateDocerSaveRecord">
    <vt:lpwstr>eyJoZGlkIjoiZmNiNDUwMjczYjRkMjE5NmQ3OGVlZjgxMmE2ZjhjZTMiLCJ1c2VySWQiOiI1MTkyMDA5NTUifQ==</vt:lpwstr>
  </property>
</Properties>
</file>