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28B42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cs="宋体"/>
          <w:b/>
          <w:bCs/>
          <w:i w:val="0"/>
          <w:iCs w:val="0"/>
          <w:caps w:val="0"/>
          <w:color w:val="333333"/>
          <w:spacing w:val="0"/>
          <w:sz w:val="36"/>
          <w:szCs w:val="36"/>
          <w:shd w:val="clear" w:fill="FFFFFF"/>
          <w:lang w:val="en-US" w:eastAsia="zh-CN"/>
        </w:rPr>
      </w:pPr>
      <w:r>
        <w:rPr>
          <w:rFonts w:hint="eastAsia" w:cs="宋体"/>
          <w:b/>
          <w:bCs/>
          <w:i w:val="0"/>
          <w:iCs w:val="0"/>
          <w:caps w:val="0"/>
          <w:color w:val="333333"/>
          <w:spacing w:val="0"/>
          <w:sz w:val="36"/>
          <w:szCs w:val="36"/>
          <w:shd w:val="clear" w:fill="FFFFFF"/>
          <w:lang w:val="en-US" w:eastAsia="zh-CN"/>
        </w:rPr>
        <w:t>涞源县教育和体育局</w:t>
      </w:r>
    </w:p>
    <w:p w14:paraId="5BFB57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r>
        <w:rPr>
          <w:rFonts w:hint="eastAsia" w:cs="宋体"/>
          <w:b/>
          <w:bCs/>
          <w:i w:val="0"/>
          <w:iCs w:val="0"/>
          <w:caps w:val="0"/>
          <w:color w:val="333333"/>
          <w:spacing w:val="0"/>
          <w:sz w:val="36"/>
          <w:szCs w:val="36"/>
          <w:shd w:val="clear" w:fill="FFFFFF"/>
          <w:lang w:val="en-US" w:eastAsia="zh-CN"/>
        </w:rPr>
        <w:t>2024年</w:t>
      </w:r>
      <w:r>
        <w:rPr>
          <w:rFonts w:hint="eastAsia" w:ascii="宋体" w:hAnsi="宋体" w:eastAsia="宋体" w:cs="宋体"/>
          <w:b/>
          <w:bCs/>
          <w:i w:val="0"/>
          <w:iCs w:val="0"/>
          <w:caps w:val="0"/>
          <w:color w:val="333333"/>
          <w:spacing w:val="0"/>
          <w:sz w:val="36"/>
          <w:szCs w:val="36"/>
          <w:shd w:val="clear" w:fill="FFFFFF"/>
        </w:rPr>
        <w:t>政府信息公开年度报告</w:t>
      </w:r>
    </w:p>
    <w:p w14:paraId="59D1C85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333333"/>
          <w:spacing w:val="0"/>
          <w:sz w:val="24"/>
          <w:szCs w:val="24"/>
        </w:rPr>
      </w:pPr>
    </w:p>
    <w:p w14:paraId="785A731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黑体" w:hAnsi="黑体" w:eastAsia="黑体" w:cs="黑体"/>
          <w:b/>
          <w:bCs/>
          <w:i w:val="0"/>
          <w:iCs w:val="0"/>
          <w:caps w:val="0"/>
          <w:color w:val="333333"/>
          <w:spacing w:val="0"/>
          <w:sz w:val="32"/>
          <w:szCs w:val="32"/>
          <w:shd w:val="clear" w:fill="FFFFFF"/>
        </w:rPr>
      </w:pPr>
      <w:r>
        <w:rPr>
          <w:rFonts w:hint="eastAsia" w:ascii="黑体" w:hAnsi="黑体" w:eastAsia="黑体" w:cs="黑体"/>
          <w:b/>
          <w:bCs/>
          <w:i w:val="0"/>
          <w:iCs w:val="0"/>
          <w:caps w:val="0"/>
          <w:color w:val="333333"/>
          <w:spacing w:val="0"/>
          <w:sz w:val="32"/>
          <w:szCs w:val="32"/>
          <w:shd w:val="clear" w:fill="FFFFFF"/>
        </w:rPr>
        <w:t>一、总体情况</w:t>
      </w:r>
    </w:p>
    <w:p w14:paraId="205CF2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2024年教体局政务公开工作坚持以习近平新时代中国特色社会主义思想为指导，紧紧围绕县委、政府工作部署和总体要求，始终牢记全心全意为人民服务的宗旨，及时公开人民群众关注的教育热点和难点等问题，持续巩固拓展脱贫攻坚成果，做好同乡村振兴有效衔接及推进义务教育均衡化发展。推进政府信息公开是我局贯彻落实《中华人民共和国政府信息公开条例》的重要举措，是深入推行政务公开，转变机关职能，实现管理创新，建设人民满意的服务型机关的一项重要工作。按照《中华人民共和国政府信息公开条例》的规定，2024年度我局政务信息公开工作在深化公开内容、建立和完善各项制度、规范公开载体形式、加强基础性建设工作等方面取得了新的进展。</w:t>
      </w:r>
    </w:p>
    <w:p w14:paraId="2C91231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楷体" w:hAnsi="楷体" w:eastAsia="楷体" w:cs="楷体"/>
          <w:b/>
          <w:bCs/>
          <w:i w:val="0"/>
          <w:iCs w:val="0"/>
          <w:caps w:val="0"/>
          <w:color w:val="333333"/>
          <w:spacing w:val="0"/>
          <w:sz w:val="32"/>
          <w:szCs w:val="32"/>
          <w:shd w:val="clear" w:fill="FFFFFF"/>
          <w:lang w:val="en-US" w:eastAsia="zh-CN"/>
        </w:rPr>
        <w:t>（一）主动公开：</w:t>
      </w:r>
      <w:r>
        <w:rPr>
          <w:rFonts w:hint="eastAsia" w:ascii="仿宋" w:hAnsi="仿宋" w:eastAsia="仿宋" w:cs="仿宋"/>
          <w:i w:val="0"/>
          <w:iCs w:val="0"/>
          <w:caps w:val="0"/>
          <w:color w:val="333333"/>
          <w:spacing w:val="0"/>
          <w:sz w:val="32"/>
          <w:szCs w:val="32"/>
          <w:shd w:val="clear" w:fill="FFFFFF"/>
          <w:lang w:val="en-US" w:eastAsia="zh-CN"/>
        </w:rPr>
        <w:t>2024年，涞源县教育和体育局在政府信息公开平台共主动公开各类政府信息14条。内容涵盖政策法规、行政执法、行政事业性收费和政府基金及重点领域相关的财政资金、惠农惠民补贴领域政策等，内容做到及时、详实、准确，确保人民群众对政府工作的知情权、参与权和监督权。</w:t>
      </w:r>
    </w:p>
    <w:p w14:paraId="77A09BD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楷体" w:hAnsi="楷体" w:eastAsia="楷体" w:cs="楷体"/>
          <w:b/>
          <w:bCs/>
          <w:i w:val="0"/>
          <w:iCs w:val="0"/>
          <w:caps w:val="0"/>
          <w:color w:val="333333"/>
          <w:spacing w:val="0"/>
          <w:sz w:val="32"/>
          <w:szCs w:val="32"/>
          <w:shd w:val="clear" w:fill="FFFFFF"/>
          <w:lang w:val="en-US" w:eastAsia="zh-CN"/>
        </w:rPr>
        <w:t>（二）依申请公开：</w:t>
      </w:r>
      <w:r>
        <w:rPr>
          <w:rFonts w:hint="eastAsia" w:ascii="仿宋" w:hAnsi="仿宋" w:eastAsia="仿宋" w:cs="仿宋"/>
          <w:i w:val="0"/>
          <w:iCs w:val="0"/>
          <w:caps w:val="0"/>
          <w:color w:val="333333"/>
          <w:spacing w:val="0"/>
          <w:sz w:val="32"/>
          <w:szCs w:val="32"/>
          <w:shd w:val="clear" w:fill="FFFFFF"/>
          <w:lang w:val="en-US" w:eastAsia="zh-CN"/>
        </w:rPr>
        <w:t>严格按照《中华人民共和国政府信息公开条例》，建立完善公开制度，我局于2024年未接到依申请公开事项及行政复议情况。</w:t>
      </w:r>
    </w:p>
    <w:p w14:paraId="7279503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楷体" w:hAnsi="楷体" w:eastAsia="楷体" w:cs="楷体"/>
          <w:b/>
          <w:bCs/>
          <w:i w:val="0"/>
          <w:iCs w:val="0"/>
          <w:caps w:val="0"/>
          <w:color w:val="333333"/>
          <w:spacing w:val="0"/>
          <w:sz w:val="32"/>
          <w:szCs w:val="32"/>
          <w:shd w:val="clear" w:fill="FFFFFF"/>
          <w:lang w:val="en-US" w:eastAsia="zh-CN"/>
        </w:rPr>
        <w:t>（三）政府信息管理：</w:t>
      </w:r>
      <w:r>
        <w:rPr>
          <w:rFonts w:hint="eastAsia" w:ascii="仿宋" w:hAnsi="仿宋" w:eastAsia="仿宋" w:cs="仿宋"/>
          <w:i w:val="0"/>
          <w:iCs w:val="0"/>
          <w:caps w:val="0"/>
          <w:color w:val="333333"/>
          <w:spacing w:val="0"/>
          <w:sz w:val="32"/>
          <w:szCs w:val="32"/>
          <w:shd w:val="clear" w:fill="FFFFFF"/>
          <w:lang w:val="en-US" w:eastAsia="zh-CN"/>
        </w:rPr>
        <w:t>进一步完善主动公开、依申请公开、信息保密审查以及考核和责任追究等制度，建立健全信息公开保障机制。</w:t>
      </w:r>
    </w:p>
    <w:p w14:paraId="66A8607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楷体" w:hAnsi="楷体" w:eastAsia="楷体" w:cs="楷体"/>
          <w:b/>
          <w:bCs/>
          <w:i w:val="0"/>
          <w:iCs w:val="0"/>
          <w:caps w:val="0"/>
          <w:color w:val="333333"/>
          <w:spacing w:val="0"/>
          <w:sz w:val="32"/>
          <w:szCs w:val="32"/>
          <w:shd w:val="clear" w:fill="FFFFFF"/>
          <w:lang w:val="en-US" w:eastAsia="zh-CN"/>
        </w:rPr>
        <w:t>（四）政府信息公开平台建设：</w:t>
      </w:r>
      <w:r>
        <w:rPr>
          <w:rFonts w:hint="eastAsia" w:ascii="仿宋" w:hAnsi="仿宋" w:eastAsia="仿宋" w:cs="仿宋"/>
          <w:i w:val="0"/>
          <w:iCs w:val="0"/>
          <w:caps w:val="0"/>
          <w:color w:val="333333"/>
          <w:spacing w:val="0"/>
          <w:sz w:val="32"/>
          <w:szCs w:val="32"/>
          <w:shd w:val="clear" w:fill="FFFFFF"/>
          <w:lang w:val="en-US" w:eastAsia="zh-CN"/>
        </w:rPr>
        <w:t>落实政府信息主动公开新要求，主动、及时、全面、准确发布和解读政府信息；做好政府信息公开申请办理工作，凡属于需要社会公众广泛知晓的政府信息，第一时间在网站发布和更新；定期对网站进行监测，严把公开内容，做到发现问题及时整改。</w:t>
      </w:r>
    </w:p>
    <w:p w14:paraId="11CD63F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楷体" w:hAnsi="楷体" w:eastAsia="楷体" w:cs="楷体"/>
          <w:b/>
          <w:bCs/>
          <w:i w:val="0"/>
          <w:iCs w:val="0"/>
          <w:caps w:val="0"/>
          <w:color w:val="333333"/>
          <w:spacing w:val="0"/>
          <w:sz w:val="32"/>
          <w:szCs w:val="32"/>
          <w:shd w:val="clear" w:fill="FFFFFF"/>
          <w:lang w:val="en-US" w:eastAsia="zh-CN"/>
        </w:rPr>
        <w:t>（五）监督保障：</w:t>
      </w:r>
      <w:r>
        <w:rPr>
          <w:rFonts w:hint="eastAsia" w:ascii="仿宋" w:hAnsi="仿宋" w:eastAsia="仿宋" w:cs="仿宋"/>
          <w:i w:val="0"/>
          <w:iCs w:val="0"/>
          <w:caps w:val="0"/>
          <w:color w:val="333333"/>
          <w:spacing w:val="0"/>
          <w:sz w:val="32"/>
          <w:szCs w:val="32"/>
          <w:shd w:val="clear" w:fill="FFFFFF"/>
          <w:lang w:val="en-US" w:eastAsia="zh-CN"/>
        </w:rPr>
        <w:t>根据《中华人民共和国政府信息公开条例》的规定，结合我局工作实际，坚持“谁发布，谁负责”的原则，严格执行“分级审核、先审后发”的程序，认真落实信息发布机制。定期开展自查自纠工作，严格按照信息公开审查规定，加强信息公开严谨性，进一步提升信息公开质量。</w:t>
      </w:r>
    </w:p>
    <w:p w14:paraId="32F965B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报告中所列数据的统计期限自2024年1月1日至2024年12月31日。</w:t>
      </w:r>
    </w:p>
    <w:p w14:paraId="4008CAD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both"/>
        <w:rPr>
          <w:rFonts w:hint="eastAsia" w:ascii="仿宋" w:hAnsi="仿宋" w:eastAsia="仿宋" w:cs="仿宋"/>
          <w:i w:val="0"/>
          <w:iCs w:val="0"/>
          <w:caps w:val="0"/>
          <w:color w:val="333333"/>
          <w:spacing w:val="0"/>
          <w:sz w:val="32"/>
          <w:szCs w:val="32"/>
          <w:shd w:val="clear" w:fill="FFFFFF"/>
          <w:lang w:val="en-US" w:eastAsia="zh-CN"/>
        </w:rPr>
      </w:pPr>
    </w:p>
    <w:p w14:paraId="22ADFE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黑体" w:hAnsi="黑体" w:eastAsia="黑体" w:cs="黑体"/>
          <w:i w:val="0"/>
          <w:iCs w:val="0"/>
          <w:caps w:val="0"/>
          <w:color w:val="333333"/>
          <w:spacing w:val="0"/>
          <w:sz w:val="32"/>
          <w:szCs w:val="32"/>
        </w:rPr>
      </w:pPr>
      <w:r>
        <w:rPr>
          <w:rFonts w:hint="eastAsia" w:ascii="黑体" w:hAnsi="黑体" w:eastAsia="黑体" w:cs="黑体"/>
          <w:b/>
          <w:bCs/>
          <w:i w:val="0"/>
          <w:iCs w:val="0"/>
          <w:caps w:val="0"/>
          <w:color w:val="333333"/>
          <w:spacing w:val="0"/>
          <w:sz w:val="32"/>
          <w:szCs w:val="32"/>
          <w:shd w:val="clear" w:fill="FFFFFF"/>
        </w:rPr>
        <w:t>二、主动公开政府信息情况</w:t>
      </w:r>
    </w:p>
    <w:p w14:paraId="4066B3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5"/>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35"/>
        <w:gridCol w:w="2435"/>
        <w:gridCol w:w="2435"/>
        <w:gridCol w:w="2435"/>
      </w:tblGrid>
      <w:tr w14:paraId="511A1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0269B3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第二十条第（一）项</w:t>
            </w:r>
          </w:p>
        </w:tc>
      </w:tr>
      <w:tr w14:paraId="22B10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596B3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8382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w:t>
            </w:r>
            <w:r>
              <w:rPr>
                <w:rFonts w:hint="eastAsia" w:ascii="宋体" w:hAnsi="宋体" w:eastAsia="宋体" w:cs="宋体"/>
                <w:kern w:val="0"/>
                <w:sz w:val="20"/>
                <w:szCs w:val="20"/>
                <w:lang w:val="en-US" w:eastAsia="zh-CN"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5D2D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C24E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现行有效件</w:t>
            </w:r>
            <w:r>
              <w:rPr>
                <w:rFonts w:hint="eastAsia" w:ascii="宋体" w:hAnsi="宋体" w:eastAsia="宋体" w:cs="宋体"/>
                <w:kern w:val="0"/>
                <w:sz w:val="20"/>
                <w:szCs w:val="20"/>
                <w:lang w:val="en-US" w:eastAsia="zh-CN" w:bidi="ar"/>
              </w:rPr>
              <w:t>数</w:t>
            </w:r>
          </w:p>
        </w:tc>
      </w:tr>
      <w:tr w14:paraId="17D36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F304C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DA00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02BA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179E29">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15C49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77EF9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2A97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A77EA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A96DD5">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5EB5D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9221D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第二十条第（五）项</w:t>
            </w:r>
          </w:p>
        </w:tc>
      </w:tr>
      <w:tr w14:paraId="6C25F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7B05A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436B0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本年处理决定数量</w:t>
            </w:r>
          </w:p>
        </w:tc>
      </w:tr>
      <w:tr w14:paraId="40346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546C9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75BC2B8">
            <w:pPr>
              <w:jc w:val="center"/>
              <w:rPr>
                <w:rFonts w:hint="default" w:ascii="宋体" w:eastAsia="仿宋_GB2312"/>
                <w:sz w:val="24"/>
                <w:szCs w:val="24"/>
                <w:lang w:val="en-US" w:eastAsia="zh-CN"/>
              </w:rPr>
            </w:pPr>
            <w:r>
              <w:rPr>
                <w:rFonts w:hint="eastAsia" w:ascii="宋体"/>
                <w:sz w:val="24"/>
                <w:szCs w:val="24"/>
                <w:lang w:val="en-US" w:eastAsia="zh-CN"/>
              </w:rPr>
              <w:t>0</w:t>
            </w:r>
          </w:p>
        </w:tc>
      </w:tr>
      <w:tr w14:paraId="6C1DC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583249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第二十条第（六）项</w:t>
            </w:r>
          </w:p>
        </w:tc>
      </w:tr>
      <w:tr w14:paraId="71235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B6562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C1BF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本年处理决定数量</w:t>
            </w:r>
          </w:p>
        </w:tc>
      </w:tr>
      <w:tr w14:paraId="5A832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441E2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2062F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r>
      <w:tr w14:paraId="36E3D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378AE5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C22C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r>
      <w:tr w14:paraId="0C91A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1F73A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第二十条第（八）项</w:t>
            </w:r>
          </w:p>
        </w:tc>
      </w:tr>
      <w:tr w14:paraId="48F2B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8B4AC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657B8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本年收费金额（单位：万元）</w:t>
            </w:r>
          </w:p>
        </w:tc>
      </w:tr>
      <w:tr w14:paraId="33222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06D8A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7CD99C12">
            <w:pPr>
              <w:jc w:val="center"/>
              <w:rPr>
                <w:rFonts w:hint="default" w:ascii="宋体" w:eastAsia="仿宋_GB2312"/>
                <w:sz w:val="24"/>
                <w:szCs w:val="24"/>
                <w:lang w:val="en-US" w:eastAsia="zh-CN"/>
              </w:rPr>
            </w:pPr>
            <w:r>
              <w:rPr>
                <w:rFonts w:hint="eastAsia" w:ascii="宋体"/>
                <w:sz w:val="24"/>
                <w:szCs w:val="24"/>
                <w:lang w:val="en-US" w:eastAsia="zh-CN"/>
              </w:rPr>
              <w:t>0</w:t>
            </w:r>
          </w:p>
        </w:tc>
      </w:tr>
    </w:tbl>
    <w:p w14:paraId="7CFC6E5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1BE128E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黑体" w:hAnsi="黑体" w:eastAsia="黑体" w:cs="黑体"/>
          <w:i w:val="0"/>
          <w:iCs w:val="0"/>
          <w:caps w:val="0"/>
          <w:color w:val="333333"/>
          <w:spacing w:val="0"/>
          <w:sz w:val="32"/>
          <w:szCs w:val="32"/>
        </w:rPr>
      </w:pPr>
      <w:r>
        <w:rPr>
          <w:rFonts w:hint="eastAsia" w:ascii="黑体" w:hAnsi="黑体" w:eastAsia="黑体" w:cs="黑体"/>
          <w:b/>
          <w:bCs/>
          <w:i w:val="0"/>
          <w:iCs w:val="0"/>
          <w:caps w:val="0"/>
          <w:color w:val="333333"/>
          <w:spacing w:val="0"/>
          <w:sz w:val="32"/>
          <w:szCs w:val="32"/>
          <w:shd w:val="clear" w:fill="FFFFFF"/>
        </w:rPr>
        <w:t>三、收到和处理政府信息公开申请情况</w:t>
      </w:r>
    </w:p>
    <w:p w14:paraId="1B92D18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333333"/>
          <w:spacing w:val="0"/>
          <w:sz w:val="24"/>
          <w:szCs w:val="24"/>
        </w:rPr>
      </w:pP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68"/>
        <w:gridCol w:w="943"/>
        <w:gridCol w:w="3220"/>
        <w:gridCol w:w="688"/>
        <w:gridCol w:w="688"/>
        <w:gridCol w:w="688"/>
        <w:gridCol w:w="688"/>
        <w:gridCol w:w="688"/>
        <w:gridCol w:w="688"/>
        <w:gridCol w:w="689"/>
      </w:tblGrid>
      <w:tr w14:paraId="3DECF2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4931"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7097EF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楷体" w:hAnsi="楷体" w:eastAsia="楷体" w:cs="楷体"/>
                <w:kern w:val="0"/>
                <w:sz w:val="20"/>
                <w:szCs w:val="20"/>
                <w:lang w:val="en-US" w:eastAsia="zh-CN" w:bidi="ar"/>
              </w:rPr>
              <w:t>（本列数据的勾稽关系为：第一项加第二项之和，等于第三项加第四项之和）</w:t>
            </w:r>
          </w:p>
        </w:tc>
        <w:tc>
          <w:tcPr>
            <w:tcW w:w="4817"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EB78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申请人情况</w:t>
            </w:r>
          </w:p>
        </w:tc>
      </w:tr>
      <w:tr w14:paraId="0D55294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88C023C">
            <w:pPr>
              <w:rPr>
                <w:rFonts w:hint="eastAsia" w:ascii="宋体"/>
                <w:sz w:val="24"/>
                <w:szCs w:val="24"/>
              </w:rPr>
            </w:pPr>
          </w:p>
        </w:tc>
        <w:tc>
          <w:tcPr>
            <w:tcW w:w="688"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1E318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自然人</w:t>
            </w:r>
          </w:p>
        </w:tc>
        <w:tc>
          <w:tcPr>
            <w:tcW w:w="344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01F64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法人或其他组织</w:t>
            </w:r>
          </w:p>
        </w:tc>
        <w:tc>
          <w:tcPr>
            <w:tcW w:w="689"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12E297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总计</w:t>
            </w:r>
          </w:p>
        </w:tc>
      </w:tr>
      <w:tr w14:paraId="1B078E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53483F4B">
            <w:pPr>
              <w:rPr>
                <w:rFonts w:hint="eastAsia" w:ascii="宋体"/>
                <w:sz w:val="24"/>
                <w:szCs w:val="24"/>
              </w:rPr>
            </w:pPr>
          </w:p>
        </w:tc>
        <w:tc>
          <w:tcPr>
            <w:tcW w:w="688"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D03300">
            <w:pPr>
              <w:rPr>
                <w:rFonts w:hint="eastAsia" w:ascii="宋体"/>
                <w:sz w:val="24"/>
                <w:szCs w:val="24"/>
              </w:rPr>
            </w:pP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DBA6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商业</w:t>
            </w:r>
          </w:p>
          <w:p w14:paraId="6E8FA4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企业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280B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科研</w:t>
            </w:r>
          </w:p>
          <w:p w14:paraId="4F1B30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0A9B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社会公益组织</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40B3B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法律服务机构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155C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其他</w:t>
            </w:r>
          </w:p>
        </w:tc>
        <w:tc>
          <w:tcPr>
            <w:tcW w:w="689"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1E877741">
            <w:pPr>
              <w:rPr>
                <w:rFonts w:hint="eastAsia" w:ascii="宋体"/>
                <w:sz w:val="24"/>
                <w:szCs w:val="24"/>
              </w:rPr>
            </w:pPr>
          </w:p>
        </w:tc>
      </w:tr>
      <w:tr w14:paraId="6571434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80542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一、本年新收政府信息公开申请数量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EE8B9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0AF54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97CDBE">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B2ABA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8C7BF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C7382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1B27EE4">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798228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A8F75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二、上年结转政府信息公开申请数量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51DC1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F53CC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BD0DD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5E72BE">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2CD588C">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D34DD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2DB63C8">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44D3534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8E214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三、本年度办理结果</w:t>
            </w: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04560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（一）予以公开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E8C94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50DD25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07DBF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DB196D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A03EEE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0A3F09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442CF2E6">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1FC8F22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0077B80">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6D5E7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（二）部分公开</w:t>
            </w:r>
            <w:r>
              <w:rPr>
                <w:rFonts w:hint="eastAsia" w:ascii="楷体" w:hAnsi="楷体" w:eastAsia="楷体" w:cs="楷体"/>
                <w:kern w:val="0"/>
                <w:sz w:val="20"/>
                <w:szCs w:val="20"/>
                <w:lang w:val="en-US" w:eastAsia="zh-CN" w:bidi="ar"/>
              </w:rPr>
              <w:t>（区分处理的，只计这一情形，不计其他情形）</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D76752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7440A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958E7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32015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9CD532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36457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9687A99">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15A410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B5A717B">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DF9C0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（三）不予公开</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C3A06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1.属于国家秘密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64CC43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419142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2E875D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646EFE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2F10C0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230F0D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269EC31A">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0051DDF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C464768">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6C1DF82">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0A9D6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2.其他法律行政法规禁止公开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F372F5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B4C634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5E935D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419B95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501A73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1AB2F2E">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52DC0AB">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325BB34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0355052">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B246E56">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B2D72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3.危及“三安全一稳定”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1DE20A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4E9D1D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2CD12E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1DAA7D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3BB8C9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594DF5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D6C1441">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163D3C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947637B">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3C9D9AF">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91827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4.保护第三方合法权益</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21AFC7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94D18CC">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8DCF8B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9A04A4E">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E4DFB6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90A005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60CFE7D">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688A074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57D8ADF">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0138913">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C80D9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5.属于三类内部事务信息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FDACFC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27FDBDC">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90F341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2BB75D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24E499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71AAE5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028A36B">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604A5F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7BE1A9F">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66B3311">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D5866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6.属于四类过程性信息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FFAB68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2317D0C">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2586D1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69C40D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DCAE90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F674B9E">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D776C9D">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221C89C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A1D4084">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62A7DA2">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7A850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7.属于行政执法案卷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F4859A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D0C19F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4F6588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39B3A6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8202F4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72BBB7E">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1EDFAC4">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4E86E5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C9C566E">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60E45C2">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8371C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8.属于行政查询事项</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E7B1B8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4EFEBF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BAB795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0703CF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248409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7367A6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2665D2E">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2495A6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94DAD6A">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BF96A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（四）无法提供</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870F4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1.本机关不掌握相关政府信息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619D9B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EB403E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9914AF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9E8381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52A520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2C2C7E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D561AB1">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6EA42BA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FFE827A">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9641A3E">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3BA16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2.没有现成信息需要另行制作</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905DF5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03ABCE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D39E03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9874D76">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0AE1E3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77D1CC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F9EBE5A">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464F59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1B64B2">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907EF49">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92933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3.补正后申请内容仍不明确</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AACE71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CCDEC1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3EB064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D9E51C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D4AEBEE">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C1DC6A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579162F">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702A31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51D9E53">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37E3D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（五）不予处理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5FEA0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1.信访举报投诉类申请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0E40ED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96EFD0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2AC1C5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87B277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CC25AD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1A9D7F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B93C3D8">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23BEDD6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5F611FB">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911F3C8">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84AFD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114D61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C2450B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219B3D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BAB12B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DD1955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345CE2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D5FAB68">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7FC7074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A4EFF11">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2A1354">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B9501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3.要求提供公开出版物</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F92D72C">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EE3AAE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55BA64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AEF97C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908D71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B9CCC26">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FAA0A07">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71014FE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756BC64">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D23A588">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334B6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4.无正当理由大量反复申请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2B9F3F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6B51FD6">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1D372BC">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39D562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E8D4C6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5B337F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CCEFC05">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7327D1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9A8C6B0">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03A9AA4">
            <w:pPr>
              <w:rPr>
                <w:rFonts w:hint="eastAsia" w:ascii="宋体"/>
                <w:sz w:val="24"/>
                <w:szCs w:val="24"/>
              </w:rPr>
            </w:pPr>
          </w:p>
        </w:tc>
        <w:tc>
          <w:tcPr>
            <w:tcW w:w="322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07014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5.要求行政机关确认或重新出具已获取信息</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7B6C964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342476D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22293B8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014F7F6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13DA3EB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53EA7EFE">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07F99A38">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78323A9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3B89BA">
            <w:pPr>
              <w:rPr>
                <w:rFonts w:hint="eastAsia" w:ascii="宋体"/>
                <w:sz w:val="24"/>
                <w:szCs w:val="24"/>
              </w:rPr>
            </w:pPr>
          </w:p>
        </w:tc>
        <w:tc>
          <w:tcPr>
            <w:tcW w:w="943"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24D967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（六）其他处理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0628D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1.申请人无正当理由逾期不补正、行政机关不再处理其政府信息公开申请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412093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0F2E96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F73155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D0D38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3BB1A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21D6B1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708A88A">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0206A09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009806">
            <w:pPr>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36FD6590">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4D08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2.申请人逾期未按收费通知要求缴纳费用、行政机关不再处理其政府信息公开申请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CFD24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10F34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3D8F8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B3F566">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9FDFA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A05A7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BA62C35">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76343BE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EAE4F18">
            <w:pPr>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59F10D0">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FD6D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3.其他</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A8452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B479D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BE51C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01F6AF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757DF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85DEE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5DF83DA">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45C8B0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8AD7C0D">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72D00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（七）总计</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2FB65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D2D77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7F7DA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A6725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3C56A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7F181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562C29D">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6ECEC93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5F20B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四、结转下年度继续办理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56BC9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49AC8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EC58E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1714F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593EA2">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457CE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868B64C">
            <w:pPr>
              <w:jc w:val="center"/>
              <w:rPr>
                <w:rFonts w:hint="eastAsia" w:ascii="宋体" w:eastAsia="仿宋_GB2312"/>
                <w:sz w:val="24"/>
                <w:szCs w:val="24"/>
                <w:lang w:val="en-US" w:eastAsia="zh-CN"/>
              </w:rPr>
            </w:pPr>
            <w:r>
              <w:rPr>
                <w:rFonts w:hint="eastAsia" w:ascii="宋体"/>
                <w:sz w:val="24"/>
                <w:szCs w:val="24"/>
                <w:lang w:val="en-US" w:eastAsia="zh-CN"/>
              </w:rPr>
              <w:t>0</w:t>
            </w:r>
          </w:p>
        </w:tc>
      </w:tr>
    </w:tbl>
    <w:p w14:paraId="2AD5761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p w14:paraId="5319B9B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2" w:firstLineChars="20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四、政府信息公开行政复议、行政诉讼情况</w:t>
      </w:r>
    </w:p>
    <w:p w14:paraId="075126E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iCs w:val="0"/>
          <w:caps w:val="0"/>
          <w:color w:val="333333"/>
          <w:spacing w:val="0"/>
          <w:sz w:val="24"/>
          <w:szCs w:val="24"/>
        </w:rPr>
      </w:pP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6F38F32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24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2E218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行政复议</w:t>
            </w:r>
          </w:p>
        </w:tc>
        <w:tc>
          <w:tcPr>
            <w:tcW w:w="6503"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C18FA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行政诉讼</w:t>
            </w:r>
          </w:p>
        </w:tc>
      </w:tr>
      <w:tr w14:paraId="78EA2B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9"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8658B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结果维持</w:t>
            </w:r>
          </w:p>
        </w:tc>
        <w:tc>
          <w:tcPr>
            <w:tcW w:w="649"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44B2B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0B810E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E8B50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7A621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总计</w:t>
            </w:r>
          </w:p>
        </w:tc>
        <w:tc>
          <w:tcPr>
            <w:tcW w:w="3248"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7AFFF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未经复议直接起诉</w:t>
            </w:r>
          </w:p>
        </w:tc>
        <w:tc>
          <w:tcPr>
            <w:tcW w:w="325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AA31E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复议后起诉</w:t>
            </w:r>
          </w:p>
        </w:tc>
      </w:tr>
      <w:tr w14:paraId="4742EE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9"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72A6FAE">
            <w:pPr>
              <w:rPr>
                <w:rFonts w:hint="eastAsia" w:ascii="宋体"/>
                <w:sz w:val="24"/>
                <w:szCs w:val="24"/>
              </w:rPr>
            </w:pPr>
          </w:p>
        </w:tc>
        <w:tc>
          <w:tcPr>
            <w:tcW w:w="649"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7DB9900">
            <w:pPr>
              <w:rPr>
                <w:rFonts w:hint="eastAsia" w:ascii="宋体"/>
                <w:sz w:val="24"/>
                <w:szCs w:val="24"/>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F6821B7">
            <w:pPr>
              <w:rPr>
                <w:rFonts w:hint="eastAsia" w:ascii="宋体"/>
                <w:sz w:val="24"/>
                <w:szCs w:val="24"/>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5CA830E">
            <w:pPr>
              <w:rPr>
                <w:rFonts w:hint="eastAsia" w:ascii="宋体"/>
                <w:sz w:val="24"/>
                <w:szCs w:val="24"/>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97D3950">
            <w:pPr>
              <w:rPr>
                <w:rFonts w:hint="eastAsia" w:ascii="宋体"/>
                <w:sz w:val="24"/>
                <w:szCs w:val="24"/>
              </w:rPr>
            </w:pP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162E2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B5546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49042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D3008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B3FF4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4A5D9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C3348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18663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其他</w:t>
            </w:r>
            <w:r>
              <w:rPr>
                <w:rFonts w:hint="eastAsia" w:ascii="宋体" w:hAnsi="宋体" w:eastAsia="宋体" w:cs="宋体"/>
                <w:color w:val="000000"/>
                <w:kern w:val="0"/>
                <w:sz w:val="20"/>
                <w:szCs w:val="20"/>
                <w:lang w:val="en-US" w:eastAsia="zh-CN" w:bidi="ar"/>
              </w:rPr>
              <w:br w:type="textWrapping"/>
            </w:r>
            <w:r>
              <w:rPr>
                <w:rFonts w:hint="eastAsia" w:ascii="宋体" w:hAnsi="宋体" w:eastAsia="宋体" w:cs="宋体"/>
                <w:color w:val="000000"/>
                <w:kern w:val="0"/>
                <w:sz w:val="20"/>
                <w:szCs w:val="20"/>
                <w:lang w:val="en-US" w:eastAsia="zh-CN" w:bidi="ar"/>
              </w:rPr>
              <w:t>结果</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DF2F5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12084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r>
      <w:tr w14:paraId="42A6A3F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71609B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74D094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0FA59A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79D4BD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946DDEC">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3EB85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BB51B0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1270A8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E0A513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3428265">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907451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1FA94A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7BCFC6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78C5860">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F6652CD">
            <w:pPr>
              <w:jc w:val="center"/>
              <w:rPr>
                <w:rFonts w:hint="eastAsia" w:ascii="宋体" w:eastAsia="仿宋_GB2312"/>
                <w:sz w:val="24"/>
                <w:szCs w:val="24"/>
                <w:lang w:val="en-US" w:eastAsia="zh-CN"/>
              </w:rPr>
            </w:pPr>
            <w:r>
              <w:rPr>
                <w:rFonts w:hint="eastAsia" w:ascii="宋体"/>
                <w:sz w:val="24"/>
                <w:szCs w:val="24"/>
                <w:lang w:val="en-US" w:eastAsia="zh-CN"/>
              </w:rPr>
              <w:t>0</w:t>
            </w:r>
          </w:p>
        </w:tc>
      </w:tr>
    </w:tbl>
    <w:p w14:paraId="266AA6C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2DC481E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黑体" w:hAnsi="黑体" w:eastAsia="黑体" w:cs="黑体"/>
          <w:i w:val="0"/>
          <w:iCs w:val="0"/>
          <w:caps w:val="0"/>
          <w:color w:val="333333"/>
          <w:spacing w:val="0"/>
          <w:sz w:val="32"/>
          <w:szCs w:val="32"/>
        </w:rPr>
      </w:pPr>
      <w:bookmarkStart w:id="0" w:name="_GoBack"/>
      <w:r>
        <w:rPr>
          <w:rFonts w:hint="eastAsia" w:ascii="黑体" w:hAnsi="黑体" w:eastAsia="黑体" w:cs="黑体"/>
          <w:b/>
          <w:bCs/>
          <w:i w:val="0"/>
          <w:iCs w:val="0"/>
          <w:caps w:val="0"/>
          <w:color w:val="333333"/>
          <w:spacing w:val="0"/>
          <w:sz w:val="32"/>
          <w:szCs w:val="32"/>
          <w:shd w:val="clear" w:fill="FFFFFF"/>
        </w:rPr>
        <w:t>五、存在的主要问题及改进情况</w:t>
      </w:r>
    </w:p>
    <w:bookmarkEnd w:id="0"/>
    <w:p w14:paraId="0E0D274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（一）政府信息公开工作取得了一定成效，但仍存在一些困难和问题。其主要表现为：信息公开内容</w:t>
      </w:r>
      <w:r>
        <w:rPr>
          <w:rFonts w:hint="eastAsia" w:ascii="仿宋" w:hAnsi="仿宋" w:eastAsia="仿宋" w:cs="仿宋"/>
          <w:i w:val="0"/>
          <w:iCs w:val="0"/>
          <w:caps w:val="0"/>
          <w:color w:val="333333"/>
          <w:spacing w:val="0"/>
          <w:sz w:val="32"/>
          <w:szCs w:val="32"/>
          <w:shd w:val="clear" w:fill="FFFFFF"/>
          <w:lang w:val="en-US" w:eastAsia="zh-CN"/>
        </w:rPr>
        <w:t>还需进一步增容扩面，让群众能够更加全面的了解教体局工作，更好的监督、督促各项工作更进一步。</w:t>
      </w:r>
    </w:p>
    <w:p w14:paraId="54D3EA2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（二）具体的解决办法和改进措施。以社会关注度高，公开利益大的信息作为突破口，做到所公开的信息透明度高、内容涉及广、强度大、形式多样。</w:t>
      </w:r>
    </w:p>
    <w:p w14:paraId="140D98E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黑体" w:hAnsi="黑体" w:eastAsia="黑体" w:cs="黑体"/>
          <w:i w:val="0"/>
          <w:iCs w:val="0"/>
          <w:caps w:val="0"/>
          <w:color w:val="333333"/>
          <w:spacing w:val="0"/>
          <w:sz w:val="32"/>
          <w:szCs w:val="32"/>
        </w:rPr>
      </w:pPr>
      <w:r>
        <w:rPr>
          <w:rFonts w:hint="eastAsia" w:ascii="黑体" w:hAnsi="黑体" w:eastAsia="黑体" w:cs="黑体"/>
          <w:b/>
          <w:bCs/>
          <w:i w:val="0"/>
          <w:iCs w:val="0"/>
          <w:caps w:val="0"/>
          <w:color w:val="333333"/>
          <w:spacing w:val="0"/>
          <w:sz w:val="32"/>
          <w:szCs w:val="32"/>
          <w:shd w:val="clear" w:fill="FFFFFF"/>
        </w:rPr>
        <w:t>六、其他需要报告的事项</w:t>
      </w:r>
    </w:p>
    <w:p w14:paraId="0052523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认真贯彻执行国务院办公厅《政府信息公开信息处理费管理办法》和《关于政府信息公开处理费管理有关事项的通知》。2024年未收取信息处理费。</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汉仪晓波敦黑W">
    <w:panose1 w:val="00020600040101010101"/>
    <w:charset w:val="86"/>
    <w:family w:val="auto"/>
    <w:pitch w:val="default"/>
    <w:sig w:usb0="8000002F" w:usb1="2A01780A" w:usb2="00000016" w:usb3="00000000" w:csb0="0004009F" w:csb1="00000000"/>
  </w:font>
  <w:font w:name="Calibri Light">
    <w:panose1 w:val="020F0302020204030204"/>
    <w:charset w:val="00"/>
    <w:family w:val="auto"/>
    <w:pitch w:val="default"/>
    <w:sig w:usb0="A00002EF" w:usb1="4000207B" w:usb2="00000000" w:usb3="00000000" w:csb0="2000019F"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xNTY5ZjBmN2Y3YzY3NWFlZmQ2OTEwZTI5NmMyMDYifQ=="/>
  </w:docVars>
  <w:rsids>
    <w:rsidRoot w:val="3E5B229F"/>
    <w:rsid w:val="027520D7"/>
    <w:rsid w:val="040C6A6B"/>
    <w:rsid w:val="056612AA"/>
    <w:rsid w:val="07EF0236"/>
    <w:rsid w:val="12940358"/>
    <w:rsid w:val="132D6B92"/>
    <w:rsid w:val="171B1048"/>
    <w:rsid w:val="19314B52"/>
    <w:rsid w:val="1D232A04"/>
    <w:rsid w:val="1D2D73DF"/>
    <w:rsid w:val="1DEC729A"/>
    <w:rsid w:val="1F3233D2"/>
    <w:rsid w:val="1FE94299"/>
    <w:rsid w:val="222E6489"/>
    <w:rsid w:val="23D06D16"/>
    <w:rsid w:val="24883A94"/>
    <w:rsid w:val="255B6AB3"/>
    <w:rsid w:val="26E256DE"/>
    <w:rsid w:val="27E05899"/>
    <w:rsid w:val="2F2F581C"/>
    <w:rsid w:val="302857C1"/>
    <w:rsid w:val="320E382B"/>
    <w:rsid w:val="35F90C91"/>
    <w:rsid w:val="36C605A6"/>
    <w:rsid w:val="3A020531"/>
    <w:rsid w:val="3A201269"/>
    <w:rsid w:val="3E5B229F"/>
    <w:rsid w:val="3E990920"/>
    <w:rsid w:val="448636F5"/>
    <w:rsid w:val="44C935E1"/>
    <w:rsid w:val="492D458E"/>
    <w:rsid w:val="4D1E42FB"/>
    <w:rsid w:val="50795EBC"/>
    <w:rsid w:val="55E211FB"/>
    <w:rsid w:val="59FD5DAF"/>
    <w:rsid w:val="5FAB2AAF"/>
    <w:rsid w:val="66560D21"/>
    <w:rsid w:val="6A892D47"/>
    <w:rsid w:val="6E4B4EE4"/>
    <w:rsid w:val="703B0F88"/>
    <w:rsid w:val="720535FB"/>
    <w:rsid w:val="720C2BD8"/>
    <w:rsid w:val="72826491"/>
    <w:rsid w:val="7BA17288"/>
    <w:rsid w:val="7D1868D9"/>
    <w:rsid w:val="7D344D95"/>
    <w:rsid w:val="7DF91F4C"/>
    <w:rsid w:val="7E855ED3"/>
    <w:rsid w:val="7ED676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3">
    <w:name w:val="toc 1"/>
    <w:basedOn w:val="1"/>
    <w:next w:val="1"/>
    <w:autoRedefine/>
    <w:qFormat/>
    <w:uiPriority w:val="0"/>
    <w:rPr>
      <w:rFonts w:ascii="Times New Roman" w:hAnsi="Times New Roman"/>
    </w:rPr>
  </w:style>
  <w:style w:type="paragraph" w:styleId="4">
    <w:name w:val="Normal (Web)"/>
    <w:basedOn w:val="1"/>
    <w:autoRedefine/>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1186</Words>
  <Characters>1217</Characters>
  <Lines>0</Lines>
  <Paragraphs>0</Paragraphs>
  <TotalTime>6</TotalTime>
  <ScaleCrop>false</ScaleCrop>
  <LinksUpToDate>false</LinksUpToDate>
  <CharactersWithSpaces>1217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Administrator</cp:lastModifiedBy>
  <cp:lastPrinted>2024-01-18T06:14:00Z</cp:lastPrinted>
  <dcterms:modified xsi:type="dcterms:W3CDTF">2025-01-21T02:06:10Z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F469F9C8CAF243BFAC02BAD1A768A663_13</vt:lpwstr>
  </property>
  <property fmtid="{D5CDD505-2E9C-101B-9397-08002B2CF9AE}" pid="4" name="KSOTemplateDocerSaveRecord">
    <vt:lpwstr>eyJoZGlkIjoiNGY3NTE4YWNlNWYyOTQwMDEyN2RhMzBmN2IxNjJiZjgifQ==</vt:lpwstr>
  </property>
</Properties>
</file>