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pStyle w:val="1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</w:pPr>
      <w:r>
        <w:rPr>
          <w:rFonts w:ascii="方正小标宋简体" w:eastAsia="方正小标宋简体" w:cs="方正小标宋简体" w:hint="eastAsia"/>
          <w:color w:val="333333"/>
          <w:sz w:val="44"/>
          <w:szCs w:val="44"/>
          <w:shd w:val="clear" w:color="auto" w:fill="FFFFFF"/>
        </w:rPr>
        <w:t>涞源县</w:t>
      </w:r>
      <w:r>
        <w:rPr>
          <w:rFonts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应急管理局</w:t>
      </w:r>
    </w:p>
    <w:p>
      <w:pPr>
        <w:pStyle w:val="1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adjustRightInd/>
        <w:snapToGrid/>
        <w:spacing w:before="0" w:beforeAutospacing="0" w:after="0" w:afterAutospacing="0" w:line="560" w:lineRule="exact"/>
        <w:jc w:val="center"/>
        <w:rPr>
          <w:rFonts w:ascii="方正小标宋简体" w:eastAsia="方正小标宋简体" w:cs="方正小标宋简体" w:hint="eastAsia"/>
          <w:color w:val="333333"/>
          <w:sz w:val="44"/>
          <w:szCs w:val="44"/>
          <w:shd w:val="clear" w:color="auto" w:fill="FFFFFF"/>
        </w:rPr>
      </w:pPr>
      <w:r>
        <w:rPr>
          <w:rFonts w:ascii="方正小标宋简体" w:eastAsia="方正小标宋简体" w:cs="方正小标宋简体" w:hint="eastAsia"/>
          <w:color w:val="333333"/>
          <w:sz w:val="44"/>
          <w:szCs w:val="44"/>
          <w:shd w:val="clear" w:color="auto" w:fill="FFFFFF"/>
        </w:rPr>
        <w:t>2022年政府信息公开年度报告</w:t>
      </w:r>
    </w:p>
    <w:p>
      <w:pPr>
        <w:pStyle w:val="1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0" w:lineRule="exact"/>
        <w:ind w:firstLineChars="200" w:firstLine="520"/>
        <w:jc w:val="both"/>
        <w:textAlignment w:val="auto"/>
        <w:rPr>
          <w:rFonts w:hint="eastAsia"/>
          <w:b/>
          <w:color w:val="333333"/>
          <w:sz w:val="26"/>
          <w:szCs w:val="26"/>
          <w:shd w:val="clear" w:color="auto" w:fill="FFFFFF"/>
        </w:rPr>
      </w:pPr>
    </w:p>
    <w:p>
      <w:pPr>
        <w:pStyle w:val="1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Chars="200" w:firstLine="640"/>
        <w:jc w:val="both"/>
        <w:textAlignment w:val="auto"/>
        <w:rPr>
          <w:rFonts w:ascii="仿宋_GB2312" w:eastAsia="仿宋_GB2312" w:hint="eastAsia"/>
          <w:b/>
          <w:color w:val="auto"/>
          <w:sz w:val="32"/>
          <w:szCs w:val="32"/>
          <w:shd w:val="clear" w:color="auto" w:fill="FFFFFF"/>
        </w:rPr>
      </w:pPr>
      <w:r>
        <w:rPr>
          <w:rFonts w:ascii="仿宋_GB2312" w:eastAsia="仿宋_GB2312" w:hint="eastAsia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本报告依据《中华人民共和国政府信息公开条例》、《国务院办公厅政府信息与政务公开办公室关于印发&lt;中华人民共和国政府信息公开工作年度报告格式&gt;的通知》（国办公开办函〔2021〕30号）和《河北省实施〈中华人民共和国政府信息公开条例〉办法》要求编制。本报告所列统计数据的统计期限自2022年1月1日起，至2022年12月31日止。</w:t>
      </w:r>
    </w:p>
    <w:p>
      <w:pPr>
        <w:pStyle w:val="15"/>
        <w:shd w:val="clear" w:color="auto" w:fill="auto"/>
        <w:spacing w:before="0" w:beforeAutospacing="0" w:after="0" w:afterAutospacing="0"/>
        <w:ind w:left="0" w:firstLineChars="200" w:firstLine="640"/>
        <w:jc w:val="both"/>
        <w:rPr>
          <w:rFonts w:hint="eastAsia"/>
          <w:b/>
          <w:color w:val="333333"/>
          <w:sz w:val="32"/>
          <w:szCs w:val="32"/>
          <w:shd w:val="clear" w:color="auto" w:fill="FFFFFF"/>
        </w:rPr>
      </w:pPr>
      <w:r>
        <w:rPr>
          <w:rFonts w:ascii="黑体" w:eastAsia="黑体" w:hint="eastAsia"/>
          <w:color w:val="333333"/>
          <w:sz w:val="32"/>
          <w:szCs w:val="32"/>
          <w:shd w:val="clear" w:color="auto" w:fill="FFFFFF"/>
          <w:lang w:val="en-US" w:eastAsia="zh-CN"/>
        </w:rPr>
        <w:t>一、</w:t>
      </w:r>
      <w:r>
        <w:rPr>
          <w:rFonts w:ascii="黑体" w:eastAsia="黑体" w:hint="eastAsia"/>
          <w:color w:val="333333"/>
          <w:sz w:val="32"/>
          <w:szCs w:val="32"/>
          <w:shd w:val="clear" w:color="auto" w:fill="FFFFFF"/>
        </w:rPr>
        <w:t>总体情况</w:t>
      </w:r>
      <w:r>
        <w:rPr>
          <w:b/>
          <w:color w:val="333333"/>
          <w:sz w:val="32"/>
          <w:szCs w:val="32"/>
          <w:shd w:val="clear" w:color="auto" w:fill="FFFFFF"/>
        </w:rPr>
        <w:t xml:space="preserve"> </w:t>
      </w:r>
    </w:p>
    <w:p>
      <w:pPr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atLeast"/>
        <w:ind w:left="0" w:right="0" w:firstLine="641"/>
        <w:textAlignment w:val="auto"/>
        <w:rPr>
          <w:rFonts w:cs="仿宋_GB2312" w:hint="eastAsia"/>
          <w:color w:val="333333"/>
          <w:kern w:val="0"/>
          <w:szCs w:val="32"/>
          <w:shd w:val="clear" w:color="auto" w:fill="FFFFFF"/>
        </w:rPr>
      </w:pPr>
      <w:r>
        <w:rPr>
          <w:rFonts w:cs="仿宋_GB2312" w:hint="eastAsia"/>
          <w:color w:val="333333"/>
          <w:kern w:val="0"/>
          <w:szCs w:val="32"/>
          <w:shd w:val="clear" w:color="auto" w:fill="FFFFFF"/>
          <w:lang w:val="en-US" w:eastAsia="zh-CN"/>
        </w:rPr>
        <w:t>一年以来，涞源县应急管理局</w:t>
      </w:r>
      <w:r>
        <w:rPr>
          <w:rFonts w:hint="eastAsia"/>
          <w:color w:val="333333"/>
          <w:kern w:val="0"/>
          <w:szCs w:val="32"/>
          <w:shd w:val="clear" w:color="auto" w:fill="FFFFFF"/>
        </w:rPr>
        <w:t>坚持以习近平新时代中国特色社会主义思想为指导，深入贯彻国家、省、市和县关于政府信息公开工作的决策部署，全面推进政务公开各项工作，不断完善政务公开制度，</w:t>
      </w:r>
      <w:r>
        <w:rPr>
          <w:rFonts w:cs="仿宋_GB2312" w:hint="eastAsia"/>
          <w:color w:val="333333"/>
          <w:kern w:val="0"/>
          <w:szCs w:val="32"/>
          <w:shd w:val="clear" w:color="auto" w:fill="FFFFFF"/>
          <w:lang w:val="en-US" w:eastAsia="zh-CN"/>
        </w:rPr>
        <w:t>持续加大主动公开政府信息力度，</w:t>
      </w:r>
      <w:r>
        <w:rPr>
          <w:rFonts w:hint="eastAsia"/>
          <w:color w:val="333333"/>
          <w:kern w:val="0"/>
          <w:szCs w:val="32"/>
          <w:shd w:val="clear" w:color="auto" w:fill="FFFFFF"/>
        </w:rPr>
        <w:t>努力提升应急管理工作公信力和透明度，更好服务全县经济社会发展大局。</w:t>
      </w:r>
    </w:p>
    <w:p>
      <w:pPr>
        <w:pStyle w:val="15"/>
        <w:shd w:val="clear" w:color="auto" w:fill="auto"/>
        <w:spacing w:before="0" w:beforeAutospacing="0" w:after="0" w:afterAutospacing="0"/>
        <w:ind w:left="0" w:firstLineChars="200" w:firstLine="640"/>
        <w:jc w:val="both"/>
        <w:rPr>
          <w:rFonts w:ascii="黑体" w:eastAsia="黑体"/>
          <w:color w:val="333333"/>
          <w:sz w:val="32"/>
          <w:szCs w:val="32"/>
          <w:shd w:val="clear" w:color="auto" w:fill="FFFFFF"/>
        </w:rPr>
      </w:pPr>
      <w:r>
        <w:rPr>
          <w:rFonts w:ascii="黑体" w:eastAsia="黑体" w:hint="eastAsia"/>
          <w:color w:val="333333"/>
          <w:sz w:val="32"/>
          <w:szCs w:val="32"/>
          <w:shd w:val="clear" w:color="auto" w:fill="FFFFFF"/>
        </w:rPr>
        <w:t>二、主动公开政府信息情况</w:t>
      </w:r>
    </w:p>
    <w:p>
      <w:pPr>
        <w:pStyle w:val="15"/>
        <w:shd w:val="clear" w:color="auto" w:fill="auto"/>
        <w:spacing w:before="0" w:beforeAutospacing="0" w:after="0" w:afterAutospacing="0"/>
        <w:ind w:left="0" w:firstLineChars="200" w:firstLine="640"/>
        <w:jc w:val="both"/>
        <w:rPr>
          <w:rFonts w:ascii="黑体" w:eastAsia="黑体" w:hint="eastAsia"/>
          <w:color w:val="333333"/>
          <w:sz w:val="32"/>
          <w:szCs w:val="32"/>
          <w:shd w:val="clear" w:color="auto" w:fill="FFFFFF"/>
        </w:rPr>
      </w:pPr>
    </w:p>
    <w:tbl>
      <w:tblPr>
        <w:jc w:val="left"/>
        <w:tblInd w:w="-434" w:type="dxa"/>
        <w:tblW w:w="93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shd w:val="clear" w:color="auto" w:fill="FFFFFF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028"/>
      </w:tblGrid>
      <w:tr>
        <w:trPr>
          <w:trHeight w:val="340"/>
        </w:trPr>
        <w:tc>
          <w:tcPr>
            <w:tcW w:w="93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第二十条第（一）项</w:t>
            </w:r>
          </w:p>
        </w:tc>
      </w:tr>
      <w:tr>
        <w:trPr>
          <w:trHeight w:val="340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2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本年制发件数</w:t>
            </w:r>
          </w:p>
        </w:tc>
        <w:tc>
          <w:tcPr>
            <w:tcW w:w="2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本年废止件数</w:t>
            </w:r>
          </w:p>
        </w:tc>
        <w:tc>
          <w:tcPr>
            <w:tcW w:w="20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现行有效件数</w:t>
            </w:r>
          </w:p>
        </w:tc>
      </w:tr>
      <w:tr>
        <w:trPr>
          <w:trHeight w:val="340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ascii="Calibri" w:eastAsia="宋体" w:cs="Calibri" w:hAnsi="Calibri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  <w:rPr>
                <w:lang w:val="en-US"/>
              </w:rPr>
            </w:pPr>
            <w:r>
              <w:rPr>
                <w:rFonts w:ascii="Calibri" w:eastAsia="宋体" w:cs="Calibri" w:hAnsi="Calibri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>
        <w:trPr>
          <w:trHeight w:val="340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  <w:rPr>
                <w:lang w:val="en-US"/>
              </w:rPr>
            </w:pPr>
            <w:r>
              <w:rPr>
                <w:rFonts w:ascii="Calibri" w:eastAsia="宋体" w:cs="Calibri" w:hAnsi="Calibri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  <w:rPr>
                <w:lang w:val="en-US"/>
              </w:rPr>
            </w:pPr>
            <w:r>
              <w:rPr>
                <w:rFonts w:ascii="Calibri" w:eastAsia="宋体" w:cs="Calibri" w:hAnsi="Calibri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>
        <w:trPr>
          <w:trHeight w:val="340"/>
        </w:trPr>
        <w:tc>
          <w:tcPr>
            <w:tcW w:w="933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第二十条第（五）项</w:t>
            </w:r>
          </w:p>
        </w:tc>
      </w:tr>
      <w:tr>
        <w:trPr>
          <w:trHeight w:val="340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本年处理决定数量</w:t>
            </w:r>
          </w:p>
        </w:tc>
      </w:tr>
      <w:tr>
        <w:trPr>
          <w:trHeight w:val="340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行政许可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  <w:rPr>
                <w:lang w:val="en-US"/>
              </w:rPr>
            </w:pPr>
            <w:r>
              <w:rPr>
                <w:rFonts w:ascii="Calibri" w:eastAsia="宋体" w:cs="Calibri" w:hAnsi="Calibri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4</w:t>
            </w:r>
          </w:p>
        </w:tc>
      </w:tr>
      <w:tr>
        <w:trPr>
          <w:trHeight w:val="340"/>
        </w:trPr>
        <w:tc>
          <w:tcPr>
            <w:tcW w:w="933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第二十条第（六）项</w:t>
            </w:r>
          </w:p>
        </w:tc>
      </w:tr>
      <w:tr>
        <w:trPr>
          <w:trHeight w:val="340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本年处理决定数量</w:t>
            </w:r>
          </w:p>
        </w:tc>
      </w:tr>
      <w:tr>
        <w:trPr>
          <w:trHeight w:val="340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行政处罚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  <w:rPr>
                <w:lang w:val="en-US"/>
              </w:rPr>
            </w:pPr>
            <w:r>
              <w:rPr>
                <w:rFonts w:ascii="Calibri" w:eastAsia="宋体" w:cs="Calibri" w:hAnsi="Calibri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62</w:t>
            </w:r>
          </w:p>
        </w:tc>
      </w:tr>
      <w:tr>
        <w:trPr>
          <w:trHeight w:val="340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行政强制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>
        <w:trPr>
          <w:trHeight w:val="340"/>
        </w:trPr>
        <w:tc>
          <w:tcPr>
            <w:tcW w:w="933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第二十条第（八）项</w:t>
            </w:r>
          </w:p>
        </w:tc>
      </w:tr>
      <w:tr>
        <w:trPr>
          <w:trHeight w:val="340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本年收费金额（单位：万元）</w:t>
            </w:r>
          </w:p>
        </w:tc>
      </w:tr>
      <w:tr>
        <w:trPr>
          <w:trHeight w:val="340"/>
        </w:trPr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行政事业性收费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 w:line="560" w:lineRule="atLeast"/>
              <w:ind w:left="0" w:right="0"/>
              <w:jc w:val="left"/>
              <w:rPr>
                <w:lang w:val="en-US"/>
              </w:rPr>
            </w:pPr>
            <w:r>
              <w:rPr>
                <w:rFonts w:ascii="宋体" w:eastAsia="宋体" w:cs="宋体" w:hint="eastAsia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</w:tbl>
    <w:p>
      <w:pPr>
        <w:pStyle w:val="15"/>
        <w:shd w:val="clear" w:color="auto" w:fill="auto"/>
        <w:spacing w:before="0" w:beforeAutospacing="0" w:after="0" w:afterAutospacing="0"/>
        <w:ind w:firstLineChars="200" w:firstLine="640"/>
        <w:jc w:val="both"/>
        <w:rPr>
          <w:rFonts w:ascii="黑体" w:eastAsia="黑体" w:hint="eastAsia"/>
          <w:color w:val="333333"/>
          <w:sz w:val="32"/>
          <w:szCs w:val="32"/>
          <w:shd w:val="clear" w:color="auto" w:fill="FFFFFF"/>
        </w:rPr>
      </w:pPr>
      <w:r>
        <w:rPr>
          <w:rFonts w:ascii="黑体" w:eastAsia="黑体" w:hint="eastAsia"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jc w:val="center"/>
        <w:tblW w:w="907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8"/>
        <w:gridCol w:w="854"/>
        <w:gridCol w:w="2086"/>
        <w:gridCol w:w="814"/>
        <w:gridCol w:w="755"/>
        <w:gridCol w:w="755"/>
        <w:gridCol w:w="814"/>
        <w:gridCol w:w="974"/>
        <w:gridCol w:w="712"/>
        <w:gridCol w:w="689"/>
      </w:tblGrid>
      <w:tr>
        <w:tc>
          <w:tcPr>
            <w:tcW w:w="3558" w:type="dxa"/>
            <w:gridSpan w:val="3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5513" w:type="dxa"/>
            <w:gridSpan w:val="7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申请人情况</w:t>
            </w:r>
          </w:p>
        </w:tc>
      </w:tr>
      <w:tr>
        <w:tc>
          <w:tcPr>
            <w:tcW w:w="3558" w:type="dxa"/>
            <w:gridSpan w:val="3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14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4010" w:type="dxa"/>
            <w:gridSpan w:val="5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总计</w:t>
            </w:r>
          </w:p>
        </w:tc>
      </w:tr>
      <w:tr>
        <w:tc>
          <w:tcPr>
            <w:tcW w:w="3558" w:type="dxa"/>
            <w:gridSpan w:val="3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14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其他</w:t>
            </w:r>
          </w:p>
        </w:tc>
        <w:tc>
          <w:tcPr>
            <w:tcW w:w="689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</w:tr>
      <w:tr>
        <w:tc>
          <w:tcPr>
            <w:tcW w:w="3558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eastAsia="仿宋_GB2312" w:hint="eastAsia"/>
                <w:lang w:eastAsia="zh-CN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eastAsia="仿宋_GB2312" w:hint="eastAsia"/>
                <w:lang w:eastAsia="zh-CN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eastAsia="仿宋_GB2312" w:hint="eastAsia"/>
                <w:lang w:eastAsia="zh-CN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eastAsia="仿宋_GB2312" w:hint="eastAsia"/>
                <w:lang w:eastAsia="zh-CN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3558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eastAsia="仿宋_GB2312" w:hint="eastAsia"/>
                <w:lang w:eastAsia="zh-CN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rPr>
          <w:trHeight w:val="646"/>
        </w:trP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rPr>
          <w:trHeight w:val="646"/>
        </w:trP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rPr>
          <w:trHeight w:val="646"/>
        </w:trP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618" w:type="dxa"/>
            <w:vMerge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楷体" w:eastAsia="楷体" w:cs="楷体" w:hint="eastAsia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c>
          <w:tcPr>
            <w:tcW w:w="3558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>
      <w:pPr>
        <w:pStyle w:val="15"/>
        <w:shd w:val="clear" w:color="auto" w:fill="auto"/>
        <w:tabs>
          <w:tab w:val="left" w:pos="643"/>
        </w:tabs>
        <w:spacing w:before="0" w:beforeAutospacing="0" w:after="0" w:afterAutospacing="0"/>
        <w:ind w:left="0" w:firstLineChars="200" w:firstLine="640"/>
        <w:jc w:val="both"/>
        <w:outlineLvl w:val="0"/>
        <w:rPr>
          <w:rFonts w:ascii="黑体" w:eastAsia="黑体"/>
          <w:color w:val="333333"/>
          <w:sz w:val="32"/>
          <w:szCs w:val="32"/>
          <w:shd w:val="clear" w:color="auto" w:fill="FFFFFF"/>
        </w:rPr>
      </w:pPr>
    </w:p>
    <w:p>
      <w:pPr>
        <w:pStyle w:val="15"/>
        <w:shd w:val="clear" w:color="auto" w:fill="auto"/>
        <w:tabs>
          <w:tab w:val="left" w:pos="643"/>
        </w:tabs>
        <w:spacing w:before="0" w:beforeAutospacing="0" w:after="0" w:afterAutospacing="0"/>
        <w:ind w:left="0" w:firstLineChars="200" w:firstLine="640"/>
        <w:jc w:val="both"/>
        <w:outlineLvl w:val="0"/>
        <w:rPr>
          <w:rFonts w:ascii="黑体" w:eastAsia="黑体"/>
          <w:color w:val="333333"/>
          <w:sz w:val="32"/>
          <w:szCs w:val="32"/>
          <w:shd w:val="clear" w:color="auto" w:fill="FFFFFF"/>
        </w:rPr>
      </w:pPr>
    </w:p>
    <w:p>
      <w:pPr>
        <w:pStyle w:val="15"/>
        <w:shd w:val="clear" w:color="auto" w:fill="auto"/>
        <w:tabs>
          <w:tab w:val="left" w:pos="643"/>
        </w:tabs>
        <w:spacing w:before="0" w:beforeAutospacing="0" w:after="0" w:afterAutospacing="0"/>
        <w:ind w:left="0" w:firstLineChars="200" w:firstLine="640"/>
        <w:jc w:val="both"/>
        <w:outlineLvl w:val="0"/>
        <w:rPr>
          <w:rFonts w:ascii="黑体" w:eastAsia="黑体"/>
          <w:color w:val="333333"/>
          <w:sz w:val="32"/>
          <w:szCs w:val="32"/>
          <w:shd w:val="clear" w:color="auto" w:fill="FFFFFF"/>
        </w:rPr>
      </w:pPr>
    </w:p>
    <w:p>
      <w:pPr>
        <w:pStyle w:val="15"/>
        <w:shd w:val="clear" w:color="auto" w:fill="auto"/>
        <w:tabs>
          <w:tab w:val="left" w:pos="643"/>
        </w:tabs>
        <w:spacing w:before="0" w:beforeAutospacing="0" w:after="0" w:afterAutospacing="0"/>
        <w:ind w:left="0" w:firstLineChars="200" w:firstLine="640"/>
        <w:jc w:val="both"/>
        <w:outlineLvl w:val="0"/>
        <w:rPr>
          <w:rFonts w:ascii="黑体" w:eastAsia="黑体" w:hint="eastAsia"/>
          <w:color w:val="333333"/>
          <w:sz w:val="32"/>
          <w:szCs w:val="32"/>
          <w:shd w:val="clear" w:color="auto" w:fill="FFFFFF"/>
        </w:rPr>
      </w:pPr>
      <w:r>
        <w:rPr>
          <w:rFonts w:ascii="黑体" w:eastAsia="黑体" w:hint="eastAsia"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jc w:val="center"/>
        <w:tblW w:w="90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c>
          <w:tcPr>
            <w:tcW w:w="307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行政诉讼</w:t>
            </w:r>
          </w:p>
        </w:tc>
      </w:tr>
      <w:tr>
        <w:tc>
          <w:tcPr>
            <w:tcW w:w="60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复议后起诉</w:t>
            </w:r>
          </w:p>
        </w:tc>
      </w:tr>
      <w:tr>
        <w:tc>
          <w:tcPr>
            <w:tcW w:w="60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0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0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0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5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color w:val="000000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ascii="宋体" w:eastAsia="宋体" w:cs="宋体" w:hint="eastAsia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>
        <w:tc>
          <w:tcPr>
            <w:tcW w:w="6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 w:hint="eastAsia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hint="eastAsia"/>
                <w:sz w:val="24"/>
              </w:rPr>
            </w:pPr>
            <w:r>
              <w:rPr>
                <w:rFonts w:ascii="Calibri" w:eastAsia="宋体" w:cs="Calibri" w:hAnsi="Calibri" w:hint="eastAsia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>
      <w:pPr>
        <w:pStyle w:val="15"/>
        <w:shd w:val="clear" w:color="auto" w:fill="auto"/>
        <w:spacing w:before="0" w:beforeAutospacing="0" w:after="0" w:afterAutospacing="0"/>
        <w:ind w:firstLineChars="200" w:firstLine="640"/>
        <w:jc w:val="both"/>
        <w:outlineLvl w:val="0"/>
        <w:rPr>
          <w:rFonts w:ascii="黑体" w:eastAsia="黑体" w:hint="eastAsia"/>
          <w:color w:val="333333"/>
          <w:sz w:val="32"/>
          <w:szCs w:val="32"/>
        </w:rPr>
      </w:pPr>
      <w:r>
        <w:rPr>
          <w:rFonts w:ascii="黑体" w:eastAsia="黑体" w:hint="eastAsia"/>
          <w:color w:val="333333"/>
          <w:sz w:val="32"/>
          <w:szCs w:val="32"/>
          <w:shd w:val="clear" w:color="auto" w:fill="FFFFFF"/>
        </w:rPr>
        <w:t>五、存在的主要问题及改进情况</w:t>
      </w:r>
      <w:bookmarkStart w:id="0" w:name="_GoBack"/>
      <w:bookmarkEnd w:id="0"/>
    </w:p>
    <w:p>
      <w:pPr>
        <w:pStyle w:val="15"/>
        <w:shd w:val="clear" w:color="auto" w:fill="auto"/>
        <w:spacing w:before="0" w:beforeAutospacing="0" w:after="0" w:afterAutospacing="0" w:line="560" w:lineRule="exact"/>
        <w:ind w:firstLineChars="200" w:firstLine="640"/>
        <w:jc w:val="both"/>
        <w:outlineLvl w:val="0"/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ascii="仿宋_GB2312" w:eastAsia="仿宋_GB2312" w:hint="eastAsia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202</w:t>
      </w:r>
      <w:r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2</w:t>
      </w:r>
      <w:r>
        <w:rPr>
          <w:rFonts w:ascii="仿宋_GB2312" w:eastAsia="仿宋_GB2312" w:hint="eastAsia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年，</w:t>
      </w:r>
      <w:r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涞源县应急管理局</w:t>
      </w:r>
      <w:r>
        <w:rPr>
          <w:rFonts w:ascii="仿宋_GB2312" w:eastAsia="仿宋_GB2312" w:hint="eastAsia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在政府信息公开工作方面取得了积极进展，但也存在一些问题</w:t>
      </w:r>
      <w:r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：</w:t>
      </w:r>
      <w:r>
        <w:rPr>
          <w:rFonts w:ascii="仿宋_GB2312" w:eastAsia="仿宋_GB2312" w:hint="eastAsia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一是政府信息公开的内容还不够全面，时效性有待增强；二是政府信息公开形式较单一、公开渠道不够多元；三是政府信息公开的保障机制还不够健全，工作能力和水平有待加强。下一步，我</w:t>
      </w:r>
      <w:r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局将</w:t>
      </w:r>
      <w:r>
        <w:rPr>
          <w:rFonts w:ascii="仿宋_GB2312" w:eastAsia="仿宋_GB2312" w:hint="eastAsia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深化认识、规范运行、提升质量、强化落实，扎实推进决策、执行、管理、服务、结果公开，</w:t>
      </w:r>
      <w:r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切实提高政务公开队伍的业务能力，</w:t>
      </w:r>
      <w:r>
        <w:rPr>
          <w:rFonts w:ascii="仿宋_GB2312" w:eastAsia="仿宋_GB2312" w:hint="eastAsia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进一步提升政府信息公开工作水平。</w:t>
      </w:r>
    </w:p>
    <w:p>
      <w:pPr>
        <w:pStyle w:val="15"/>
        <w:shd w:val="clear" w:color="auto" w:fill="auto"/>
        <w:spacing w:before="0" w:beforeAutospacing="0" w:after="0" w:afterAutospacing="0"/>
        <w:ind w:firstLineChars="200" w:firstLine="640"/>
        <w:jc w:val="both"/>
        <w:outlineLvl w:val="0"/>
        <w:rPr>
          <w:rFonts w:ascii="黑体" w:eastAsia="黑体" w:hint="eastAsia"/>
          <w:color w:val="333333"/>
          <w:sz w:val="32"/>
          <w:szCs w:val="32"/>
        </w:rPr>
      </w:pPr>
      <w:r>
        <w:rPr>
          <w:rFonts w:ascii="黑体" w:eastAsia="黑体" w:hint="eastAsia"/>
          <w:color w:val="333333"/>
          <w:sz w:val="32"/>
          <w:szCs w:val="32"/>
          <w:shd w:val="clear" w:color="auto" w:fill="FFFFFF"/>
        </w:rPr>
        <w:t>六、其他需要报告的事项</w:t>
      </w:r>
    </w:p>
    <w:p>
      <w:pPr>
        <w:ind w:firstLineChars="200" w:firstLine="640"/>
        <w:rPr>
          <w:rFonts w:eastAsia="仿宋_GB2312" w:hint="eastAsia"/>
          <w:color w:val="auto"/>
          <w:lang w:eastAsia="zh-CN"/>
        </w:rPr>
      </w:pPr>
      <w:r>
        <w:rPr>
          <w:rFonts w:hint="eastAsia"/>
          <w:color w:val="auto"/>
          <w:shd w:val="clear" w:color="auto" w:fill="FFFFFF"/>
          <w:lang w:val="en-US" w:eastAsia="zh-CN"/>
        </w:rPr>
        <w:t>无</w:t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方正小标宋简体">
    <w:panose1 w:val="03000509000000000000"/>
    <w:charset w:val="86"/>
    <w:family w:val="auto"/>
    <w:pitch w:val="variable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variable"/>
    <w:sig w:usb0="00000001" w:usb1="080E0000" w:usb2="00000000" w:usb3="00000000" w:csb0="00040000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2000009F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楷体">
    <w:altName w:val="楷体_GB2312"/>
    <w:panose1 w:val="02010609060101010101"/>
    <w:charset w:val="86"/>
    <w:family w:val="modern"/>
    <w:pitch w:val="variable"/>
    <w:sig w:usb0="00000000" w:usb1="00000000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 w:val="0"/>
  <w:bordersDoNotSurroundFooter w:val="0"/>
  <w:documentProtection w:edit="readOnly" w:enforcement="0"/>
  <w:defaultTabStop w:val="420"/>
  <w:drawingGridHorizontalSpacing w:val="160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ulTrailSpace/>
    <w:doNotExpandShiftReturn/>
    <w:adjustLineHeightInTable/>
    <w:doNotUseIndentAsNumberingTabStop/>
    <w:compatSetting w:name="compatibilityMode" w:uri="http://schemas.microsoft.com/office/word" w:val="14"/>
  </w:compat>
  <w:docVars>
    <w:docVar w:name="commondata" w:val="eyJoZGlkIjoiZmNiNDUwMjczYjRkMjE5NmQ3OGVlZjgxMmE2ZjhjZTMifQ=="/>
  </w:docVars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仿宋_GB2312" w:eastAsia="仿宋_GB2312" w:cs="Times New Roman"/>
      <w:kern w:val="2"/>
      <w:sz w:val="32"/>
      <w:szCs w:val="24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15">
    <w:name w:val="Normal (Web)"/>
    <w:basedOn w:val="0"/>
    <w:pPr>
      <w:widowControl/>
      <w:spacing w:before="100" w:beforeAutospacing="1" w:after="100" w:afterAutospacing="1"/>
      <w:jc w:val="left"/>
    </w:pPr>
    <w:rPr>
      <w:rFonts w:asci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152</TotalTime>
  <Application>Yozo_Office27021597764231179</Application>
  <Pages>4</Pages>
  <Words>1339</Words>
  <Characters>1374</Characters>
  <Lines>368</Lines>
  <Paragraphs>274</Paragraphs>
  <CharactersWithSpaces>1375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小公举</dc:creator>
  <cp:lastModifiedBy>Administrator</cp:lastModifiedBy>
  <cp:revision>1</cp:revision>
  <cp:lastPrinted>2023-02-22T00:44:49Z</cp:lastPrinted>
  <dcterms:created xsi:type="dcterms:W3CDTF">2019-12-29T11:38:00Z</dcterms:created>
  <dcterms:modified xsi:type="dcterms:W3CDTF">2023-02-22T00:57:13Z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2052-11.1.0.10132</vt:lpwstr>
  </property>
  <property fmtid="{D5CDD505-2E9C-101B-9397-08002B2CF9AE}" pid="3" name="ICV">
    <vt:lpwstr>2CFF6E0761CA4501B2272BA4CD799693</vt:lpwstr>
  </property>
</Properties>
</file>